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JhengHei" w:hAnsi="Microsoft JhengHei"/>
          <w:color w:val="1F497D"/>
          <w:sz w:val="38"/>
        </w:rPr>
        <w:t>工程深度藍圖 — Phase II / III（從舊 v6 §19-30 抽出保存）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這份文件存在的理由</w:t>
      </w:r>
      <w:r>
        <w:rPr>
          <w:i/>
          <w:color w:val="595959"/>
        </w:rPr>
        <w:t>：v7 為了 Mailchimp Playbook 精簡掉舊 v6 §19-30 的重型工程設計（Agent Runtime Harness / 6 層 Memory / Skill Registry / MCP Gateway / Eval Gate / Threat Model）。這些</w:t>
      </w:r>
      <w:r>
        <w:rPr>
          <w:b/>
          <w:i/>
          <w:color w:val="595959"/>
        </w:rPr>
        <w:t>不進 Phase I Pilot</w:t>
      </w:r>
      <w:r>
        <w:rPr>
          <w:i/>
          <w:color w:val="595959"/>
        </w:rPr>
        <w:t>（會毀掉 lean MVP），但設計本身有價值——保存在此，Phase II/III 加厚時直接取用，不重新發明。</w:t>
      </w:r>
    </w:p>
    <w:p>
      <w:pPr>
        <w:ind w:left="340"/>
        <w:shd w:val="clear" w:color="auto" w:fill="FFF8E1"/>
      </w:pPr>
    </w:p>
    <w:p>
      <w:pPr>
        <w:ind w:left="340"/>
        <w:shd w:val="clear" w:color="auto" w:fill="FFF8E1"/>
      </w:pPr>
      <w:r>
        <w:rPr>
          <w:i/>
          <w:color w:val="595959"/>
        </w:rPr>
        <w:t>來源：</w:t>
      </w:r>
      <w:r>
        <w:rPr>
          <w:rFonts w:ascii="Consolas" w:hAnsi="Consolas"/>
          <w:i/>
          <w:color w:val="595959"/>
          <w:sz w:val="18"/>
        </w:rPr>
        <w:t>04_PRD_AI直銷Agent_v6_MVP最終乾淨版.docx</w:t>
      </w:r>
      <w:r>
        <w:rPr>
          <w:i/>
          <w:color w:val="595959"/>
        </w:rPr>
        <w:t xml:space="preserve"> §19-30｜整理 2026-05-16｜對應 ① Sheet 13 DR-30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⚠️ Part 0：使用前必讀（兩個編號衝突警告）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衝突 1：FR-011~015 編號撞號（最危險）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v6 §28 的意思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 的意思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FR-011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Agent Runtime Harness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Freemium tier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FR-012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Memory Console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Viral / PLG mechanics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FR-013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Skill Registry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Tier gating (Pro/ProPlus/Leader)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FR-014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MCP Gateway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Top Leader Influencer 後台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FR-015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Eval Dashboard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EventLog 資料飛輪</w:t>
            </w:r>
          </w:p>
        </w:tc>
      </w:tr>
    </w:tbl>
    <w:p>
      <w:pPr>
        <w:ind w:left="340"/>
        <w:shd w:val="clear" w:color="auto" w:fill="FFF8E1"/>
      </w:pPr>
      <w:r>
        <w:rPr>
          <w:b/>
          <w:i/>
          <w:color w:val="595959"/>
        </w:rPr>
        <w:t>絕對不要混用</w:t>
      </w:r>
      <w:r>
        <w:rPr>
          <w:i/>
          <w:color w:val="595959"/>
        </w:rPr>
        <w:t xml:space="preserve">。本藍圖內的 FR-011~015 = </w:t>
      </w:r>
      <w:r>
        <w:rPr>
          <w:b/>
          <w:i/>
          <w:color w:val="595959"/>
        </w:rPr>
        <w:t>舊 v6 工程義</w:t>
      </w:r>
      <w:r>
        <w:rPr>
          <w:i/>
          <w:color w:val="595959"/>
        </w:rPr>
        <w:t xml:space="preserve">。現行 build 一律以 </w:t>
      </w:r>
      <w:r>
        <w:rPr>
          <w:b/>
          <w:i/>
          <w:color w:val="595959"/>
        </w:rPr>
        <w:t>新 v7 FR 編號</w:t>
      </w:r>
      <w:r>
        <w:rPr>
          <w:i/>
          <w:color w:val="595959"/>
        </w:rPr>
        <w:t xml:space="preserve">為準。本藍圖把舊的重命名為 </w:t>
      </w:r>
      <w:r>
        <w:rPr>
          <w:b/>
          <w:i/>
          <w:color w:val="595959"/>
        </w:rPr>
        <w:t>ENG-11~15</w:t>
      </w:r>
      <w:r>
        <w:rPr>
          <w:i/>
          <w:color w:val="595959"/>
        </w:rPr>
        <w:t xml:space="preserve"> 以絕後患。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衝突 2：DR 編號撞號</w:t>
      </w:r>
    </w:p>
    <w:p>
      <w:r>
        <w:rPr>
          <w:rFonts w:ascii="Microsoft JhengHei" w:hAnsi="Microsoft JhengHei"/>
        </w:rPr>
        <w:t xml:space="preserve">舊 v6 §30 用 DR-07~10；① Pre-PRD 已用 DR-01~29（DR-07 = Compliance P0 lite）。本藍圖把舊 v6 的 DR 重命名為 </w:t>
      </w:r>
      <w:r>
        <w:rPr>
          <w:rFonts w:ascii="Microsoft JhengHei" w:hAnsi="Microsoft JhengHei"/>
          <w:b/>
        </w:rPr>
        <w:t>舊v6-DR-07~10</w:t>
      </w:r>
      <w:r>
        <w:rPr>
          <w:rFonts w:ascii="Microsoft JhengHei" w:hAnsi="Microsoft JhengHei"/>
        </w:rPr>
        <w:t>。現行決策日誌一律看 ① Sheet 13。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衝突 3：前提已失效（DR-21 / DR-07/18）</w:t>
      </w:r>
    </w:p>
    <w:p>
      <w:pPr>
        <w:pStyle w:val="ListBullet"/>
      </w:pPr>
      <w:r>
        <w:t>舊 §22 6 層 Memory 為「</w:t>
      </w:r>
      <w:r>
        <w:rPr>
          <w:b/>
        </w:rPr>
        <w:t>LINE 抽取 + 同意鏈</w:t>
      </w:r>
      <w:r>
        <w:t xml:space="preserve">」設計 → 但 </w:t>
      </w:r>
      <w:r>
        <w:rPr>
          <w:b/>
        </w:rPr>
        <w:t>DR-21 已決定不抽取 LINE</w:t>
      </w:r>
      <w:r>
        <w:t>。照搬 = 加回前提不成立的設計。</w:t>
      </w:r>
    </w:p>
    <w:p>
      <w:pPr>
        <w:pStyle w:val="ListBullet"/>
      </w:pPr>
      <w:r>
        <w:t xml:space="preserve">舊 §26 Eval Gate「Compliance Golden Set ≥300、召回 95%、FPR &lt;5%」→ 但 </w:t>
      </w:r>
      <w:r>
        <w:rPr>
          <w:b/>
        </w:rPr>
        <w:t>DR-07/18 = v1 lite 50 phrase、FPR &lt;10%</w:t>
      </w:r>
      <w:r>
        <w:t xml:space="preserve">。§26 是 </w:t>
      </w:r>
      <w:r>
        <w:rPr>
          <w:b/>
        </w:rPr>
        <w:t>Phase II 加厚到 600 時</w:t>
      </w:r>
      <w:r>
        <w:t>才適用的標準。</w:t>
      </w:r>
    </w:p>
    <w:p>
      <w:r>
        <w:rPr>
          <w:rFonts w:ascii="Microsoft JhengHei" w:hAnsi="Microsoft JhengHei"/>
          <w:b/>
        </w:rPr>
        <w:t>結論</w:t>
      </w:r>
      <w:r>
        <w:rPr>
          <w:rFonts w:ascii="Microsoft JhengHei" w:hAnsi="Microsoft JhengHei"/>
        </w:rPr>
        <w:t>：本藍圖是「Phase II/III 參考資產」，不是「照抄清單」。每項都標了 Phase 與 DR 衝擊。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Part 1：Phase 對應 + DR 衝擊 + 升級哪個 v7 輕量版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舊章</w:t>
            </w:r>
          </w:p>
        </w:tc>
        <w:tc>
          <w:tcPr>
            <w:tcW w:type="dxa" w:w="208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08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何時需要</w:t>
            </w:r>
          </w:p>
        </w:tc>
        <w:tc>
          <w:tcPr>
            <w:tcW w:type="dxa" w:w="208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升級 v7 哪個輕量版</w:t>
            </w:r>
          </w:p>
        </w:tc>
        <w:tc>
          <w:tcPr>
            <w:tcW w:type="dxa" w:w="208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DR 衝擊（是否需重設計）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§19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Agent Runtime 最終架構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II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簡單 agent loop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無，原則沿用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§20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2026-05 LLM/Agent 平台檢查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持續參考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附錄 B 模型路由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需更新到當期模型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§21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Agent Runtime Harness (SR-201~207)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無 harness（Pilot 不需）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原則沿用；Pilot 5 教練不需 manifest 控制面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§22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6 層 Memory Architecture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II/III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C1 7 欄位漸進（輔助捕捉）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⚠️ 需重設計</w:t>
            </w:r>
            <w:r>
              <w:rPr>
                <w:rFonts w:ascii="Microsoft JhengHei" w:hAnsi="Microsoft JhengHei"/>
                <w:sz w:val="18"/>
              </w:rPr>
              <w:t>：Customer Memory 原為 LINE 抽取，DR-21 後改 rep 輔助捕捉；scope/TTL/tenant 隔離原則仍有效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§23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Skills / Procedural Knowledge Layer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無 Skill Registry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原則沿用；compliance-rewrite-skill 的 ≥300 golden set 是 Phase II 加厚標準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§24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MCP / A2A / Tool Interop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II（MCP）/ III（A2A）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無（Pilot first-party only）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原則沿用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§25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Flow / State Machine 事件合約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 可參考輕量版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§6 核心流程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部分有效：idempotency_key / event schema 概念 Phase I 即可採；完整狀態機 Phase II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§26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Eval Harness / Model Upgrade Gate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NFR Regression ≥70% + Q041/Q042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⚠️ 標準不同</w:t>
            </w:r>
            <w:r>
              <w:rPr>
                <w:rFonts w:ascii="Microsoft JhengHei" w:hAnsi="Microsoft JhengHei"/>
                <w:sz w:val="18"/>
              </w:rPr>
              <w:t>：§26 是 600 詞庫級；v7 lite 是 50 phrase/FPR&lt;10%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§27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Agent Security Threat Model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 輕量 / Phase II 完整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Q044 紅隊 7 類 + R-01~09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部分有效：6 類威脅 Pilot 即需意識；完整控制 Phase II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§28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ENG-11~15 + NFR-011/012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Phase II（全 P1，除 trace）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⚠️ FR 撞號（見 Part 0）；ENG-11/NFR-011 trace 概念 Phase I 可輕量採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§29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Roadmap 調整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參考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v7 §12 4 週 Roadmap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 只取 minimal harness/trace/idempotency</w:t>
            </w:r>
          </w:p>
        </w:tc>
      </w:tr>
      <w:tr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§30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舊v6-DR-07~10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已被 ① DR 取代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① Sheet 13</w:t>
            </w:r>
          </w:p>
        </w:tc>
        <w:tc>
          <w:tcPr>
            <w:tcW w:type="dxa" w:w="208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DR 撞號（見 Part 0）</w:t>
            </w:r>
          </w:p>
        </w:tc>
      </w:tr>
    </w:tbl>
    <w:p>
      <w:r>
        <w:rPr>
          <w:rFonts w:ascii="Microsoft JhengHei" w:hAnsi="Microsoft JhengHei"/>
          <w:b/>
        </w:rPr>
        <w:t>Phase I 可輕量提前採用的（只有 3 個概念，不是整套）</w:t>
      </w:r>
      <w:r>
        <w:rPr>
          <w:rFonts w:ascii="Microsoft JhengHei" w:hAnsi="Microsoft JhengHei"/>
        </w:rPr>
        <w:t>：</w:t>
      </w:r>
    </w:p>
    <w:p>
      <w:pPr>
        <w:pStyle w:val="ListNumber"/>
      </w:pPr>
      <w:r>
        <w:t>event idempotency_key（§25）— 防外部發送重複執行</w:t>
      </w:r>
    </w:p>
    <w:p>
      <w:pPr>
        <w:pStyle w:val="ListNumber"/>
      </w:pPr>
      <w:r>
        <w:t>trace 基本欄位（§21 SR-205 / §28 NFR-011 輕量版）— route/model/risk_score/user_action</w:t>
      </w:r>
    </w:p>
    <w:p>
      <w:pPr>
        <w:pStyle w:val="ListNumber"/>
      </w:pPr>
      <w:r>
        <w:t>fail-closed 合規（§21 SR-207）— Compliance 失敗預設阻擋</w:t>
      </w:r>
    </w:p>
    <w:p>
      <w:r>
        <w:rPr>
          <w:rFonts w:ascii="Microsoft JhengHei" w:hAnsi="Microsoft JhengHei"/>
        </w:rPr>
        <w:t xml:space="preserve">其餘 §21-28 全部 </w:t>
      </w:r>
      <w:r>
        <w:rPr>
          <w:rFonts w:ascii="Microsoft JhengHei" w:hAnsi="Microsoft JhengHei"/>
          <w:b/>
        </w:rPr>
        <w:t>Phase II 以後</w:t>
      </w:r>
      <w:r>
        <w:rPr>
          <w:rFonts w:ascii="Microsoft JhengHei" w:hAnsi="Microsoft JhengHei"/>
        </w:rPr>
        <w:t>。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Part 2：§19-30 完整內容保存（重命名去撞號版）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§19 MVP Agent Runtime 最終架構</w:t>
      </w:r>
    </w:p>
    <w:p>
      <w:r>
        <w:rPr>
          <w:rFonts w:ascii="Microsoft JhengHei" w:hAnsi="Microsoft JhengHei"/>
        </w:rPr>
        <w:t>Phase I 先交付 minimal harness、trace schema、Compliance Eval Golden Set、event idempotency 與草稿模式；Phase II 再擴充 Memory Console、Skill Registry、MCP Gateway、Eval Dashboard。</w:t>
      </w:r>
    </w:p>
    <w:p>
      <w:pPr>
        <w:pStyle w:val="ListBullet"/>
      </w:pPr>
      <w:r>
        <w:t>Runtime：Agent Runtime Harness，工具/資料/預算/approval 由 manifest 控制</w:t>
      </w:r>
    </w:p>
    <w:p>
      <w:pPr>
        <w:pStyle w:val="ListBullet"/>
      </w:pPr>
      <w:r>
        <w:t>Memory：拆 Session/Long-term/Domain/Shared Team/Audit，全具 scope/TTL/consent</w:t>
      </w:r>
    </w:p>
    <w:p>
      <w:pPr>
        <w:pStyle w:val="ListBullet"/>
      </w:pPr>
      <w:r>
        <w:t>Skills：Skill Registry，把 SOP/合規改寫/LINE 話術/產品知識/coaching 做成版本化 skill pack</w:t>
      </w:r>
    </w:p>
    <w:p>
      <w:pPr>
        <w:pStyle w:val="ListBullet"/>
      </w:pPr>
      <w:r>
        <w:t>MCP/A2A：MCP 管工具與資料；A2A 管 agent-to-agent 委派</w:t>
      </w:r>
    </w:p>
    <w:p>
      <w:pPr>
        <w:pStyle w:val="ListBullet"/>
      </w:pPr>
      <w:r>
        <w:t>Evaluation：模型/prompt/skill/policy/RAG 更新皆需過 Eval Gate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§20 2026-05 LLM / Agent 平台檢查</w:t>
      </w:r>
    </w:p>
    <w:p>
      <w:pPr>
        <w:pStyle w:val="ListBullet"/>
      </w:pPr>
      <w:r>
        <w:t>OpenAI GPT-5.5/Codex/Agents SDK：1M context、Codex 長任務、computer use、MCP hosted tools、approval flow、guardrails</w:t>
      </w:r>
    </w:p>
    <w:p>
      <w:pPr>
        <w:pStyle w:val="ListBullet"/>
      </w:pPr>
      <w:r>
        <w:t>Anthropic Claude Opus 4.7/Agent SDK：harness、context compaction、permissions、hooks、Managed Agents memory、Skills</w:t>
      </w:r>
    </w:p>
    <w:p>
      <w:pPr>
        <w:pStyle w:val="ListBullet"/>
      </w:pPr>
      <w:r>
        <w:t>Google Gemini 3.1 Pro/Vertex Agent Engine/ADK：Sessions、Memory Bank、MCP、A2A、observability</w:t>
      </w:r>
    </w:p>
    <w:p>
      <w:pPr>
        <w:pStyle w:val="ListBullet"/>
      </w:pPr>
      <w:r>
        <w:t>xAI Grok 4.3：1M context、低成本、cached input（輔助研究，不作核心合規裁判）</w:t>
      </w:r>
    </w:p>
    <w:p>
      <w:pPr>
        <w:pStyle w:val="ListBullet"/>
      </w:pPr>
      <w:r>
        <w:t>Open-weight：私有部署、分類、摘要（Phase II low-risk classifier/routing pre-check）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§21 Agent Runtime Harness 規格（重命名 SR-201~207，Phase II）</w:t>
      </w:r>
    </w:p>
    <w:p>
      <w:pPr>
        <w:pStyle w:val="ListBullet"/>
      </w:pPr>
      <w:r>
        <w:t>SR-201 每 Agent 有 manifest（purpose/allowed_tools/forbidden_tools/data_scope/model_policy/budget/approval_policy/eval_set）；未註冊不可 production</w:t>
      </w:r>
    </w:p>
    <w:p>
      <w:pPr>
        <w:pStyle w:val="ListBullet"/>
      </w:pPr>
      <w:r>
        <w:t>SR-202 工具分級（Read-only/Draft/Write-with-approval/External-send/High-risk-admin）；External-send/admin 100% 需 approval</w:t>
      </w:r>
    </w:p>
    <w:p>
      <w:pPr>
        <w:pStyle w:val="ListBullet"/>
      </w:pPr>
      <w:r>
        <w:t>SR-203 Sandbox：browser/code/shell/computer-use 僅內部 admin，rep 端不開放；任何 run 必留 trace</w:t>
      </w:r>
    </w:p>
    <w:p>
      <w:pPr>
        <w:pStyle w:val="ListBullet"/>
      </w:pPr>
      <w:r>
        <w:t>SR-204 Tool approval flow：高風險生 interruption item，依角色批准；決策寫 audit，拒絕不得繞過重試</w:t>
      </w:r>
    </w:p>
    <w:p>
      <w:pPr>
        <w:pStyle w:val="ListBullet"/>
      </w:pPr>
      <w:r>
        <w:t>SR-205 Trace/replay：保存 route/prompt version/model/retrieval source/tools/output/risk_score/user action；可重放高風險事件</w:t>
      </w:r>
    </w:p>
    <w:p>
      <w:pPr>
        <w:pStyle w:val="ListBullet"/>
      </w:pPr>
      <w:r>
        <w:t>SR-206 Cost budget：每 workflow token/tool-call/frontier 上限；超出自動降級/batch/人工確認</w:t>
      </w:r>
    </w:p>
    <w:p>
      <w:pPr>
        <w:pStyle w:val="ListBullet"/>
      </w:pPr>
      <w:r>
        <w:t>SR-207 Fail-closed：合規 gate/資料刪除/外部發送/政策發布失敗預設阻擋；P0 不得 fail-open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§22 MEM / Memory Architecture（⚠️ DR-21 需重設計）</w:t>
      </w:r>
    </w:p>
    <w:p>
      <w:r>
        <w:rPr>
          <w:rFonts w:ascii="Microsoft JhengHei" w:hAnsi="Microsoft JhengHei"/>
        </w:rPr>
        <w:t xml:space="preserve">6 層：Session（session_id, TTL 30-90d）/ User Long-term（rep_id, 需同意）/ Customer（customer_id+tenant, </w:t>
      </w:r>
      <w:r>
        <w:rPr>
          <w:rFonts w:ascii="Microsoft JhengHei" w:hAnsi="Microsoft JhengHei"/>
          <w:b/>
        </w:rPr>
        <w:t>原為同意資料抽取→DR-21 後改 rep 輔助捕捉</w:t>
      </w:r>
      <w:r>
        <w:rPr>
          <w:rFonts w:ascii="Microsoft JhengHei" w:hAnsi="Microsoft JhengHei"/>
        </w:rPr>
        <w:t>）/ Team Shared（team_id, Leader 審批去識別）/ Domain-Brand（brand_id+version, admin 發布）/ Audit（tenant_id, rollback/redaction 防 poisoning）</w:t>
      </w:r>
    </w:p>
    <w:p>
      <w:pPr>
        <w:pStyle w:val="ListBullet"/>
      </w:pPr>
      <w:r>
        <w:t>Memory 寫入過 Memory Guard：PII filter/policy check/來源信任/可否長期保存</w:t>
      </w:r>
    </w:p>
    <w:p>
      <w:pPr>
        <w:pStyle w:val="ListBullet"/>
      </w:pPr>
      <w:r>
        <w:t>Retrieval 帶 scope filter，禁全域向量跨 tenant</w:t>
      </w:r>
    </w:p>
    <w:p>
      <w:pPr>
        <w:pStyle w:val="ListBullet"/>
      </w:pPr>
      <w:r>
        <w:t>所有更新可追 source event；可 redaction/rollback/export</w:t>
      </w:r>
    </w:p>
    <w:p>
      <w:pPr>
        <w:pStyle w:val="ListBullet"/>
      </w:pPr>
      <w:r>
        <w:rPr>
          <w:b/>
        </w:rPr>
        <w:t>⚠️ DR-21 衝擊</w:t>
      </w:r>
      <w:r>
        <w:t>：Customer Memory 不再從 LINE 抽取；改 rep 輔助捕捉（貼上/OCR/語音/Share）。6 層 scope/TTL/tenant-isolation 原則仍有效，但「同意鏈」設計移除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§23 Skills / Procedural Knowledge Layer（Phase II）</w:t>
      </w:r>
    </w:p>
    <w:p>
      <w:r>
        <w:rPr>
          <w:rFonts w:ascii="Microsoft JhengHei" w:hAnsi="Microsoft JhengHei"/>
        </w:rPr>
        <w:t>版本化程序知識層（對齊 Claude Agent Skills progressive disclosure）：</w:t>
      </w:r>
    </w:p>
    <w:p>
      <w:pPr>
        <w:pStyle w:val="ListBullet"/>
      </w:pPr>
      <w:r>
        <w:t xml:space="preserve">compliance-rewrite-skill（Owner: Legal+AI Eng；門檻 ≥300 golden set, FPR&lt;5% — </w:t>
      </w:r>
      <w:r>
        <w:rPr>
          <w:b/>
        </w:rPr>
        <w:t>Phase II 加厚標準</w:t>
      </w:r>
      <w:r>
        <w:t>）</w:t>
      </w:r>
    </w:p>
    <w:p>
      <w:pPr>
        <w:pStyle w:val="ListBullet"/>
      </w:pPr>
      <w:r>
        <w:t>line-followup-skill（Owner: Domain Lead；Rep rating ≥4/5）</w:t>
      </w:r>
    </w:p>
    <w:p>
      <w:pPr>
        <w:pStyle w:val="ListBullet"/>
      </w:pPr>
      <w:r>
        <w:t>product-claims-ingestion-skill（Owner: Brand Admin；Legal approval）</w:t>
      </w:r>
    </w:p>
    <w:p>
      <w:pPr>
        <w:pStyle w:val="ListBullet"/>
      </w:pPr>
      <w:r>
        <w:t>leader-coaching-skill（Owner: Sales Ops；採用率 ≥60%）</w:t>
      </w:r>
    </w:p>
    <w:p>
      <w:pPr>
        <w:pStyle w:val="ListBullet"/>
      </w:pPr>
      <w:r>
        <w:t>objection-handling-skill（Owner: Domain Lead；eval pass ≥90%）</w:t>
      </w:r>
    </w:p>
    <w:p>
      <w:r>
        <w:rPr>
          <w:rFonts w:ascii="Microsoft JhengHei" w:hAnsi="Microsoft JhengHei"/>
        </w:rPr>
        <w:t>每 skill 有 version/owner/changelog/test set/rollback；走 staging→eval→approval→publish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§24 MCP / A2A / Tool Interoperability（MCP Phase II / A2A Phase III）</w:t>
      </w:r>
    </w:p>
    <w:p>
      <w:pPr>
        <w:pStyle w:val="ListBullet"/>
      </w:pPr>
      <w:r>
        <w:t>MCP Gateway：連 CRM/calendar/LINE/KB/analytics；需 allowlist/OAuth/schema validation/approval/rate limit</w:t>
      </w:r>
    </w:p>
    <w:p>
      <w:pPr>
        <w:pStyle w:val="ListBullet"/>
      </w:pPr>
      <w:r>
        <w:t>Tool Registry：tool_id/risk_tier/schema/owner/SLO/PII class/approval_required</w:t>
      </w:r>
    </w:p>
    <w:p>
      <w:pPr>
        <w:pStyle w:val="ListBullet"/>
      </w:pPr>
      <w:r>
        <w:t>A2A Gateway：跨 agent 委派；Agent Card/capability discovery/task state/timeout/handoff reason</w:t>
      </w:r>
    </w:p>
    <w:p>
      <w:pPr>
        <w:pStyle w:val="ListBullet"/>
      </w:pPr>
      <w:r>
        <w:t>Connector Policy：Phase I 只 first-party；Phase II vetted connector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§25 Flow / State Machine 事件合約（部分 Phase I 可採）</w:t>
      </w:r>
    </w:p>
    <w:p>
      <w:r>
        <w:rPr>
          <w:rFonts w:ascii="Microsoft JhengHei" w:hAnsi="Microsoft JhengHei"/>
        </w:rPr>
        <w:t>狀態：NEW→INTAKE_COMPLETED→SUMMARY_READY→CONVERSATION_PREP→COMPLIANCE_REVIEW→READY_TO_SEND→FOLLOWUP_SCHEDULED（含 BLOCKED/HUMAN_REVIEW/DORMANT/CLOSED 分支）</w:t>
      </w:r>
    </w:p>
    <w:p>
      <w:pPr>
        <w:pStyle w:val="ListBullet"/>
      </w:pPr>
      <w:r>
        <w:rPr>
          <w:b/>
        </w:rPr>
        <w:t>Phase I 可採</w:t>
      </w:r>
      <w:r>
        <w:t>：event_id/idempotency_key/tenant_id/actor_id/agent_id/source/timestamp/schema_version；外部發送可重試不可重複；LLM timeout 停可恢復節點不跳過 Compliance</w:t>
      </w:r>
    </w:p>
    <w:p>
      <w:pPr>
        <w:pStyle w:val="ListBullet"/>
      </w:pPr>
      <w:r>
        <w:t>完整狀態機 Phase II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§26 Eval Harness / Model Upgrade Gate（⚠️ Phase II 標準，非 v1 lite）</w:t>
      </w:r>
    </w:p>
    <w:p>
      <w:pPr>
        <w:pStyle w:val="ListBullet"/>
      </w:pPr>
      <w:r>
        <w:t>Compliance Golden Set：召回 &lt;95%/FPR &gt;5%/P0 漏攔 → 阻擋（</w:t>
      </w:r>
      <w:r>
        <w:rPr>
          <w:b/>
        </w:rPr>
        <w:t>Phase II 600 詞庫級</w:t>
      </w:r>
      <w:r>
        <w:t>）</w:t>
      </w:r>
    </w:p>
    <w:p>
      <w:pPr>
        <w:pStyle w:val="ListBullet"/>
      </w:pPr>
      <w:r>
        <w:t>RAG Faithfulness：引用過期/無 source → 阻擋</w:t>
      </w:r>
    </w:p>
    <w:p>
      <w:pPr>
        <w:pStyle w:val="ListBullet"/>
      </w:pPr>
      <w:r>
        <w:t>Prompt Injection/Tool Abuse：未授權工具/惡意 memory → 阻擋</w:t>
      </w:r>
    </w:p>
    <w:p>
      <w:pPr>
        <w:pStyle w:val="ListBullet"/>
      </w:pPr>
      <w:r>
        <w:t>Conversation Quality：rating &lt;4/5 或 accept &lt;60% → 阻擋</w:t>
      </w:r>
    </w:p>
    <w:p>
      <w:pPr>
        <w:pStyle w:val="ListBullet"/>
      </w:pPr>
      <w:r>
        <w:t>Cost/Latency：AI cost &gt;$0.30/rep/day 且無降級 → 阻擋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§27 Agent Security Threat Model（Phase I 輕量意識 / Phase II 完整）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威脅</w:t>
            </w:r>
          </w:p>
        </w:tc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控制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Prompt Injection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Input guardrail/instruction hierarchy/RAG isolation/Compliance Gate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Tool Poisoning/MCP Supply Chain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Server allowlist/schema review/description sanitization/approval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Memory Poisoning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Memory Guard/source trust score/human-review/rollback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Cross-tenant Leakage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tenant_id hard filter/RLS/retrieval audit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Model Drift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Model upgrade gate/canary/rollback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Automated Mis-send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 草稿模式；Phase II opt-in+approval+channel policy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§28 ENG-11~15 + NFR-011/012（⚠️ 撞號已重命名，Phase II）</w:t>
      </w:r>
    </w:p>
    <w:p>
      <w:pPr>
        <w:pStyle w:val="ListBullet"/>
      </w:pPr>
      <w:r>
        <w:t>ENG-11 Agent Runtime Harness（P0 Phase II）：AI 任務 100% 經 manifest/trace/budget</w:t>
      </w:r>
    </w:p>
    <w:p>
      <w:pPr>
        <w:pStyle w:val="ListBullet"/>
      </w:pPr>
      <w:r>
        <w:t>ENG-12 Memory Console（P1）：rep 查/刪 long-term memory；admin 審計</w:t>
      </w:r>
    </w:p>
    <w:p>
      <w:pPr>
        <w:pStyle w:val="ListBullet"/>
      </w:pPr>
      <w:r>
        <w:t>ENG-13 Skill Registry（P1）：每 skill owner/version/eval_set；publish 需 approval</w:t>
      </w:r>
    </w:p>
    <w:p>
      <w:pPr>
        <w:pStyle w:val="ListBullet"/>
      </w:pPr>
      <w:r>
        <w:t>ENG-14 MCP Gateway（P1）：external tools 經 allowlist/auth/rate limit/approval</w:t>
      </w:r>
    </w:p>
    <w:p>
      <w:pPr>
        <w:pStyle w:val="ListBullet"/>
      </w:pPr>
      <w:r>
        <w:t>ENG-15 Eval Dashboard（P1）：顯示 regression；未過 gate 不可發布</w:t>
      </w:r>
    </w:p>
    <w:p>
      <w:pPr>
        <w:pStyle w:val="ListBullet"/>
      </w:pPr>
      <w:r>
        <w:t>NFR-011 Trace Replay（P0）：高風險訊息 5 分鐘內查完整決策鏈（</w:t>
      </w:r>
      <w:r>
        <w:rPr>
          <w:b/>
        </w:rPr>
        <w:t>Phase I 可輕量採</w:t>
      </w:r>
      <w:r>
        <w:t>）</w:t>
      </w:r>
    </w:p>
    <w:p>
      <w:pPr>
        <w:pStyle w:val="ListBullet"/>
      </w:pPr>
      <w:r>
        <w:t>NFR-012 Memory Safety（P0）：跨 tenant retrieval 100% 阻擋；poisoning red-team 必過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§29 Roadmap 調整</w:t>
      </w:r>
    </w:p>
    <w:p>
      <w:pPr>
        <w:pStyle w:val="ListBullet"/>
      </w:pPr>
      <w:r>
        <w:t>Phase I：草稿模式 + minimal harness + trace schema + Compliance Eval Golden Set + event idempotency</w:t>
      </w:r>
    </w:p>
    <w:p>
      <w:pPr>
        <w:pStyle w:val="ListBullet"/>
      </w:pPr>
      <w:r>
        <w:t>Phase II：Memory Console + Skill Registry + MCP Gateway + Eval Dashboard + Brand policy publish</w:t>
      </w:r>
    </w:p>
    <w:p>
      <w:pPr>
        <w:pStyle w:val="ListBullet"/>
      </w:pPr>
      <w:r>
        <w:t>Phase III：A2A Gateway + 跨品牌 marketplace + vetted connectors + managed memory + 多國合規包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§30 舊v6-DR-07~10（已被 ① Sheet 13 取代，僅存查）</w:t>
      </w:r>
    </w:p>
    <w:p>
      <w:pPr>
        <w:pStyle w:val="ListBullet"/>
      </w:pPr>
      <w:r>
        <w:t>舊v6-DR-07 Memory 6 層｜舊v6-DR-08 Skill Registry｜舊v6-DR-09 MCP管工具/A2A管委派｜舊v6-DR-10 Harness manifest 控制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Part 3：Phase II 啟動時的「不可照抄」清單</w:t>
      </w:r>
    </w:p>
    <w:p>
      <w:r>
        <w:rPr>
          <w:rFonts w:ascii="Microsoft JhengHei" w:hAnsi="Microsoft JhengHei"/>
        </w:rPr>
        <w:t>加厚時這幾項</w:t>
      </w:r>
      <w:r>
        <w:rPr>
          <w:rFonts w:ascii="Microsoft JhengHei" w:hAnsi="Microsoft JhengHei"/>
          <w:b/>
        </w:rPr>
        <w:t>必須先重設計</w:t>
      </w:r>
      <w:r>
        <w:rPr>
          <w:rFonts w:ascii="Microsoft JhengHei" w:hAnsi="Microsoft JhengHei"/>
        </w:rPr>
        <w:t>，不可直接複製舊 v6：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為何不可照抄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重設計方向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§22 Customer Memory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原為 LINE 抽取+同意鏈；DR-21 已廢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改 rep 輔助捕捉來源；保留 scope/TTL/tenant 隔離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§26 Compliance Golden Set 標準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原 600 詞庫/FPR&lt;5%；v1 是 50 phrase/FPR&lt;10%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II 加厚到 600 時才套此標準，分階段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§28 FR-011~015 編號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與 v7 FR-011~015 撞號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一律用 ENG-11~15；現行 build 看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§30 DR-07~10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與 ① DR 撞號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一律看 ① Sheet 13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Part 4：決策日誌（寫回 ① Sheet 13）</w:t>
      </w:r>
    </w:p>
    <w:p>
      <w:r>
        <w:rPr>
          <w:rFonts w:ascii="Microsoft JhengHei" w:hAnsi="Microsoft JhengHei"/>
          <w:b/>
        </w:rPr>
        <w:t>DR-30</w:t>
      </w:r>
      <w:r>
        <w:rPr>
          <w:rFonts w:ascii="Microsoft JhengHei" w:hAnsi="Microsoft JhengHei"/>
        </w:rPr>
        <w:t>：舊 v6 §19-30 工程深度設計 → 保留為「Phase II/III 工程深度藍圖」獨立文件，</w:t>
      </w:r>
      <w:r>
        <w:rPr>
          <w:rFonts w:ascii="Microsoft JhengHei" w:hAnsi="Microsoft JhengHei"/>
          <w:b/>
        </w:rPr>
        <w:t>不入 Phase I V7 Pilot scope</w:t>
      </w:r>
      <w:r>
        <w:rPr>
          <w:rFonts w:ascii="Microsoft JhengHei" w:hAnsi="Microsoft JhengHei"/>
        </w:rPr>
        <w:t>。原因：(1) 重型基建會毀 Mailchimp Playbook lean MVP；(2) §22 6 層 Memory 前提（LINE 抽取）已被 DR-21 廢除，照搬會加回過時設計；(3) §26 Eval 標準（600 詞庫）與 DR-07/18（50 phrase lite）矛盾。Phase I 僅輕量提前採 3 概念：event idempotency / 基本 trace / fail-closed 合規。日期 2026-05-16。</w:t>
      </w:r>
    </w:p>
    <w:p>
      <w:pPr>
        <w:pBdr>
          <w:bottom w:val="single" w:sz="6" w:color="808080"/>
        </w:pBdr>
      </w:pPr>
    </w:p>
    <w:p>
      <w:r>
        <w:rPr>
          <w:rFonts w:ascii="Microsoft JhengHei" w:hAnsi="Microsoft JhengHei"/>
          <w:i/>
        </w:rPr>
        <w:t>本藍圖對應：比較圖表_舊04v6PRD_vs_新v7MVP / v7 MVP 規格書 §5.2 / ① Sheet 13 DR-30。Phase II 啟動前必讀 Part 0 + Part 3。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