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1.png" ContentType="image/png"/>
  <Override PartName="/word/media/rId49.png" ContentType="image/png"/>
  <Override PartName="/word/media/rId45.png" ContentType="image/png"/>
  <Override PartName="/word/media/rId2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 as Experts, Deploy as Dense: Sequence-Level Mixture-of-LoRA Adaptation of a 4-bit Vision-Language Model for Edge Devices</w:t>
      </w:r>
    </w:p>
    <w:p>
      <w:pPr>
        <w:pStyle w:val="Author"/>
      </w:pPr>
      <w:r>
        <w:t xml:space="preserve">Harsh Raj¹, Instrumentation &amp; Control Engineering Department, Netaji Subhas University of Technology, New Delhi, India-110078, harsh.raj.ug23@nsut.ac.in, ORCID 0009-0000-3091-1946</w:t>
      </w:r>
    </w:p>
    <w:p>
      <w:pPr>
        <w:pStyle w:val="Author"/>
      </w:pPr>
      <w:r>
        <w:t xml:space="preserve">Saurav Kumar², Instrumentation &amp; Control Engineering Department, Netaji Subhas University of Technology, New Delhi, India-110078, saurav.kumar_ug23@nsut.ac.in, ORCID 0009-0003-2525-1316</w:t>
      </w:r>
    </w:p>
    <w:p>
      <w:pPr>
        <w:pStyle w:val="Author"/>
      </w:pPr>
      <w:r>
        <w:t xml:space="preserve">Rumeshi Mittal³, Instrumentation &amp; Control Engineering Department, Netaji Subhas University of Technology, New Delhi, India-110078, rumeshi.mittal.ug23@nsut.ac.in, ORCID 0009-0001-0925-6542</w:t>
      </w:r>
    </w:p>
    <w:p>
      <w:pPr>
        <w:pStyle w:val="Author"/>
      </w:pPr>
      <w:r>
        <w:t xml:space="preserve">Vicky Suri⁴, Instrumentation &amp; Control Engineering Department, Netaji Subhas University of Technology, New Delhi, India-110078, vickysuri@nsut.ac.in</w:t>
      </w:r>
    </w:p>
    <w:p>
      <w:pPr>
        <w:pStyle w:val="AbstractTitle"/>
      </w:pPr>
      <w:r>
        <w:t xml:space="preserve">Abstract</w:t>
      </w:r>
    </w:p>
    <w:p>
      <w:pPr>
        <w:pStyle w:val="Abstract"/>
      </w:pPr>
      <w:r>
        <w:t xml:space="preserve">Vision-language models (VLMs) can read documents and charts and reason about scenes, but they are large,</w:t>
      </w:r>
      <w:r>
        <w:t xml:space="preserve"> </w:t>
      </w:r>
      <w:r>
        <w:t xml:space="preserve">and serving several tasks on one small device usually means storing several models. We adapt</w:t>
      </w:r>
      <w:r>
        <w:t xml:space="preserve"> </w:t>
      </w:r>
      <w:r>
        <w:t xml:space="preserve">Qwen2-VL-2B, quantised to 4 bits, to document VQA, chart QA and visual spatial reasoning with a mixture</w:t>
      </w:r>
      <w:r>
        <w:t xml:space="preserve"> </w:t>
      </w:r>
      <w:r>
        <w:t xml:space="preserve">of LoRA experts (MoE-LoRA) whose router reads the question once and picks one expert for the whole</w:t>
      </w:r>
      <w:r>
        <w:t xml:space="preserve"> </w:t>
      </w:r>
      <w:r>
        <w:t xml:space="preserve">answer. Training runs on a single 16 GB T4 GPU, with the full-precision model as a distillation teacher.</w:t>
      </w:r>
      <w:r>
        <w:t xml:space="preserve"> </w:t>
      </w:r>
      <w:r>
        <w:t xml:space="preserve">On held-out test data this sequence-level MoE-LoRA is as accurate as a dense LoRA of the same rank</w:t>
      </w:r>
      <w:r>
        <w:t xml:space="preserve"> </w:t>
      </w:r>
      <w:r>
        <w:t xml:space="preserve">(−0.7 points, 95% CI [−1.7, +0.4], three seeds), yet its experts line up with the</w:t>
      </w:r>
      <w:r>
        <w:t xml:space="preserve"> </w:t>
      </w:r>
      <w:r>
        <w:t xml:space="preserve">tasks without ever seeing a task label, carrying about ten times more task information than</w:t>
      </w:r>
      <w:r>
        <w:t xml:space="preserve"> </w:t>
      </w:r>
      <w:r>
        <w:t xml:space="preserve">token-level experts. Since every request uses a single expert, the experts fold into ordinary per-task</w:t>
      </w:r>
      <w:r>
        <w:t xml:space="preserve"> </w:t>
      </w:r>
      <w:r>
        <w:t xml:space="preserve">checkpoints with no loss: on a 4 GB GTX 1650 laptop GPU the folded model costs exactly what the 4-bit</w:t>
      </w:r>
      <w:r>
        <w:t xml:space="preserve"> </w:t>
      </w:r>
      <w:r>
        <w:t xml:space="preserve">base costs (2.0 GB peak, 18.8 tokens/s), while keeping the router adds 11% memory and slows decoding</w:t>
      </w:r>
      <w:r>
        <w:t xml:space="preserve"> </w:t>
      </w:r>
      <w:r>
        <w:t xml:space="preserve">by 24%. With HQQ 4-bit quantisation, MoE-LoRA reaches 79.6 points, 2.8 above the original</w:t>
      </w:r>
      <w:r>
        <w:t xml:space="preserve"> </w:t>
      </w:r>
      <w:r>
        <w:t xml:space="preserve">full-precision model (95% CI [+0.4, +5.2]), while peak GPU memory drops from 4.2 GB to 1.9 GB; the</w:t>
      </w:r>
      <w:r>
        <w:t xml:space="preserve"> </w:t>
      </w:r>
      <w:r>
        <w:t xml:space="preserve">full-precision model does not even fit on the 4 GB GPU. We also tried MoPEQ-style per-layer bit</w:t>
      </w:r>
      <w:r>
        <w:t xml:space="preserve"> </w:t>
      </w:r>
      <w:r>
        <w:t xml:space="preserve">allocation. It helps the untuned model a little at every memory budget (+1.2 to +2.2 points, not</w:t>
      </w:r>
      <w:r>
        <w:t xml:space="preserve"> </w:t>
      </w:r>
      <w:r>
        <w:t xml:space="preserve">significant on its own), stops helping once the adapters are trained, and goes badly wrong when</w:t>
      </w:r>
      <w:r>
        <w:t xml:space="preserve"> </w:t>
      </w:r>
      <w:r>
        <w:t xml:space="preserve">sensitivity comes from a cheap Hessian-trace estimate.</w:t>
      </w:r>
    </w:p>
    <w:p>
      <w:pPr>
        <w:pStyle w:val="FirstParagraph"/>
      </w:pPr>
      <w:r>
        <w:rPr>
          <w:b/>
          <w:bCs/>
          <w:i/>
          <w:iCs/>
        </w:rPr>
        <w:t xml:space="preserve">Index Terms</w:t>
      </w:r>
      <w:r>
        <w:t xml:space="preserve">—</w:t>
      </w:r>
      <w:r>
        <w:t xml:space="preserve"> </w:t>
      </w:r>
      <w:r>
        <w:t xml:space="preserve">vision-language models, mixture of experts, LoRA, quantization, edge deployment, knowledge distillation</w:t>
      </w:r>
    </w:p>
    <w:bookmarkStart w:id="9" w:name="i.-introduction"/>
    <w:p>
      <w:pPr>
        <w:sectPr>
          <w:type w:val="continuous"/>
          <w:pgSz w:w="12240" w:h="15840"/>
          <w:pgMar w:top="1080" w:right="1022" w:bottom="1440" w:left="1022" w:header="720" w:footer="720" w:gutter="0"/>
          <w:cols w:space="360"/>
        </w:sectPr>
      </w:pPr>
    </w:p>
    <w:p>
      <w:pPr>
        <w:pStyle w:val="Heading1"/>
      </w:pPr>
      <w:r>
        <w:t xml:space="preserve">I. Introduction</w:t>
      </w:r>
    </w:p>
    <w:p>
      <w:pPr>
        <w:pStyle w:val="FirstParagraph"/>
      </w:pPr>
      <w:r>
        <w:t xml:space="preserve">Compact VLMs such as Qwen2-VL-2B </w:t>
      </w:r>
      <w:r>
        <w:t xml:space="preserve">[1]</w:t>
      </w:r>
      <w:r>
        <w:t xml:space="preserve"> </w:t>
      </w:r>
      <w:r>
        <w:t xml:space="preserve">can read documents and charts and reason about</w:t>
      </w:r>
      <w:r>
        <w:t xml:space="preserve"> </w:t>
      </w:r>
      <w:r>
        <w:t xml:space="preserve">scenes, so they are natural candidates for offline use on laptops, embedded boards and field equipment.</w:t>
      </w:r>
      <w:r>
        <w:t xml:space="preserve"> </w:t>
      </w:r>
      <w:r>
        <w:t xml:space="preserve">Two things get in the way. The full-precision weights alone take about 4.1 GB, and many edge GPUs have</w:t>
      </w:r>
      <w:r>
        <w:t xml:space="preserve"> </w:t>
      </w:r>
      <w:r>
        <w:t xml:space="preserve">4 GB or less. And a single device is often asked to do several different jobs: one shared model tends</w:t>
      </w:r>
      <w:r>
        <w:t xml:space="preserve"> </w:t>
      </w:r>
      <w:r>
        <w:t xml:space="preserve">to lose accuracy, while one model per job multiplies storage.</w:t>
      </w:r>
    </w:p>
    <w:p>
      <w:pPr>
        <w:pStyle w:val="BodyText"/>
      </w:pPr>
      <w:r>
        <w:t xml:space="preserve">Low-rank adapters (LoRA) </w:t>
      </w:r>
      <w:r>
        <w:t xml:space="preserve">[2]</w:t>
      </w:r>
      <w:r>
        <w:t xml:space="preserve"> </w:t>
      </w:r>
      <w:r>
        <w:t xml:space="preserve">trained on top of a 4-bit base</w:t>
      </w:r>
      <w:r>
        <w:t xml:space="preserve"> </w:t>
      </w:r>
      <w:r>
        <w:t xml:space="preserve">(QLoRA) </w:t>
      </w:r>
      <w:r>
        <w:t xml:space="preserve">[3]</w:t>
      </w:r>
      <w:r>
        <w:t xml:space="preserve"> </w:t>
      </w:r>
      <w:r>
        <w:t xml:space="preserve">make training cheap enough for one small GPU. Mixtures of LoRA</w:t>
      </w:r>
      <w:r>
        <w:t xml:space="preserve"> </w:t>
      </w:r>
      <w:r>
        <w:t xml:space="preserve">experts </w:t>
      </w:r>
      <w:r>
        <w:t xml:space="preserve">[4], [5]</w:t>
      </w:r>
      <w:r>
        <w:t xml:space="preserve"> </w:t>
      </w:r>
      <w:r>
        <w:t xml:space="preserve">tackle the multi-task problem by giving the model several</w:t>
      </w:r>
      <w:r>
        <w:t xml:space="preserve"> </w:t>
      </w:r>
      <w:r>
        <w:t xml:space="preserve">adapters and a router, much like sparse mixture-of-experts layers </w:t>
      </w:r>
      <w:r>
        <w:t xml:space="preserve">[6], [7]</w:t>
      </w:r>
      <w:r>
        <w:t xml:space="preserve">.</w:t>
      </w:r>
      <w:r>
        <w:t xml:space="preserve"> </w:t>
      </w:r>
      <w:r>
        <w:t xml:space="preserve">The catch is deployment: a live router and extra experts cost memory and latency, which an edge device</w:t>
      </w:r>
      <w:r>
        <w:t xml:space="preserve"> </w:t>
      </w:r>
      <w:r>
        <w:t xml:space="preserve">can least afford, and token-level routers rarely end up with experts that match recognisable tasks.</w:t>
      </w:r>
    </w:p>
    <w:p>
      <w:pPr>
        <w:pStyle w:val="BodyText"/>
      </w:pPr>
      <w:r>
        <w:t xml:space="preserve">We ask whether MoE-LoRA can be trained with multi-task capacity and then shipped at the cost of the base</w:t>
      </w:r>
      <w:r>
        <w:t xml:space="preserve"> </w:t>
      </w:r>
      <w:r>
        <w:t xml:space="preserve">model. Concretely, we contribute:</w:t>
      </w:r>
    </w:p>
    <w:p>
      <w:pPr>
        <w:numPr>
          <w:ilvl w:val="0"/>
          <w:numId w:val="1001"/>
        </w:numPr>
      </w:pPr>
      <w:r>
        <w:t xml:space="preserve">A MoE-LoRA layer for the MLP blocks of a 4-bit VLM whose router decides once per request, from the</w:t>
      </w:r>
      <w:r>
        <w:t xml:space="preserve"> </w:t>
      </w:r>
      <w:r>
        <w:t xml:space="preserve">question text, which expert to use, trained with top-</w:t>
      </w:r>
      <m:oMath>
        <m:r>
          <m:t>k</m:t>
        </m:r>
      </m:oMath>
      <w:r>
        <w:t xml:space="preserve"> </w:t>
      </w:r>
      <w:r>
        <w:t xml:space="preserve">distillation from the full-precision model on</w:t>
      </w:r>
      <w:r>
        <w:t xml:space="preserve"> </w:t>
      </w:r>
      <w:r>
        <w:t xml:space="preserve">one T4 GPU.</w:t>
      </w:r>
    </w:p>
    <w:p>
      <w:pPr>
        <w:numPr>
          <w:ilvl w:val="0"/>
          <w:numId w:val="1001"/>
        </w:numPr>
      </w:pPr>
      <w:r>
        <w:t xml:space="preserve">A three-seed comparison on held-out test data against dense LoRA (same rank and same parameter</w:t>
      </w:r>
      <w:r>
        <w:t xml:space="preserve"> </w:t>
      </w:r>
      <w:r>
        <w:t xml:space="preserve">count) and token-level routing, with paired bootstrap tests.</w:t>
      </w:r>
    </w:p>
    <w:p>
      <w:pPr>
        <w:numPr>
          <w:ilvl w:val="0"/>
          <w:numId w:val="1001"/>
        </w:numPr>
      </w:pPr>
      <w:r>
        <w:t xml:space="preserve">Evidence that the per-request router finds the tasks by itself (0.48 vs 0.05 bits of task–expert</w:t>
      </w:r>
      <w:r>
        <w:t xml:space="preserve"> </w:t>
      </w:r>
      <w:r>
        <w:t xml:space="preserve">mutual information) and that its experts fold into plain per-task checkpoints, which run on a 4 GB</w:t>
      </w:r>
      <w:r>
        <w:t xml:space="preserve"> </w:t>
      </w:r>
      <w:r>
        <w:t xml:space="preserve">laptop GPU with no overhead over the base model.</w:t>
      </w:r>
    </w:p>
    <w:p>
      <w:pPr>
        <w:numPr>
          <w:ilvl w:val="0"/>
          <w:numId w:val="1001"/>
        </w:numPr>
      </w:pPr>
      <w:r>
        <w:t xml:space="preserve">A memory–accuracy study against the unquantised model, covering per-component and MoPEQ-style</w:t>
      </w:r>
      <w:r>
        <w:t xml:space="preserve"> </w:t>
      </w:r>
      <w:r>
        <w:t xml:space="preserve">per-layer mixed precision: with an HQQ base the adapted model is significantly more accurate than fp16</w:t>
      </w:r>
      <w:r>
        <w:t xml:space="preserve"> </w:t>
      </w:r>
      <w:r>
        <w:t xml:space="preserve">(</w:t>
      </w:r>
      <m:oMath>
        <m:r>
          <m:rPr>
            <m:sty m:val="p"/>
          </m:rPr>
          <m:t>+</m:t>
        </m:r>
        <m:r>
          <m:t>2.8</m:t>
        </m:r>
      </m:oMath>
      <w:r>
        <w:t xml:space="preserve"> </w:t>
      </w:r>
      <w:r>
        <w:t xml:space="preserve">points,</w:t>
      </w:r>
      <w:r>
        <w:t xml:space="preserve"> </w:t>
      </w:r>
      <m:oMath>
        <m:r>
          <m:t>p</m:t>
        </m:r>
        <m:r>
          <m:rPr>
            <m:sty m:val="p"/>
          </m:rPr>
          <m:t>=</m:t>
        </m:r>
        <m:r>
          <m:t>0.01</m:t>
        </m:r>
      </m:oMath>
      <w:r>
        <w:t xml:space="preserve">) with peak GPU memory cut from 4.2 GB to 1.9 GB.</w:t>
      </w:r>
    </w:p>
    <w:bookmarkEnd w:id="9"/>
    <w:bookmarkStart w:id="10" w:name="ii.-related-work"/>
    <w:p>
      <w:pPr>
        <w:pStyle w:val="Heading1"/>
      </w:pPr>
      <w:r>
        <w:t xml:space="preserve">II. Related Work</w:t>
      </w:r>
    </w:p>
    <w:p>
      <w:pPr>
        <w:pStyle w:val="FirstParagraph"/>
      </w:pPr>
      <w:r>
        <w:rPr>
          <w:b/>
          <w:bCs/>
        </w:rPr>
        <w:t xml:space="preserve">Parameter-efficient adaptation.</w:t>
      </w:r>
      <w:r>
        <w:t xml:space="preserve"> </w:t>
      </w:r>
      <w:r>
        <w:t xml:space="preserve">LoRA </w:t>
      </w:r>
      <w:r>
        <w:t xml:space="preserve">[2]</w:t>
      </w:r>
      <w:r>
        <w:t xml:space="preserve"> </w:t>
      </w:r>
      <w:r>
        <w:t xml:space="preserve">learns low-rank updates to frozen</w:t>
      </w:r>
      <w:r>
        <w:t xml:space="preserve"> </w:t>
      </w:r>
      <w:r>
        <w:t xml:space="preserve">weights; QLoRA </w:t>
      </w:r>
      <w:r>
        <w:t xml:space="preserve">[3]</w:t>
      </w:r>
      <w:r>
        <w:t xml:space="preserve"> </w:t>
      </w:r>
      <w:r>
        <w:t xml:space="preserve">trains them on top of a 4-bit NF4 base, which we adopt. MoPEQ </w:t>
      </w:r>
      <w:r>
        <w:t xml:space="preserve">[8]</w:t>
      </w:r>
      <w:r>
        <w:t xml:space="preserve"> </w:t>
      </w:r>
      <w:r>
        <w:t xml:space="preserve">assigns mixed bit widths to the experts of large pretrained MoE VLMs by sensitivity; our small experts</w:t>
      </w:r>
      <w:r>
        <w:t xml:space="preserve"> </w:t>
      </w:r>
      <w:r>
        <w:t xml:space="preserve">are folded away (Section </w:t>
      </w:r>
      <w:hyperlink w:anchor="sec:concl">
        <w:r>
          <w:rPr>
            <w:rStyle w:val="Hyperlink"/>
          </w:rPr>
          <w:t xml:space="preserve">6</w:t>
        </w:r>
      </w:hyperlink>
      <w:r>
        <w:t xml:space="preserve">), so we keep them in full precision and study mixed precision of the base.</w:t>
      </w:r>
      <w:r>
        <w:t xml:space="preserve"> </w:t>
      </w:r>
      <w:r>
        <w:rPr>
          <w:b/>
          <w:bCs/>
        </w:rPr>
        <w:t xml:space="preserve">Mixture of experts.</w:t>
      </w:r>
      <w:r>
        <w:t xml:space="preserve"> </w:t>
      </w:r>
      <w:r>
        <w:t xml:space="preserve">Sparsely gated MoE layers </w:t>
      </w:r>
      <w:r>
        <w:t xml:space="preserve">[6]</w:t>
      </w:r>
      <w:r>
        <w:t xml:space="preserve"> </w:t>
      </w:r>
      <w:r>
        <w:t xml:space="preserve">and Switch</w:t>
      </w:r>
      <w:r>
        <w:t xml:space="preserve"> </w:t>
      </w:r>
      <w:r>
        <w:t xml:space="preserve">Transformers </w:t>
      </w:r>
      <w:r>
        <w:t xml:space="preserve">[7]</w:t>
      </w:r>
      <w:r>
        <w:t xml:space="preserve"> </w:t>
      </w:r>
      <w:r>
        <w:t xml:space="preserve">route tokens to experts with load-balancing losses; router</w:t>
      </w:r>
      <w:r>
        <w:t xml:space="preserve"> </w:t>
      </w:r>
      <m:oMath>
        <m:r>
          <m:t>z</m:t>
        </m:r>
      </m:oMath>
      <w:r>
        <w:t xml:space="preserve">-losses </w:t>
      </w:r>
      <w:r>
        <w:t xml:space="preserve">[9]</w:t>
      </w:r>
      <w:r>
        <w:t xml:space="preserve"> </w:t>
      </w:r>
      <w:r>
        <w:t xml:space="preserve">stabilise training. Mixtures of LoRA experts apply the idea to</w:t>
      </w:r>
      <w:r>
        <w:t xml:space="preserve"> </w:t>
      </w:r>
      <w:r>
        <w:t xml:space="preserve">adapters </w:t>
      </w:r>
      <w:r>
        <w:t xml:space="preserve">[4], [5]</w:t>
      </w:r>
      <w:r>
        <w:t xml:space="preserve">. These works route at token level and keep the router</w:t>
      </w:r>
      <w:r>
        <w:t xml:space="preserve"> </w:t>
      </w:r>
      <w:r>
        <w:t xml:space="preserve">at inference. We route at sequence level and fold experts away for deployment. We distil </w:t>
      </w:r>
      <w:r>
        <w:t xml:space="preserve">[10]</w:t>
      </w:r>
      <w:r>
        <w:t xml:space="preserve"> </w:t>
      </w:r>
      <w:r>
        <w:t xml:space="preserve">from the unquantised model into the 4-bit student.</w:t>
      </w:r>
    </w:p>
    <w:bookmarkEnd w:id="10"/>
    <w:bookmarkStart w:id="19" w:name="iii.-method"/>
    <w:p>
      <w:pPr>
        <w:pStyle w:val="Heading1"/>
      </w:pPr>
      <w:r>
        <w:t xml:space="preserve">III. Method</w:t>
      </w:r>
    </w:p>
    <w:bookmarkStart w:id="14" w:name="fig:arch"/>
    <w:p>
      <w:pPr>
        <w:pStyle w:val="CaptionedFigure"/>
      </w:pPr>
      <w:r>
        <w:drawing>
          <wp:inline>
            <wp:extent cx="3063240" cy="897091"/>
            <wp:effectExtent b="0" l="0" r="0" t="0"/>
            <wp:docPr descr="" title="" id="12" name="Picture"/>
            <a:graphic>
              <a:graphicData uri="http://schemas.openxmlformats.org/drawingml/2006/picture">
                <pic:pic>
                  <pic:nvPicPr>
                    <pic:cNvPr descr="figs/architecture.png" id="13" name="Picture"/>
                    <pic:cNvPicPr>
                      <a:picLocks noChangeArrowheads="1" noChangeAspect="1"/>
                    </pic:cNvPicPr>
                  </pic:nvPicPr>
                  <pic:blipFill>
                    <a:blip r:embed="rId11"/>
                    <a:stretch>
                      <a:fillRect/>
                    </a:stretch>
                  </pic:blipFill>
                  <pic:spPr bwMode="auto">
                    <a:xfrm>
                      <a:off x="0" y="0"/>
                      <a:ext cx="3063240" cy="897091"/>
                    </a:xfrm>
                    <a:prstGeom prst="rect">
                      <a:avLst/>
                    </a:prstGeom>
                    <a:noFill/>
                    <a:ln w="9525">
                      <a:noFill/>
                      <a:headEnd/>
                      <a:tailEnd/>
                    </a:ln>
                  </pic:spPr>
                </pic:pic>
              </a:graphicData>
            </a:graphic>
          </wp:inline>
        </w:drawing>
      </w:r>
    </w:p>
    <w:p>
      <w:pPr>
        <w:pStyle w:val="ImageCaption"/>
      </w:pPr>
      <w:r>
        <w:t xml:space="preserve">Fig. 1. (a) Training: the 4-bit base is frozen and shared; each language-model MLP carries four LoRA</w:t>
      </w:r>
      <w:r>
        <w:t xml:space="preserve"> </w:t>
      </w:r>
      <w:r>
        <w:t xml:space="preserve">experts, and a sequence-level router picks one expert per request from the pooled prompt. (b)</w:t>
      </w:r>
      <w:r>
        <w:t xml:space="preserve"> </w:t>
      </w:r>
      <w:r>
        <w:t xml:space="preserve">Deployment: the chosen expert is folded into the weights, giving a standard checkpoint per task with</w:t>
      </w:r>
      <w:r>
        <w:t xml:space="preserve"> </w:t>
      </w:r>
      <w:r>
        <w:t xml:space="preserve">the cost of the base model.</w:t>
      </w:r>
    </w:p>
    <w:bookmarkEnd w:id="14"/>
    <w:bookmarkStart w:id="15" w:name="a.-shared-base-moe-lora-layer"/>
    <w:p>
      <w:pPr>
        <w:pStyle w:val="Heading2"/>
      </w:pPr>
      <w:r>
        <w:t xml:space="preserve">A. Shared-base MoE-LoRA layer</w:t>
      </w:r>
    </w:p>
    <w:p>
      <w:pPr>
        <w:pStyle w:val="FirstParagraph"/>
      </w:pPr>
      <w:r>
        <w:t xml:space="preserve">Fig. </w:t>
      </w:r>
      <w:hyperlink w:anchor="fig:arch">
        <w:r>
          <w:rPr>
            <w:rStyle w:val="Hyperlink"/>
          </w:rPr>
          <w:t xml:space="preserve">1</w:t>
        </w:r>
      </w:hyperlink>
      <w:r>
        <w:t xml:space="preserve"> </w:t>
      </w:r>
      <w:r>
        <w:t xml:space="preserve">summarises the approach. Each MLP block of the language model,</w:t>
      </w:r>
      <w:r>
        <w:t xml:space="preserve"> </w:t>
      </w:r>
      <m:oMath>
        <m:r>
          <m:t>y</m:t>
        </m:r>
        <m:r>
          <m:rPr>
            <m:sty m:val="p"/>
          </m:rPr>
          <m:t>=</m:t>
        </m:r>
        <m:sSub>
          <m:e>
            <m:r>
              <m:t>W</m:t>
            </m:r>
          </m:e>
          <m:sub>
            <m:r>
              <m:t>d</m:t>
            </m:r>
          </m:sub>
        </m:sSub>
        <m:r>
          <m:t> </m:t>
        </m:r>
        <m:r>
          <m:rPr>
            <m:sty m:val="p"/>
          </m:rPr>
          <m:t>(</m:t>
        </m:r>
        <m:r>
          <m:t>σ</m:t>
        </m:r>
        <m:r>
          <m:rPr>
            <m:sty m:val="p"/>
          </m:rPr>
          <m:t>(</m:t>
        </m:r>
        <m:sSub>
          <m:e>
            <m:r>
              <m:t>W</m:t>
            </m:r>
          </m:e>
          <m:sub>
            <m:r>
              <m:t>g</m:t>
            </m:r>
          </m:sub>
        </m:sSub>
        <m:r>
          <m:t>x</m:t>
        </m:r>
        <m:r>
          <m:rPr>
            <m:sty m:val="p"/>
          </m:rPr>
          <m:t>)</m:t>
        </m:r>
        <m:r>
          <m:rPr>
            <m:sty m:val="p"/>
          </m:rPr>
          <m:t>⊙</m:t>
        </m:r>
        <m:sSub>
          <m:e>
            <m:r>
              <m:t>W</m:t>
            </m:r>
          </m:e>
          <m:sub>
            <m:r>
              <m:t>u</m:t>
            </m:r>
          </m:sub>
        </m:sSub>
        <m:r>
          <m:t>x</m:t>
        </m:r>
        <m:r>
          <m:rPr>
            <m:sty m:val="p"/>
          </m:rPr>
          <m:t>)</m:t>
        </m:r>
      </m:oMath>
      <w:r>
        <w:t xml:space="preserve">, keeps its frozen 4-bit</w:t>
      </w:r>
      <w:r>
        <w:t xml:space="preserve"> </w:t>
      </w:r>
      <w:r>
        <w:t xml:space="preserve">weights and receives</w:t>
      </w:r>
      <w:r>
        <w:t xml:space="preserve"> </w:t>
      </w:r>
      <m:oMath>
        <m:r>
          <m:t>E</m:t>
        </m:r>
      </m:oMath>
      <w:r>
        <w:t xml:space="preserve"> </w:t>
      </w:r>
      <w:r>
        <w:t xml:space="preserve">LoRA experts on each of the three projections:</w:t>
      </w:r>
    </w:p>
    <w:p>
      <w:pPr>
        <w:pStyle w:val="BodyText"/>
      </w:pPr>
      <m:oMathPara>
        <m:oMathParaPr>
          <m:jc m:val="center"/>
        </m:oMathParaPr>
        <m:oMath>
          <m:sSubSup>
            <m:e>
              <m:r>
                <m:t>W</m:t>
              </m:r>
            </m:e>
            <m:sub>
              <m:r>
                <m:t>p</m:t>
              </m:r>
            </m:sub>
            <m:sup>
              <m:r>
                <m:rPr>
                  <m:sty m:val="p"/>
                </m:rPr>
                <m:t>′</m:t>
              </m:r>
            </m:sup>
          </m:sSubSup>
          <m:r>
            <m:t>x</m:t>
          </m:r>
          <m:r>
            <m:rPr>
              <m:sty m:val="p"/>
            </m:rPr>
            <m:t>=</m:t>
          </m:r>
          <m:sSub>
            <m:e>
              <m:r>
                <m:t>W</m:t>
              </m:r>
            </m:e>
            <m:sub>
              <m:r>
                <m:t>p</m:t>
              </m:r>
            </m:sub>
          </m:sSub>
          <m:r>
            <m:t>x</m:t>
          </m:r>
          <m:r>
            <m:rPr>
              <m:sty m:val="p"/>
            </m:rPr>
            <m:t>+</m:t>
          </m:r>
          <m:nary>
            <m:naryPr>
              <m:chr m:val="∑"/>
              <m:limLoc m:val="undOvr"/>
              <m:subHide m:val="off"/>
              <m:supHide m:val="off"/>
            </m:naryPr>
            <m:sub>
              <m:r>
                <m:t>e</m:t>
              </m:r>
              <m:r>
                <m:rPr>
                  <m:sty m:val="p"/>
                </m:rPr>
                <m:t>=</m:t>
              </m:r>
              <m:r>
                <m:t>1</m:t>
              </m:r>
            </m:sub>
            <m:sup>
              <m:r>
                <m:t>E</m:t>
              </m:r>
            </m:sup>
            <m:e>
              <m:sSub>
                <m:e>
                  <m:r>
                    <m:t>g</m:t>
                  </m:r>
                </m:e>
                <m:sub>
                  <m:r>
                    <m:t>e</m:t>
                  </m:r>
                </m:sub>
              </m:sSub>
            </m:e>
          </m:nary>
          <m:r>
            <m:rPr>
              <m:sty m:val="p"/>
            </m:rPr>
            <m:t>(</m:t>
          </m:r>
          <m:r>
            <m:t>x</m:t>
          </m:r>
          <m:r>
            <m:rPr>
              <m:sty m:val="p"/>
            </m:rPr>
            <m:t>)</m:t>
          </m:r>
          <m:r>
            <m:t> </m:t>
          </m:r>
          <m:r>
            <m:t>s</m:t>
          </m:r>
          <m:r>
            <m:t> </m:t>
          </m:r>
          <m:sSub>
            <m:e>
              <m:r>
                <m:t>B</m:t>
              </m:r>
            </m:e>
            <m:sub>
              <m:r>
                <m:t>p</m:t>
              </m:r>
              <m:r>
                <m:rPr>
                  <m:sty m:val="p"/>
                </m:rPr>
                <m:t>,</m:t>
              </m:r>
              <m:r>
                <m:t>e</m:t>
              </m:r>
            </m:sub>
          </m:sSub>
          <m:sSub>
            <m:e>
              <m:r>
                <m:t>A</m:t>
              </m:r>
            </m:e>
            <m:sub>
              <m:r>
                <m:t>p</m:t>
              </m:r>
              <m:r>
                <m:rPr>
                  <m:sty m:val="p"/>
                </m:rPr>
                <m:t>,</m:t>
              </m:r>
              <m:r>
                <m:t>e</m:t>
              </m:r>
            </m:sub>
          </m:sSub>
          <m:r>
            <m:t> </m:t>
          </m:r>
          <m:r>
            <m:t>x</m:t>
          </m:r>
          <m:r>
            <m:rPr>
              <m:sty m:val="p"/>
            </m:rPr>
            <m:t>,</m:t>
          </m:r>
          <m:r>
            <m:t> </m:t>
          </m:r>
          <m:r>
            <m:t>p</m:t>
          </m:r>
          <m:r>
            <m:rPr>
              <m:sty m:val="p"/>
            </m:rPr>
            <m:t>∈</m:t>
          </m:r>
          <m:r>
            <m:rPr>
              <m:sty m:val="p"/>
            </m:rPr>
            <m:t>{</m:t>
          </m:r>
          <m:r>
            <m:t>g</m:t>
          </m:r>
          <m:r>
            <m:rPr>
              <m:sty m:val="p"/>
            </m:rPr>
            <m:t>,</m:t>
          </m:r>
          <m:r>
            <m:t>u</m:t>
          </m:r>
          <m:r>
            <m:rPr>
              <m:sty m:val="p"/>
            </m:rPr>
            <m:t>,</m:t>
          </m:r>
          <m:r>
            <m:t>d</m:t>
          </m:r>
          <m:r>
            <m:rPr>
              <m:sty m:val="p"/>
            </m:rPr>
            <m:t>}</m:t>
          </m:r>
          <m:r>
            <m:rPr>
              <m:sty m:val="p"/>
            </m:rPr>
            <m:t>,</m:t>
          </m:r>
        </m:oMath>
      </m:oMathPara>
    </w:p>
    <w:p>
      <w:pPr>
        <w:pStyle w:val="FirstParagraph"/>
      </w:pPr>
      <w:r>
        <w:t xml:space="preserve">with rank</w:t>
      </w:r>
      <w:r>
        <w:t xml:space="preserve"> </w:t>
      </w:r>
      <m:oMath>
        <m:r>
          <m:t>r</m:t>
        </m:r>
      </m:oMath>
      <w:r>
        <w:t xml:space="preserve">, scale</w:t>
      </w:r>
      <w:r>
        <w:t xml:space="preserve"> </w:t>
      </w:r>
      <m:oMath>
        <m:r>
          <m:t>s</m:t>
        </m:r>
        <m:r>
          <m:rPr>
            <m:sty m:val="p"/>
          </m:rPr>
          <m:t>=</m:t>
        </m:r>
        <m:r>
          <m:t>α</m:t>
        </m:r>
        <m:r>
          <m:rPr>
            <m:sty m:val="p"/>
          </m:rPr>
          <m:t>/</m:t>
        </m:r>
        <m:r>
          <m:t>r</m:t>
        </m:r>
      </m:oMath>
      <w:r>
        <w:t xml:space="preserve"> </w:t>
      </w:r>
      <w:r>
        <w:t xml:space="preserve">and gate vector</w:t>
      </w:r>
      <w:r>
        <w:t xml:space="preserve"> </w:t>
      </w:r>
      <m:oMath>
        <m:r>
          <m:t>g</m:t>
        </m:r>
        <m:r>
          <m:rPr>
            <m:sty m:val="p"/>
          </m:rPr>
          <m:t>(</m:t>
        </m:r>
        <m:r>
          <m:t>x</m:t>
        </m:r>
        <m:r>
          <m:rPr>
            <m:sty m:val="p"/>
          </m:rPr>
          <m:t>)</m:t>
        </m:r>
      </m:oMath>
      <w:r>
        <w:t xml:space="preserve">. Because the frozen projection is computed once and left</w:t>
      </w:r>
      <w:r>
        <w:t xml:space="preserve"> </w:t>
      </w:r>
      <w:r>
        <w:t xml:space="preserve">unscaled, setting every</w:t>
      </w:r>
      <w:r>
        <w:t xml:space="preserve"> </w:t>
      </w:r>
      <m:oMath>
        <m:r>
          <m:t>B</m:t>
        </m:r>
      </m:oMath>
      <w:r>
        <w:t xml:space="preserve"> </w:t>
      </w:r>
      <w:r>
        <w:t xml:space="preserve">to zero gives back the base model exactly. The</w:t>
      </w:r>
      <w:r>
        <w:t xml:space="preserve"> </w:t>
      </w:r>
      <m:oMath>
        <m:r>
          <m:t>E</m:t>
        </m:r>
      </m:oMath>
      <w:r>
        <w:t xml:space="preserve"> </w:t>
      </w:r>
      <w:r>
        <w:t xml:space="preserve">adapters of a projection are</w:t>
      </w:r>
      <w:r>
        <w:t xml:space="preserve"> </w:t>
      </w:r>
      <w:r>
        <w:t xml:space="preserve">stored stacked, and the gate is applied as a block mask on the rank dimension, so the cost equals one</w:t>
      </w:r>
      <w:r>
        <w:t xml:space="preserve"> </w:t>
      </w:r>
      <w:r>
        <w:t xml:space="preserve">LoRA of rank</w:t>
      </w:r>
      <w:r>
        <w:t xml:space="preserve"> </w:t>
      </w:r>
      <m:oMath>
        <m:r>
          <m:t>E</m:t>
        </m:r>
        <m:r>
          <m:t>r</m:t>
        </m:r>
      </m:oMath>
      <w:r>
        <w:t xml:space="preserve"> </w:t>
      </w:r>
      <w:r>
        <w:t xml:space="preserve">without a loop over experts. For the selected top-</w:t>
      </w:r>
      <m:oMath>
        <m:r>
          <m:t>k</m:t>
        </m:r>
      </m:oMath>
      <w:r>
        <w:t xml:space="preserve"> </w:t>
      </w:r>
      <w:r>
        <w:t xml:space="preserve">experts the gate is</w:t>
      </w:r>
      <w:r>
        <w:t xml:space="preserve"> </w:t>
      </w:r>
      <m:oMath>
        <m:sSub>
          <m:e>
            <m:r>
              <m:t>g</m:t>
            </m:r>
          </m:e>
          <m:sub>
            <m:r>
              <m:t>e</m:t>
            </m:r>
          </m:sub>
        </m:sSub>
        <m:r>
          <m:rPr>
            <m:sty m:val="p"/>
          </m:rPr>
          <m:t>=</m:t>
        </m:r>
        <m:r>
          <m:rPr>
            <m:sty m:val="p"/>
          </m:rPr>
          <m:t>(</m:t>
        </m:r>
        <m:r>
          <m:t>E</m:t>
        </m:r>
        <m:r>
          <m:rPr>
            <m:sty m:val="p"/>
          </m:rPr>
          <m:t>/</m:t>
        </m:r>
        <m:r>
          <m:t>k</m:t>
        </m:r>
        <m:r>
          <m:rPr>
            <m:sty m:val="p"/>
          </m:rPr>
          <m:t>)</m:t>
        </m:r>
        <m:r>
          <m:t> </m:t>
        </m:r>
        <m:sSub>
          <m:e>
            <m:r>
              <m:t>p</m:t>
            </m:r>
          </m:e>
          <m:sub>
            <m:r>
              <m:t>e</m:t>
            </m:r>
          </m:sub>
        </m:sSub>
      </m:oMath>
      <w:r>
        <w:t xml:space="preserve">, where</w:t>
      </w:r>
      <w:r>
        <w:t xml:space="preserve"> </w:t>
      </w:r>
      <m:oMath>
        <m:r>
          <m:t>p</m:t>
        </m:r>
      </m:oMath>
      <w:r>
        <w:t xml:space="preserve"> </w:t>
      </w:r>
      <w:r>
        <w:t xml:space="preserve">is the router’s softmax output; a dense LoRA baseline is the special case</w:t>
      </w:r>
      <w:r>
        <w:t xml:space="preserve"> </w:t>
      </w:r>
      <m:oMath>
        <m:r>
          <m:t>E</m:t>
        </m:r>
        <m:r>
          <m:rPr>
            <m:sty m:val="p"/>
          </m:rPr>
          <m:t>=</m:t>
        </m:r>
        <m:r>
          <m:t>1</m:t>
        </m:r>
      </m:oMath>
      <w:r>
        <w:t xml:space="preserve">.</w:t>
      </w:r>
    </w:p>
    <w:bookmarkEnd w:id="15"/>
    <w:bookmarkStart w:id="16" w:name="b.-token-level-vs-sequence-level-routing"/>
    <w:p>
      <w:pPr>
        <w:pStyle w:val="Heading2"/>
      </w:pPr>
      <w:r>
        <w:t xml:space="preserve">B. Token-level vs sequence-level routing</w:t>
      </w:r>
    </w:p>
    <w:p>
      <w:pPr>
        <w:pStyle w:val="FirstParagraph"/>
      </w:pPr>
      <w:r>
        <w:t xml:space="preserve">A token-level router, as in standard MoE, looks at every token’s hidden state and may pick a different</w:t>
      </w:r>
      <w:r>
        <w:t xml:space="preserve"> </w:t>
      </w:r>
      <w:r>
        <w:t xml:space="preserve">expert for each. Our sequence-level router decides once per request. It averages the layer input over</w:t>
      </w:r>
      <w:r>
        <w:t xml:space="preserve"> </w:t>
      </w:r>
      <w:r>
        <w:t xml:space="preserve">the</w:t>
      </w:r>
      <w:r>
        <w:t xml:space="preserve"> </w:t>
      </w:r>
      <w:r>
        <w:rPr>
          <w:i/>
          <w:iCs/>
        </w:rPr>
        <w:t xml:space="preserve">text</w:t>
      </w:r>
      <w:r>
        <w:t xml:space="preserve"> </w:t>
      </w:r>
      <w:r>
        <w:t xml:space="preserve">tokens of the prompt, ignoring image tokens, runs the router on that average, and keeps</w:t>
      </w:r>
      <w:r>
        <w:t xml:space="preserve"> </w:t>
      </w:r>
      <w:r>
        <w:t xml:space="preserve">the chosen expert for the whole sequence. The choice is made during prefill and reused while decoding,</w:t>
      </w:r>
      <w:r>
        <w:t xml:space="preserve"> </w:t>
      </w:r>
      <w:r>
        <w:t xml:space="preserve">so the generated answer has no say in it. Because a single decision per</w:t>
      </w:r>
      <w:r>
        <w:t xml:space="preserve"> </w:t>
      </w:r>
      <w:r>
        <w:t xml:space="preserve">sample makes per-batch load statistics meaningless at batch size 1, the load-balancing loss</w:t>
      </w:r>
      <w:r>
        <w:t xml:space="preserve"> </w:t>
      </w:r>
      <m:oMath>
        <m:r>
          <m:t>E</m:t>
        </m:r>
        <m:nary>
          <m:naryPr>
            <m:chr m:val="∑"/>
            <m:limLoc m:val="undOvr"/>
            <m:subHide m:val="off"/>
            <m:supHide m:val="on"/>
          </m:naryPr>
          <m:sub>
            <m:r>
              <m:t>e</m:t>
            </m:r>
          </m:sub>
          <m:sup>
            <m:r>
              <m:t>​</m:t>
            </m:r>
          </m:sup>
          <m:e>
            <m:sSub>
              <m:e>
                <m:acc>
                  <m:accPr>
                    <m:chr m:val="‾"/>
                  </m:accPr>
                  <m:e>
                    <m:r>
                      <m:t>u</m:t>
                    </m:r>
                  </m:e>
                </m:acc>
              </m:e>
              <m:sub>
                <m:r>
                  <m:t>e</m:t>
                </m:r>
              </m:sub>
            </m:sSub>
          </m:e>
        </m:nary>
        <m:sSub>
          <m:e>
            <m:acc>
              <m:accPr>
                <m:chr m:val="‾"/>
              </m:accPr>
              <m:e>
                <m:r>
                  <m:t>p</m:t>
                </m:r>
              </m:e>
            </m:acc>
          </m:e>
          <m:sub>
            <m:r>
              <m:t>e</m:t>
            </m:r>
          </m:sub>
        </m:sSub>
      </m:oMath>
      <w:r>
        <w:t xml:space="preserve"> </w:t>
      </w:r>
      <w:r>
        <w:t xml:space="preserve">uses an exponential moving average</w:t>
      </w:r>
      <w:r>
        <w:t xml:space="preserve"> </w:t>
      </w:r>
      <m:oMath>
        <m:acc>
          <m:accPr>
            <m:chr m:val="‾"/>
          </m:accPr>
          <m:e>
            <m:r>
              <m:t>u</m:t>
            </m:r>
          </m:e>
        </m:acc>
      </m:oMath>
      <w:r>
        <w:t xml:space="preserve"> </w:t>
      </w:r>
      <w:r>
        <w:t xml:space="preserve">of expert usage (decay 0.99);</w:t>
      </w:r>
      <w:r>
        <w:t xml:space="preserve"> </w:t>
      </w:r>
      <w:r>
        <w:t xml:space="preserve">a router</w:t>
      </w:r>
      <w:r>
        <w:t xml:space="preserve"> </w:t>
      </w:r>
      <m:oMath>
        <m:r>
          <m:t>z</m:t>
        </m:r>
      </m:oMath>
      <w:r>
        <w:t xml:space="preserve">-loss </w:t>
      </w:r>
      <w:r>
        <w:t xml:space="preserve">[9]</w:t>
      </w:r>
      <w:r>
        <w:t xml:space="preserve"> </w:t>
      </w:r>
      <w:r>
        <w:t xml:space="preserve">is added.</w:t>
      </w:r>
    </w:p>
    <w:bookmarkEnd w:id="16"/>
    <w:bookmarkStart w:id="17" w:name="c.-training-objective"/>
    <w:p>
      <w:pPr>
        <w:pStyle w:val="Heading2"/>
      </w:pPr>
      <w:r>
        <w:t xml:space="preserve">C. Training objective</w:t>
      </w:r>
    </w:p>
    <w:p>
      <w:pPr>
        <w:pStyle w:val="FirstParagraph"/>
      </w:pPr>
      <w:r>
        <w:t xml:space="preserve">The loss is</w:t>
      </w:r>
      <w:r>
        <w:t xml:space="preserve"> </w:t>
      </w:r>
      <m:oMath>
        <m:r>
          <m:rPr>
            <m:scr m:val="script"/>
            <m:sty m:val="p"/>
          </m:rPr>
          <m:t>L</m:t>
        </m:r>
        <m:r>
          <m:rPr>
            <m:sty m:val="p"/>
          </m:rPr>
          <m:t>=</m:t>
        </m:r>
        <m:sSub>
          <m:e>
            <m:r>
              <m:rPr>
                <m:scr m:val="script"/>
                <m:sty m:val="p"/>
              </m:rPr>
              <m:t>L</m:t>
            </m:r>
          </m:e>
          <m:sub>
            <m:r>
              <m:t>C</m:t>
            </m:r>
            <m:r>
              <m:t>E</m:t>
            </m:r>
          </m:sub>
        </m:sSub>
        <m:r>
          <m:rPr>
            <m:sty m:val="p"/>
          </m:rPr>
          <m:t>+</m:t>
        </m:r>
        <m:sSub>
          <m:e>
            <m:r>
              <m:t>λ</m:t>
            </m:r>
          </m:e>
          <m:sub>
            <m:r>
              <m:t>K</m:t>
            </m:r>
            <m:r>
              <m:t>D</m:t>
            </m:r>
          </m:sub>
        </m:sSub>
        <m:sSub>
          <m:e>
            <m:r>
              <m:rPr>
                <m:scr m:val="script"/>
                <m:sty m:val="p"/>
              </m:rPr>
              <m:t>L</m:t>
            </m:r>
          </m:e>
          <m:sub>
            <m:r>
              <m:t>K</m:t>
            </m:r>
            <m:r>
              <m:t>D</m:t>
            </m:r>
          </m:sub>
        </m:sSub>
        <m:r>
          <m:rPr>
            <m:sty m:val="p"/>
          </m:rPr>
          <m:t>+</m:t>
        </m:r>
        <m:sSub>
          <m:e>
            <m:r>
              <m:t>λ</m:t>
            </m:r>
          </m:e>
          <m:sub>
            <m:r>
              <m:t>l</m:t>
            </m:r>
            <m:r>
              <m:t>b</m:t>
            </m:r>
          </m:sub>
        </m:sSub>
        <m:sSub>
          <m:e>
            <m:r>
              <m:rPr>
                <m:scr m:val="script"/>
                <m:sty m:val="p"/>
              </m:rPr>
              <m:t>L</m:t>
            </m:r>
          </m:e>
          <m:sub>
            <m:r>
              <m:t>l</m:t>
            </m:r>
            <m:r>
              <m:t>b</m:t>
            </m:r>
          </m:sub>
        </m:sSub>
        <m:r>
          <m:rPr>
            <m:sty m:val="p"/>
          </m:rPr>
          <m:t>+</m:t>
        </m:r>
        <m:sSub>
          <m:e>
            <m:r>
              <m:t>λ</m:t>
            </m:r>
          </m:e>
          <m:sub>
            <m:r>
              <m:t>z</m:t>
            </m:r>
          </m:sub>
        </m:sSub>
        <m:sSub>
          <m:e>
            <m:r>
              <m:rPr>
                <m:scr m:val="script"/>
                <m:sty m:val="p"/>
              </m:rPr>
              <m:t>L</m:t>
            </m:r>
          </m:e>
          <m:sub>
            <m:r>
              <m:t>z</m:t>
            </m:r>
          </m:sub>
        </m:sSub>
      </m:oMath>
      <w:r>
        <w:t xml:space="preserve">,</w:t>
      </w:r>
      <w:r>
        <w:t xml:space="preserve"> </w:t>
      </w:r>
      <w:r>
        <w:t xml:space="preserve">computed on answer tokens only. The teacher is the same model in fp16 without quantisation. We cache its</w:t>
      </w:r>
      <w:r>
        <w:t xml:space="preserve"> </w:t>
      </w:r>
      <w:r>
        <w:t xml:space="preserve">top-50 probabilities at temperature</w:t>
      </w:r>
      <w:r>
        <w:t xml:space="preserve"> </w:t>
      </w:r>
      <m:oMath>
        <m:r>
          <m:t>T</m:t>
        </m:r>
        <m:r>
          <m:rPr>
            <m:sty m:val="p"/>
          </m:rPr>
          <m:t>=</m:t>
        </m:r>
        <m:r>
          <m:t>2</m:t>
        </m:r>
      </m:oMath>
      <w:r>
        <w:t xml:space="preserve"> </w:t>
      </w:r>
      <w:r>
        <w:t xml:space="preserve">for every answer token. At</w:t>
      </w:r>
      <w:r>
        <w:t xml:space="preserve"> </w:t>
      </w:r>
      <m:oMath>
        <m:r>
          <m:t>T</m:t>
        </m:r>
        <m:r>
          <m:rPr>
            <m:sty m:val="p"/>
          </m:rPr>
          <m:t>=</m:t>
        </m:r>
        <m:r>
          <m:t>2</m:t>
        </m:r>
      </m:oMath>
      <w:r>
        <w:t xml:space="preserve"> </w:t>
      </w:r>
      <w:r>
        <w:t xml:space="preserve">the top-50 tokens cover only 44% of</w:t>
      </w:r>
      <w:r>
        <w:t xml:space="preserve"> </w:t>
      </w:r>
      <w:r>
        <w:t xml:space="preserve">the probability mass on average, so renormalising them would distort the teacher. We instead lump the</w:t>
      </w:r>
      <w:r>
        <w:t xml:space="preserve"> </w:t>
      </w:r>
      <w:r>
        <w:t xml:space="preserve">remaining mass into one</w:t>
      </w:r>
      <w:r>
        <w:t xml:space="preserve"> </w:t>
      </w:r>
      <w:r>
        <w:t xml:space="preserve">“tail”</w:t>
      </w:r>
      <w:r>
        <w:t xml:space="preserve"> </w:t>
      </w:r>
      <w:r>
        <w:t xml:space="preserve">bucket and take</w:t>
      </w:r>
      <w:r>
        <w:t xml:space="preserve"> </w:t>
      </w:r>
      <m:oMath>
        <m:sSub>
          <m:e>
            <m:r>
              <m:rPr>
                <m:scr m:val="script"/>
                <m:sty m:val="p"/>
              </m:rPr>
              <m:t>L</m:t>
            </m:r>
          </m:e>
          <m:sub>
            <m:r>
              <m:t>K</m:t>
            </m:r>
            <m:r>
              <m:t>D</m:t>
            </m:r>
          </m:sub>
        </m:sSub>
      </m:oMath>
      <w:r>
        <w:t xml:space="preserve"> </w:t>
      </w:r>
      <w:r>
        <w:t xml:space="preserve">as the exact KL divergence between</w:t>
      </w:r>
      <w:r>
        <w:t xml:space="preserve"> </w:t>
      </w:r>
      <w:r>
        <w:t xml:space="preserve">teacher and student over these</w:t>
      </w:r>
      <w:r>
        <w:t xml:space="preserve"> </w:t>
      </w:r>
      <m:oMath>
        <m:r>
          <m:t>k</m:t>
        </m:r>
        <m:r>
          <m:rPr>
            <m:sty m:val="p"/>
          </m:rPr>
          <m:t>+</m:t>
        </m:r>
        <m:r>
          <m:t>1</m:t>
        </m:r>
      </m:oMath>
      <w:r>
        <w:t xml:space="preserve"> </w:t>
      </w:r>
      <w:r>
        <w:t xml:space="preserve">buckets, scaled by</w:t>
      </w:r>
      <w:r>
        <w:t xml:space="preserve"> </w:t>
      </w:r>
      <m:oMath>
        <m:sSup>
          <m:e>
            <m:r>
              <m:t>T</m:t>
            </m:r>
          </m:e>
          <m:sup>
            <m:r>
              <m:t>2</m:t>
            </m:r>
          </m:sup>
        </m:sSup>
      </m:oMath>
      <w:r>
        <w:t xml:space="preserve">.</w:t>
      </w:r>
    </w:p>
    <w:bookmarkEnd w:id="17"/>
    <w:bookmarkStart w:id="18" w:name="d.-folding-experts-for-deployment"/>
    <w:p>
      <w:pPr>
        <w:pStyle w:val="Heading2"/>
      </w:pPr>
      <w:r>
        <w:t xml:space="preserve">D. Folding experts for deployment</w:t>
      </w:r>
    </w:p>
    <w:p>
      <w:pPr>
        <w:pStyle w:val="FirstParagraph"/>
      </w:pPr>
      <w:r>
        <w:t xml:space="preserve">In</w:t>
      </w:r>
      <w:r>
        <w:t xml:space="preserve"> </w:t>
      </w:r>
      <w:r>
        <w:rPr>
          <w:i/>
          <w:iCs/>
        </w:rPr>
        <w:t xml:space="preserve">fixed</w:t>
      </w:r>
      <w:r>
        <w:t xml:space="preserve"> </w:t>
      </w:r>
      <w:r>
        <w:t xml:space="preserve">mode the gate is a constant vector</w:t>
      </w:r>
      <w:r>
        <w:t xml:space="preserve"> </w:t>
      </w:r>
      <m:oMath>
        <m:acc>
          <m:accPr>
            <m:chr m:val="‾"/>
          </m:accPr>
          <m:e>
            <m:r>
              <m:t>g</m:t>
            </m:r>
          </m:e>
        </m:acc>
      </m:oMath>
      <w:r>
        <w:t xml:space="preserve"> </w:t>
      </w:r>
      <w:r>
        <w:t xml:space="preserve">and each projection’s update is the dense</w:t>
      </w:r>
      <w:r>
        <w:t xml:space="preserve"> </w:t>
      </w:r>
      <w:r>
        <w:t xml:space="preserve">matrix</w:t>
      </w:r>
      <w:r>
        <w:t xml:space="preserve"> </w:t>
      </w:r>
      <m:oMath>
        <m:nary>
          <m:naryPr>
            <m:chr m:val="∑"/>
            <m:limLoc m:val="undOvr"/>
            <m:subHide m:val="off"/>
            <m:supHide m:val="on"/>
          </m:naryPr>
          <m:sub>
            <m:r>
              <m:t>e</m:t>
            </m:r>
          </m:sub>
          <m:sup>
            <m:r>
              <m:t>​</m:t>
            </m:r>
          </m:sup>
          <m:e>
            <m:sSub>
              <m:e>
                <m:acc>
                  <m:accPr>
                    <m:chr m:val="‾"/>
                  </m:accPr>
                  <m:e>
                    <m:r>
                      <m:t>g</m:t>
                    </m:r>
                  </m:e>
                </m:acc>
              </m:e>
              <m:sub>
                <m:r>
                  <m:t>e</m:t>
                </m:r>
              </m:sub>
            </m:sSub>
          </m:e>
        </m:nary>
        <m:r>
          <m:t>s</m:t>
        </m:r>
        <m:sSub>
          <m:e>
            <m:r>
              <m:t>B</m:t>
            </m:r>
          </m:e>
          <m:sub>
            <m:r>
              <m:t>e</m:t>
            </m:r>
          </m:sub>
        </m:sSub>
        <m:sSub>
          <m:e>
            <m:r>
              <m:t>A</m:t>
            </m:r>
          </m:e>
          <m:sub>
            <m:r>
              <m:t>e</m:t>
            </m:r>
          </m:sub>
        </m:sSub>
      </m:oMath>
      <w:r>
        <w:t xml:space="preserve">, which is added to the unquantised base weights and saved as a standard</w:t>
      </w:r>
      <w:r>
        <w:t xml:space="preserve"> </w:t>
      </w:r>
      <w:r>
        <w:t xml:space="preserve">Qwen2-VL checkpoint. A</w:t>
      </w:r>
      <w:r>
        <w:t xml:space="preserve"> </w:t>
      </w:r>
      <w:r>
        <w:rPr>
          <w:i/>
          <w:iCs/>
        </w:rPr>
        <w:t xml:space="preserve">task profile</w:t>
      </w:r>
      <w:r>
        <w:t xml:space="preserve"> </w:t>
      </w:r>
      <w:r>
        <w:t xml:space="preserve">uses, for each layer, the expert that the router chose most often</w:t>
      </w:r>
      <w:r>
        <w:t xml:space="preserve"> </w:t>
      </w:r>
      <w:r>
        <w:t xml:space="preserve">for that task on the development set, with its mean gate value; a</w:t>
      </w:r>
      <w:r>
        <w:t xml:space="preserve"> </w:t>
      </w:r>
      <w:r>
        <w:rPr>
          <w:i/>
          <w:iCs/>
        </w:rPr>
        <w:t xml:space="preserve">full merge</w:t>
      </w:r>
      <w:r>
        <w:t xml:space="preserve"> </w:t>
      </w:r>
      <w:r>
        <w:t xml:space="preserve">uses the expected gate</w:t>
      </w:r>
      <w:r>
        <w:t xml:space="preserve"> </w:t>
      </w:r>
      <w:r>
        <w:t xml:space="preserve">over all development samples. With sequence-level routing a request uses exactly one expert per layer, so a</w:t>
      </w:r>
      <w:r>
        <w:t xml:space="preserve"> </w:t>
      </w:r>
      <w:r>
        <w:t xml:space="preserve">task profile reproduces the routed computation whenever the router’s choice agrees with the profile.</w:t>
      </w:r>
    </w:p>
    <w:bookmarkEnd w:id="18"/>
    <w:bookmarkEnd w:id="19"/>
    <w:bookmarkStart w:id="20" w:name="iv.-experimental-setup"/>
    <w:p>
      <w:pPr>
        <w:pStyle w:val="Heading1"/>
      </w:pPr>
      <w:r>
        <w:t xml:space="preserve">IV. Experimental Setup</w:t>
      </w:r>
    </w:p>
    <w:p>
      <w:pPr>
        <w:pStyle w:val="FirstParagraph"/>
      </w:pPr>
      <w:r>
        <w:rPr>
          <w:b/>
          <w:bCs/>
        </w:rPr>
        <w:t xml:space="preserve">Data.</w:t>
      </w:r>
      <w:r>
        <w:t xml:space="preserve"> </w:t>
      </w:r>
      <w:r>
        <w:t xml:space="preserve">400/50/200 training/development/test samples per task from DocVQA </w:t>
      </w:r>
      <w:r>
        <w:t xml:space="preserve">[11]</w:t>
      </w:r>
      <w:r>
        <w:t xml:space="preserve"> </w:t>
      </w:r>
      <w:r>
        <w:t xml:space="preserve">(document_ocr), ChartQA </w:t>
      </w:r>
      <w:r>
        <w:t xml:space="preserve">[12]</w:t>
      </w:r>
      <w:r>
        <w:t xml:space="preserve"> </w:t>
      </w:r>
      <w:r>
        <w:t xml:space="preserve">(chart_qa) and VSR </w:t>
      </w:r>
      <w:r>
        <w:t xml:space="preserve">[13]</w:t>
      </w:r>
      <w:r>
        <w:t xml:space="preserve"> </w:t>
      </w:r>
      <w:r>
        <w:t xml:space="preserve">(spatial_reasoning),</w:t>
      </w:r>
      <w:r>
        <w:t xml:space="preserve"> </w:t>
      </w:r>
      <w:r>
        <w:t xml:space="preserve">1200/150/600 in total. Metrics: ANLS </w:t>
      </w:r>
      <w:r>
        <w:t xml:space="preserve">[14]</w:t>
      </w:r>
      <w:r>
        <w:t xml:space="preserve"> </w:t>
      </w:r>
      <w:r>
        <w:t xml:space="preserve">for documents, relaxed accuracy for charts and</w:t>
      </w:r>
      <w:r>
        <w:t xml:space="preserve"> </w:t>
      </w:r>
      <w:r>
        <w:t xml:space="preserve">accuracy on True/False for VSR; we report their macro average. The development set (50 samples per task, where a few</w:t>
      </w:r>
      <w:r>
        <w:t xml:space="preserve"> </w:t>
      </w:r>
      <w:r>
        <w:t xml:space="preserve">points on one task are a handful of questions) is used only for epoch selection; all comparisons use the</w:t>
      </w:r>
      <w:r>
        <w:t xml:space="preserve"> </w:t>
      </w:r>
      <w:r>
        <w:t xml:space="preserve">four times larger test set.</w:t>
      </w:r>
    </w:p>
    <w:p>
      <w:pPr>
        <w:pStyle w:val="BodyText"/>
      </w:pPr>
      <w:r>
        <w:rPr>
          <w:b/>
          <w:bCs/>
        </w:rPr>
        <w:t xml:space="preserve">Model and training.</w:t>
      </w:r>
      <w:r>
        <w:t xml:space="preserve"> </w:t>
      </w:r>
      <w:r>
        <w:t xml:space="preserve">Qwen2-VL-2B-Instruct with the language model in 4-bit NF4 (double</w:t>
      </w:r>
      <w:r>
        <w:t xml:space="preserve"> </w:t>
      </w:r>
      <w:r>
        <w:t xml:space="preserve">quantisation, fp16 compute). Images are resized by the processor to at most 401</w:t>
      </w:r>
      <w:r>
        <w:t xml:space="preserve">,</w:t>
      </w:r>
      <w:r>
        <w:t xml:space="preserve">408 pixels</w:t>
      </w:r>
      <w:r>
        <w:t xml:space="preserve"> </w:t>
      </w:r>
      <w:r>
        <w:t xml:space="preserve">(</w:t>
      </w:r>
      <w:r>
        <w:t xml:space="preserve">“512 px”</w:t>
      </w:r>
      <w:r>
        <w:t xml:space="preserve">), chosen by a resolution sweep on the base model (dev macro 70.5/75.9/76.5 at</w:t>
      </w:r>
      <w:r>
        <w:t xml:space="preserve"> </w:t>
      </w:r>
      <w:r>
        <w:t xml:space="preserve">256/512/768 px). Variants:</w:t>
      </w:r>
      <w:r>
        <w:t xml:space="preserve"> </w:t>
      </w:r>
      <w:r>
        <w:rPr>
          <w:i/>
          <w:iCs/>
        </w:rPr>
        <w:t xml:space="preserve">dense16</w:t>
      </w:r>
      <w:r>
        <w:t xml:space="preserve"> </w:t>
      </w:r>
      <w:r>
        <w:t xml:space="preserve">(LoRA rank 16, 14.1M parameters),</w:t>
      </w:r>
      <w:r>
        <w:t xml:space="preserve"> </w:t>
      </w:r>
      <w:r>
        <w:rPr>
          <w:i/>
          <w:iCs/>
        </w:rPr>
        <w:t xml:space="preserve">dense64</w:t>
      </w:r>
      <w:r>
        <w:t xml:space="preserve"> </w:t>
      </w:r>
      <w:r>
        <w:t xml:space="preserve">(rank 64,</w:t>
      </w:r>
      <w:r>
        <w:t xml:space="preserve"> </w:t>
      </w:r>
      <w:r>
        <w:t xml:space="preserve">56.4M, parameter-matched to the MoE),</w:t>
      </w:r>
      <w:r>
        <w:t xml:space="preserve"> </w:t>
      </w:r>
      <w:r>
        <w:rPr>
          <w:i/>
          <w:iCs/>
        </w:rPr>
        <w:t xml:space="preserve">moe</w:t>
      </w:r>
      <w:r>
        <w:t xml:space="preserve"> </w:t>
      </w:r>
      <w:r>
        <w:t xml:space="preserve">(4 experts of rank 16, top-1, token-level routing, 56.6M)</w:t>
      </w:r>
      <w:r>
        <w:t xml:space="preserve"> </w:t>
      </w:r>
      <w:r>
        <w:t xml:space="preserve">and</w:t>
      </w:r>
      <w:r>
        <w:t xml:space="preserve"> </w:t>
      </w:r>
      <w:r>
        <w:rPr>
          <w:i/>
          <w:iCs/>
        </w:rPr>
        <w:t xml:space="preserve">moe_seq</w:t>
      </w:r>
      <w:r>
        <w:t xml:space="preserve"> </w:t>
      </w:r>
      <w:r>
        <w:t xml:space="preserve">(the same with sequence-level routing). AdamW, learning rate</w:t>
      </w:r>
      <w:r>
        <w:t xml:space="preserve"> </w:t>
      </w:r>
      <m:oMath>
        <m:r>
          <m:t>2</m:t>
        </m:r>
        <m:r>
          <m:rPr>
            <m:sty m:val="p"/>
          </m:rPr>
          <m:t>×</m:t>
        </m:r>
        <m:sSup>
          <m:e>
            <m:r>
              <m:t>10</m:t>
            </m:r>
          </m:e>
          <m:sup>
            <m:r>
              <m:rPr>
                <m:sty m:val="p"/>
              </m:rPr>
              <m:t>−</m:t>
            </m:r>
            <m:r>
              <m:t>4</m:t>
            </m:r>
          </m:sup>
        </m:sSup>
      </m:oMath>
      <w:r>
        <w:t xml:space="preserve"> </w:t>
      </w:r>
      <w:r>
        <w:t xml:space="preserve">(</w:t>
      </w:r>
      <m:oMath>
        <m:sSup>
          <m:e>
            <m:r>
              <m:t>10</m:t>
            </m:r>
          </m:e>
          <m:sup>
            <m:r>
              <m:rPr>
                <m:sty m:val="p"/>
              </m:rPr>
              <m:t>−</m:t>
            </m:r>
            <m:r>
              <m:t>3</m:t>
            </m:r>
          </m:sup>
        </m:sSup>
      </m:oMath>
      <w:r>
        <w:t xml:space="preserve"> </w:t>
      </w:r>
      <w:r>
        <w:t xml:space="preserve">for routers), cosine schedule with 5% warm-up, batch 1 with 8-step accumulation, 2 epochs,</w:t>
      </w:r>
      <w:r>
        <w:t xml:space="preserve"> </w:t>
      </w:r>
      <w:r>
        <w:t xml:space="preserve">gradient checkpointing;</w:t>
      </w:r>
      <w:r>
        <w:t xml:space="preserve"> </w:t>
      </w:r>
      <m:oMath>
        <m:sSub>
          <m:e>
            <m:r>
              <m:t>λ</m:t>
            </m:r>
          </m:e>
          <m:sub>
            <m:r>
              <m:t>K</m:t>
            </m:r>
            <m:r>
              <m:t>D</m:t>
            </m:r>
          </m:sub>
        </m:sSub>
        <m:r>
          <m:rPr>
            <m:sty m:val="p"/>
          </m:rPr>
          <m:t>=</m:t>
        </m:r>
        <m:r>
          <m:t>1</m:t>
        </m:r>
      </m:oMath>
      <w:r>
        <w:t xml:space="preserve">,</w:t>
      </w:r>
      <w:r>
        <w:t xml:space="preserve"> </w:t>
      </w:r>
      <m:oMath>
        <m:sSub>
          <m:e>
            <m:r>
              <m:t>λ</m:t>
            </m:r>
          </m:e>
          <m:sub>
            <m:r>
              <m:t>l</m:t>
            </m:r>
            <m:r>
              <m:t>b</m:t>
            </m:r>
          </m:sub>
        </m:sSub>
        <m:r>
          <m:rPr>
            <m:sty m:val="p"/>
          </m:rPr>
          <m:t>=</m:t>
        </m:r>
        <m:r>
          <m:t>0.01</m:t>
        </m:r>
      </m:oMath>
      <w:r>
        <w:t xml:space="preserve">,</w:t>
      </w:r>
      <w:r>
        <w:t xml:space="preserve"> </w:t>
      </w:r>
      <m:oMath>
        <m:sSub>
          <m:e>
            <m:r>
              <m:t>λ</m:t>
            </m:r>
          </m:e>
          <m:sub>
            <m:r>
              <m:t>z</m:t>
            </m:r>
          </m:sub>
        </m:sSub>
        <m:r>
          <m:rPr>
            <m:sty m:val="p"/>
          </m:rPr>
          <m:t>=</m:t>
        </m:r>
        <m:sSup>
          <m:e>
            <m:r>
              <m:t>10</m:t>
            </m:r>
          </m:e>
          <m:sup>
            <m:r>
              <m:rPr>
                <m:sty m:val="p"/>
              </m:rPr>
              <m:t>−</m:t>
            </m:r>
            <m:r>
              <m:t>3</m:t>
            </m:r>
          </m:sup>
        </m:sSup>
      </m:oMath>
      <w:r>
        <w:t xml:space="preserve">. One run takes 64–69</w:t>
      </w:r>
      <w:r>
        <w:t xml:space="preserve"> </w:t>
      </w:r>
      <w:r>
        <w:t xml:space="preserve">minutes on one T4. We ran seeds 0–2 for dense16 and moe_seq, 0–1 for moe and seed 0 for</w:t>
      </w:r>
      <w:r>
        <w:t xml:space="preserve"> </w:t>
      </w:r>
      <w:r>
        <w:t xml:space="preserve">dense64; reruns reproduce scores to the last digit. Significance: paired bootstrap over test samples (stratified by</w:t>
      </w:r>
      <w:r>
        <w:t xml:space="preserve"> </w:t>
      </w:r>
      <w:r>
        <w:t xml:space="preserve">task, 10</w:t>
      </w:r>
      <w:r>
        <w:t xml:space="preserve">,</w:t>
      </w:r>
      <w:r>
        <w:t xml:space="preserve">000 resamples, per-sample scores averaged over seeds).</w:t>
      </w:r>
    </w:p>
    <w:p>
      <w:pPr>
        <w:pStyle w:val="BodyText"/>
      </w:pPr>
      <w:r>
        <w:rPr>
          <w:b/>
          <w:bCs/>
        </w:rPr>
        <w:t xml:space="preserve">Hardware.</w:t>
      </w:r>
      <w:r>
        <w:t xml:space="preserve"> </w:t>
      </w:r>
      <w:r>
        <w:t xml:space="preserve">Training and evaluation: NVIDIA T4 (16 GB); edge: HP Victus laptop,</w:t>
      </w:r>
      <w:r>
        <w:t xml:space="preserve"> </w:t>
      </w:r>
      <w:r>
        <w:t xml:space="preserve">GTX 1650 (4 GB, no tensor cores), Intel i5-12450H, 8 GB RAM. Greedy decoding, batch 1.</w:t>
      </w:r>
    </w:p>
    <w:bookmarkEnd w:id="20"/>
    <w:bookmarkStart w:id="54" w:name="v.-results"/>
    <w:p>
      <w:pPr>
        <w:pStyle w:val="Heading1"/>
      </w:pPr>
      <w:r>
        <w:t xml:space="preserve">V. Results</w:t>
      </w:r>
    </w:p>
    <w:bookmarkStart w:id="26" w:name="a.-accuracy"/>
    <w:p>
      <w:pPr>
        <w:pStyle w:val="Heading2"/>
      </w:pPr>
      <w:r>
        <w:t xml:space="preserve">A. Accuracy</w:t>
      </w:r>
    </w:p>
    <w:bookmarkStart w:id="21" w:name="tab:main"/>
    <w:p>
      <w:pPr>
        <w:pStyle w:val="TableCaption"/>
      </w:pPr>
      <w:r>
        <w:t xml:space="preserve">TABLE I. Held-out test accuracy (%). Number of seeds in parentheses; macro is mean</w:t>
      </w:r>
      <w:r>
        <w:t xml:space="preserve"> </w:t>
      </w:r>
      <m:oMath>
        <m:r>
          <m:rPr>
            <m:sty m:val="p"/>
          </m:rPr>
          <m:t>±</m:t>
        </m:r>
      </m:oMath>
      <w:r>
        <w:t xml:space="preserve"> </w:t>
      </w:r>
      <w:r>
        <w:t xml:space="preserve">s.d. over</w:t>
      </w:r>
      <w:r>
        <w:t xml:space="preserve"> </w:t>
      </w:r>
      <w:r>
        <w:t xml:space="preserve">seeds.</w:t>
      </w:r>
      <w:r>
        <w:t xml:space="preserve"> </w:t>
      </w:r>
      <m:oMath>
        <m:r>
          <m:rPr>
            <m:sty m:val="p"/>
          </m:rPr>
          <m:t>Δ</m:t>
        </m:r>
      </m:oMath>
      <w:r>
        <w:t xml:space="preserve">: difference to dense16 with 95% paired bootstrap CI.</w:t>
      </w:r>
    </w:p>
    <w:tbl>
      <w:tblPr>
        <w:tblStyle w:val="Table"/>
        <w:tblW w:type="auto" w:w="0"/>
        <w:tblLook w:firstRow="1" w:lastRow="0" w:firstColumn="0" w:lastColumn="0" w:noHBand="0" w:noVBand="0" w:val="0020"/>
        <w:tblCaption w:val="TABLE I. Held-out test accuracy (%). Number of seeds in parentheses; macro is mean \pm s.d. over seeds. \Delta: difference to dense16 with 95% paired bootstrap CI."/>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Chart</w:t>
            </w:r>
          </w:p>
        </w:tc>
        <w:tc>
          <w:tcPr/>
          <w:p>
            <w:pPr>
              <w:pStyle w:val="Compact"/>
              <w:jc w:val="center"/>
            </w:pPr>
            <w:r>
              <w:t xml:space="preserve">Doc</w:t>
            </w:r>
          </w:p>
        </w:tc>
        <w:tc>
          <w:tcPr/>
          <w:p>
            <w:pPr>
              <w:pStyle w:val="Compact"/>
              <w:jc w:val="center"/>
            </w:pPr>
            <w:r>
              <w:t xml:space="preserve">Spatial</w:t>
            </w:r>
          </w:p>
        </w:tc>
        <w:tc>
          <w:tcPr/>
          <w:p>
            <w:pPr>
              <w:pStyle w:val="Compact"/>
              <w:jc w:val="center"/>
            </w:pPr>
            <w:r>
              <w:t xml:space="preserve">Macro</w:t>
            </w:r>
          </w:p>
        </w:tc>
        <w:tc>
          <w:tcPr/>
          <w:p>
            <w:pPr>
              <w:pStyle w:val="Compact"/>
              <w:jc w:val="center"/>
            </w:pPr>
            <m:oMath>
              <m:r>
                <m:rPr>
                  <m:sty m:val="p"/>
                </m:rPr>
                <m:t>Δ</m:t>
              </m:r>
            </m:oMath>
            <w:r>
              <w:t xml:space="preserve"> </w:t>
            </w:r>
            <w:r>
              <w:t xml:space="preserve">[95% CI]</w:t>
            </w:r>
          </w:p>
        </w:tc>
      </w:tr>
      <w:tr>
        <w:tc>
          <w:tcPr/>
          <w:p>
            <w:pPr>
              <w:pStyle w:val="Compact"/>
              <w:jc w:val="left"/>
            </w:pPr>
            <w:r>
              <w:t xml:space="preserve">Base (4-bit)</w:t>
            </w:r>
          </w:p>
        </w:tc>
        <w:tc>
          <w:tcPr/>
          <w:p>
            <w:pPr>
              <w:pStyle w:val="Compact"/>
              <w:jc w:val="center"/>
            </w:pPr>
            <w:r>
              <w:t xml:space="preserve">72.0</w:t>
            </w:r>
          </w:p>
        </w:tc>
        <w:tc>
          <w:tcPr/>
          <w:p>
            <w:pPr>
              <w:pStyle w:val="Compact"/>
              <w:jc w:val="center"/>
            </w:pPr>
            <w:r>
              <w:t xml:space="preserve">82.2</w:t>
            </w:r>
          </w:p>
        </w:tc>
        <w:tc>
          <w:tcPr/>
          <w:p>
            <w:pPr>
              <w:pStyle w:val="Compact"/>
              <w:jc w:val="center"/>
            </w:pPr>
            <w:r>
              <w:t xml:space="preserve">60.5</w:t>
            </w:r>
          </w:p>
        </w:tc>
        <w:tc>
          <w:tcPr/>
          <w:p>
            <w:pPr>
              <w:pStyle w:val="Compact"/>
              <w:jc w:val="center"/>
            </w:pPr>
            <w:r>
              <w:t xml:space="preserve">71.6</w:t>
            </w:r>
          </w:p>
        </w:tc>
        <w:tc>
          <w:tcPr/>
          <w:p>
            <w:pPr>
              <w:pStyle w:val="Compact"/>
              <w:jc w:val="center"/>
            </w:pPr>
            <m:oMath>
              <m:r>
                <m:rPr>
                  <m:sty m:val="p"/>
                </m:rPr>
                <m:t>−</m:t>
              </m:r>
              <m:r>
                <m:t>6.8</m:t>
              </m:r>
            </m:oMath>
            <w:r>
              <w:t xml:space="preserve"> </w:t>
            </w:r>
            <w:r>
              <w:t xml:space="preserve">[</w:t>
            </w:r>
            <m:oMath>
              <m:r>
                <m:rPr>
                  <m:sty m:val="p"/>
                </m:rPr>
                <m:t>−</m:t>
              </m:r>
              <m:r>
                <m:t>9.7</m:t>
              </m:r>
              <m:r>
                <m:rPr>
                  <m:sty m:val="p"/>
                </m:rPr>
                <m:t>,</m:t>
              </m:r>
              <m:r>
                <m:rPr>
                  <m:sty m:val="p"/>
                </m:rPr>
                <m:t>−</m:t>
              </m:r>
              <m:r>
                <m:t>4.1</m:t>
              </m:r>
            </m:oMath>
            <w:r>
              <w:t xml:space="preserve">]</w:t>
            </w:r>
          </w:p>
        </w:tc>
      </w:tr>
      <w:tr>
        <w:tc>
          <w:tcPr/>
          <w:p>
            <w:pPr>
              <w:pStyle w:val="Compact"/>
              <w:jc w:val="left"/>
            </w:pPr>
            <w:r>
              <w:t xml:space="preserve">dense16 (3)</w:t>
            </w:r>
          </w:p>
        </w:tc>
        <w:tc>
          <w:tcPr/>
          <w:p>
            <w:pPr>
              <w:pStyle w:val="Compact"/>
              <w:jc w:val="center"/>
            </w:pPr>
            <w:r>
              <w:t xml:space="preserve">73.5</w:t>
            </w:r>
          </w:p>
        </w:tc>
        <w:tc>
          <w:tcPr/>
          <w:p>
            <w:pPr>
              <w:pStyle w:val="Compact"/>
              <w:jc w:val="center"/>
            </w:pPr>
            <w:r>
              <w:t xml:space="preserve">83.5</w:t>
            </w:r>
          </w:p>
        </w:tc>
        <w:tc>
          <w:tcPr/>
          <w:p>
            <w:pPr>
              <w:pStyle w:val="Compact"/>
              <w:jc w:val="center"/>
            </w:pPr>
            <w:r>
              <w:t xml:space="preserve">78.2</w:t>
            </w:r>
          </w:p>
        </w:tc>
        <w:tc>
          <w:tcPr/>
          <w:p>
            <w:pPr>
              <w:pStyle w:val="Compact"/>
              <w:jc w:val="center"/>
            </w:pPr>
            <w:r>
              <w:rPr>
                <w:b/>
                <w:bCs/>
              </w:rPr>
              <w:t xml:space="preserve">78.4</w:t>
            </w:r>
            <m:oMath>
              <m:r>
                <m:rPr>
                  <m:sty m:val="p"/>
                </m:rPr>
                <m:t>±</m:t>
              </m:r>
            </m:oMath>
            <w:r>
              <w:t xml:space="preserve">0.7</w:t>
            </w:r>
          </w:p>
        </w:tc>
        <w:tc>
          <w:tcPr/>
          <w:p>
            <w:pPr>
              <w:pStyle w:val="Compact"/>
              <w:jc w:val="center"/>
            </w:pPr>
            <w:r>
              <w:t xml:space="preserve">–</w:t>
            </w:r>
          </w:p>
        </w:tc>
      </w:tr>
      <w:tr>
        <w:tc>
          <w:tcPr/>
          <w:p>
            <w:pPr>
              <w:pStyle w:val="Compact"/>
              <w:jc w:val="left"/>
            </w:pPr>
            <w:r>
              <w:t xml:space="preserve">dense64 (1)</w:t>
            </w:r>
          </w:p>
        </w:tc>
        <w:tc>
          <w:tcPr/>
          <w:p>
            <w:pPr>
              <w:pStyle w:val="Compact"/>
              <w:jc w:val="center"/>
            </w:pPr>
            <w:r>
              <w:t xml:space="preserve">76.5</w:t>
            </w:r>
          </w:p>
        </w:tc>
        <w:tc>
          <w:tcPr/>
          <w:p>
            <w:pPr>
              <w:pStyle w:val="Compact"/>
              <w:jc w:val="center"/>
            </w:pPr>
            <w:r>
              <w:t xml:space="preserve">83.0</w:t>
            </w:r>
          </w:p>
        </w:tc>
        <w:tc>
          <w:tcPr/>
          <w:p>
            <w:pPr>
              <w:pStyle w:val="Compact"/>
              <w:jc w:val="center"/>
            </w:pPr>
            <w:r>
              <w:t xml:space="preserve">75.0</w:t>
            </w:r>
          </w:p>
        </w:tc>
        <w:tc>
          <w:tcPr/>
          <w:p>
            <w:pPr>
              <w:pStyle w:val="Compact"/>
              <w:jc w:val="center"/>
            </w:pPr>
            <w:r>
              <w:t xml:space="preserve">78.2</w:t>
            </w:r>
          </w:p>
        </w:tc>
        <w:tc>
          <w:tcPr/>
          <w:p>
            <w:pPr>
              <w:pStyle w:val="Compact"/>
              <w:jc w:val="center"/>
            </w:pPr>
            <m:oMath>
              <m:r>
                <m:rPr>
                  <m:sty m:val="p"/>
                </m:rPr>
                <m:t>−</m:t>
              </m:r>
              <m:r>
                <m:t>0.2</m:t>
              </m:r>
            </m:oMath>
            <w:r>
              <w:t xml:space="preserve"> </w:t>
            </w:r>
            <w:r>
              <w:t xml:space="preserve">[</w:t>
            </w:r>
            <m:oMath>
              <m:r>
                <m:rPr>
                  <m:sty m:val="p"/>
                </m:rPr>
                <m:t>−</m:t>
              </m:r>
              <m:r>
                <m:t>2.4</m:t>
              </m:r>
              <m:r>
                <m:rPr>
                  <m:sty m:val="p"/>
                </m:rPr>
                <m:t>,</m:t>
              </m:r>
              <m:r>
                <m:rPr>
                  <m:sty m:val="p"/>
                </m:rPr>
                <m:t>+</m:t>
              </m:r>
              <m:r>
                <m:t>2.0</m:t>
              </m:r>
            </m:oMath>
            <w:r>
              <w:t xml:space="preserve">]</w:t>
            </w:r>
          </w:p>
        </w:tc>
      </w:tr>
      <w:tr>
        <w:tc>
          <w:tcPr/>
          <w:p>
            <w:pPr>
              <w:pStyle w:val="Compact"/>
              <w:jc w:val="left"/>
            </w:pPr>
            <w:r>
              <w:t xml:space="preserve">moe, token (2)</w:t>
            </w:r>
          </w:p>
        </w:tc>
        <w:tc>
          <w:tcPr/>
          <w:p>
            <w:pPr>
              <w:pStyle w:val="Compact"/>
              <w:jc w:val="center"/>
            </w:pPr>
            <w:r>
              <w:t xml:space="preserve">74.5</w:t>
            </w:r>
          </w:p>
        </w:tc>
        <w:tc>
          <w:tcPr/>
          <w:p>
            <w:pPr>
              <w:pStyle w:val="Compact"/>
              <w:jc w:val="center"/>
            </w:pPr>
            <w:r>
              <w:t xml:space="preserve">83.3</w:t>
            </w:r>
          </w:p>
        </w:tc>
        <w:tc>
          <w:tcPr/>
          <w:p>
            <w:pPr>
              <w:pStyle w:val="Compact"/>
              <w:jc w:val="center"/>
            </w:pPr>
            <w:r>
              <w:t xml:space="preserve">73.2</w:t>
            </w:r>
          </w:p>
        </w:tc>
        <w:tc>
          <w:tcPr/>
          <w:p>
            <w:pPr>
              <w:pStyle w:val="Compact"/>
              <w:jc w:val="center"/>
            </w:pPr>
            <w:r>
              <w:t xml:space="preserve">77.0</w:t>
            </w:r>
            <m:oMath>
              <m:r>
                <m:rPr>
                  <m:sty m:val="p"/>
                </m:rPr>
                <m:t>±</m:t>
              </m:r>
            </m:oMath>
            <w:r>
              <w:t xml:space="preserve">0.9</w:t>
            </w:r>
          </w:p>
        </w:tc>
        <w:tc>
          <w:tcPr/>
          <w:p>
            <w:pPr>
              <w:pStyle w:val="Compact"/>
              <w:jc w:val="center"/>
            </w:pPr>
            <m:oMath>
              <m:r>
                <m:rPr>
                  <m:sty m:val="p"/>
                </m:rPr>
                <m:t>−</m:t>
              </m:r>
              <m:r>
                <m:t>1.4</m:t>
              </m:r>
            </m:oMath>
            <w:r>
              <w:t xml:space="preserve"> </w:t>
            </w:r>
            <w:r>
              <w:t xml:space="preserve">[</w:t>
            </w:r>
            <m:oMath>
              <m:r>
                <m:rPr>
                  <m:sty m:val="p"/>
                </m:rPr>
                <m:t>−</m:t>
              </m:r>
              <m:r>
                <m:t>2.7</m:t>
              </m:r>
              <m:r>
                <m:rPr>
                  <m:sty m:val="p"/>
                </m:rPr>
                <m:t>,</m:t>
              </m:r>
              <m:r>
                <m:t>0.0</m:t>
              </m:r>
            </m:oMath>
            <w:r>
              <w:t xml:space="preserve">]</w:t>
            </w:r>
          </w:p>
        </w:tc>
      </w:tr>
      <w:tr>
        <w:tc>
          <w:tcPr/>
          <w:p>
            <w:pPr>
              <w:pStyle w:val="Compact"/>
              <w:jc w:val="left"/>
            </w:pPr>
            <w:r>
              <w:t xml:space="preserve">moe_seq (3)</w:t>
            </w:r>
          </w:p>
        </w:tc>
        <w:tc>
          <w:tcPr/>
          <w:p>
            <w:pPr>
              <w:pStyle w:val="Compact"/>
              <w:jc w:val="center"/>
            </w:pPr>
            <w:r>
              <w:t xml:space="preserve">73.0</w:t>
            </w:r>
          </w:p>
        </w:tc>
        <w:tc>
          <w:tcPr/>
          <w:p>
            <w:pPr>
              <w:pStyle w:val="Compact"/>
              <w:jc w:val="center"/>
            </w:pPr>
            <w:r>
              <w:t xml:space="preserve">84.4</w:t>
            </w:r>
          </w:p>
        </w:tc>
        <w:tc>
          <w:tcPr/>
          <w:p>
            <w:pPr>
              <w:pStyle w:val="Compact"/>
              <w:jc w:val="center"/>
            </w:pPr>
            <w:r>
              <w:t xml:space="preserve">75.8</w:t>
            </w:r>
          </w:p>
        </w:tc>
        <w:tc>
          <w:tcPr/>
          <w:p>
            <w:pPr>
              <w:pStyle w:val="Compact"/>
              <w:jc w:val="center"/>
            </w:pPr>
            <w:r>
              <w:t xml:space="preserve">77.7</w:t>
            </w:r>
            <m:oMath>
              <m:r>
                <m:rPr>
                  <m:sty m:val="p"/>
                </m:rPr>
                <m:t>±</m:t>
              </m:r>
            </m:oMath>
            <w:r>
              <w:t xml:space="preserve">0.9</w:t>
            </w:r>
          </w:p>
        </w:tc>
        <w:tc>
          <w:tcPr/>
          <w:p>
            <w:pPr>
              <w:pStyle w:val="Compact"/>
              <w:jc w:val="center"/>
            </w:pPr>
            <m:oMath>
              <m:r>
                <m:rPr>
                  <m:sty m:val="p"/>
                </m:rPr>
                <m:t>−</m:t>
              </m:r>
              <m:r>
                <m:t>0.7</m:t>
              </m:r>
            </m:oMath>
            <w:r>
              <w:t xml:space="preserve"> </w:t>
            </w:r>
            <w:r>
              <w:t xml:space="preserve">[</w:t>
            </w:r>
            <m:oMath>
              <m:r>
                <m:rPr>
                  <m:sty m:val="p"/>
                </m:rPr>
                <m:t>−</m:t>
              </m:r>
              <m:r>
                <m:t>1.7</m:t>
              </m:r>
              <m:r>
                <m:rPr>
                  <m:sty m:val="p"/>
                </m:rPr>
                <m:t>,</m:t>
              </m:r>
              <m:r>
                <m:rPr>
                  <m:sty m:val="p"/>
                </m:rPr>
                <m:t>+</m:t>
              </m:r>
              <m:r>
                <m:t>0.4</m:t>
              </m:r>
            </m:oMath>
            <w:r>
              <w:t xml:space="preserve">]</w:t>
            </w:r>
          </w:p>
        </w:tc>
      </w:tr>
    </w:tbl>
    <w:bookmarkEnd w:id="21"/>
    <w:p>
      <w:pPr>
        <w:pStyle w:val="BodyText"/>
      </w:pPr>
      <w:r>
        <w:t xml:space="preserve">Every adapter improves the 4-bit base model by 6–7 points (Table </w:t>
      </w:r>
      <w:hyperlink w:anchor="tab:main">
        <w:r>
          <w:rPr>
            <w:rStyle w:val="Hyperlink"/>
          </w:rPr>
          <w:t xml:space="preserve">1</w:t>
        </w:r>
      </w:hyperlink>
      <w:r>
        <w:t xml:space="preserve">). The</w:t>
      </w:r>
      <w:r>
        <w:t xml:space="preserve"> </w:t>
      </w:r>
      <w:r>
        <w:t xml:space="preserve">sequence-level MoE is statistically indistinguishable from dense LoRA, while token-level routing is</w:t>
      </w:r>
      <w:r>
        <w:t xml:space="preserve"> </w:t>
      </w:r>
      <w:r>
        <w:t xml:space="preserve">measurably worse (</w:t>
      </w:r>
      <m:oMath>
        <m:r>
          <m:rPr>
            <m:sty m:val="p"/>
          </m:rPr>
          <m:t>−</m:t>
        </m:r>
        <m:r>
          <m:t>1.4</m:t>
        </m:r>
      </m:oMath>
      <w:r>
        <w:t xml:space="preserve">, CI upper bound 0.0). A four times larger dense adapter (dense64) brings no gain,</w:t>
      </w:r>
      <w:r>
        <w:t xml:space="preserve"> </w:t>
      </w:r>
      <w:r>
        <w:t xml:space="preserve">so adapter capacity does not limit accuracy in this setting. moe_seq led on the development set (84.8 vs</w:t>
      </w:r>
      <w:r>
        <w:t xml:space="preserve"> </w:t>
      </w:r>
      <w:r>
        <w:t xml:space="preserve">84.6) but not on test, so we do not claim that MoE improves accuracy.</w:t>
      </w:r>
    </w:p>
    <w:bookmarkStart w:id="25" w:name="fig:pertask"/>
    <w:p>
      <w:pPr>
        <w:pStyle w:val="CaptionedFigure"/>
      </w:pPr>
      <w:r>
        <w:drawing>
          <wp:inline>
            <wp:extent cx="3063240" cy="1662901"/>
            <wp:effectExtent b="0" l="0" r="0" t="0"/>
            <wp:docPr descr="" title="" id="23" name="Picture"/>
            <a:graphic>
              <a:graphicData uri="http://schemas.openxmlformats.org/drawingml/2006/picture">
                <pic:pic>
                  <pic:nvPicPr>
                    <pic:cNvPr descr="figs/per_task.png" id="24" name="Picture"/>
                    <pic:cNvPicPr>
                      <a:picLocks noChangeArrowheads="1" noChangeAspect="1"/>
                    </pic:cNvPicPr>
                  </pic:nvPicPr>
                  <pic:blipFill>
                    <a:blip r:embed="rId22"/>
                    <a:stretch>
                      <a:fillRect/>
                    </a:stretch>
                  </pic:blipFill>
                  <pic:spPr bwMode="auto">
                    <a:xfrm>
                      <a:off x="0" y="0"/>
                      <a:ext cx="3063240" cy="1662901"/>
                    </a:xfrm>
                    <a:prstGeom prst="rect">
                      <a:avLst/>
                    </a:prstGeom>
                    <a:noFill/>
                    <a:ln w="9525">
                      <a:noFill/>
                      <a:headEnd/>
                      <a:tailEnd/>
                    </a:ln>
                  </pic:spPr>
                </pic:pic>
              </a:graphicData>
            </a:graphic>
          </wp:inline>
        </w:drawing>
      </w:r>
    </w:p>
    <w:p>
      <w:pPr>
        <w:pStyle w:val="ImageCaption"/>
      </w:pPr>
      <w:r>
        <w:t xml:space="preserve">Fig. 2. Test score per task (adapted models: mean and s.d. over three seeds). Adapters recover most of</w:t>
      </w:r>
      <w:r>
        <w:t xml:space="preserve"> </w:t>
      </w:r>
      <w:r>
        <w:t xml:space="preserve">the 4-bit loss on spatial reasoning; the HQQ-based MoE-LoRA (Section </w:t>
      </w:r>
      <w:hyperlink w:anchor="sec:mixed">
        <w:r>
          <w:rPr>
            <w:rStyle w:val="Hyperlink"/>
          </w:rPr>
          <w:t xml:space="preserve">5.7</w:t>
        </w:r>
      </w:hyperlink>
      <w:r>
        <w:t xml:space="preserve">) is the only</w:t>
      </w:r>
      <w:r>
        <w:t xml:space="preserve"> </w:t>
      </w:r>
      <w:r>
        <w:t xml:space="preserve">variant that also exceeds the full-precision model on charts.</w:t>
      </w:r>
    </w:p>
    <w:bookmarkEnd w:id="25"/>
    <w:p>
      <w:pPr>
        <w:pStyle w:val="BodyText"/>
      </w:pPr>
      <w:r>
        <w:t xml:space="preserve">Fig. </w:t>
      </w:r>
      <w:hyperlink w:anchor="fig:pertask">
        <w:r>
          <w:rPr>
            <w:rStyle w:val="Hyperlink"/>
          </w:rPr>
          <w:t xml:space="preserve">2</w:t>
        </w:r>
      </w:hyperlink>
      <w:r>
        <w:t xml:space="preserve"> </w:t>
      </w:r>
      <w:r>
        <w:t xml:space="preserve">breaks the scores down by task. Quantisation hurts spatial reasoning most</w:t>
      </w:r>
      <w:r>
        <w:t xml:space="preserve"> </w:t>
      </w:r>
      <w:r>
        <w:t xml:space="preserve">(69.0 to 60.5), and every adapter more than recovers it.</w:t>
      </w:r>
    </w:p>
    <w:bookmarkEnd w:id="26"/>
    <w:bookmarkStart w:id="32" w:name="b.-expert-specialisation"/>
    <w:p>
      <w:pPr>
        <w:pStyle w:val="Heading2"/>
      </w:pPr>
      <w:r>
        <w:t xml:space="preserve">B. Expert specialisation</w:t>
      </w:r>
    </w:p>
    <w:bookmarkStart w:id="27" w:name="tab:mi"/>
    <w:p>
      <w:pPr>
        <w:pStyle w:val="TableCaption"/>
      </w:pPr>
      <w:r>
        <w:t xml:space="preserve">TABLE II. Task–expert mutual information (bits; max. </w:t>
      </w:r>
      <m:oMath>
        <m:sSub>
          <m:e>
            <m:r>
              <m:rPr>
                <m:sty m:val="p"/>
              </m:rPr>
              <m:t>log</m:t>
            </m:r>
          </m:e>
          <m:sub>
            <m:r>
              <m:t>2</m:t>
            </m:r>
          </m:sub>
        </m:sSub>
        <m:r>
          <m:t>3</m:t>
        </m:r>
        <m:r>
          <m:rPr>
            <m:sty m:val="p"/>
          </m:rPr>
          <m:t>=</m:t>
        </m:r>
        <m:r>
          <m:t>1.585</m:t>
        </m:r>
      </m:oMath>
      <w:r>
        <w:t xml:space="preserve">), development set, mean over 28 layers.</w:t>
      </w:r>
    </w:p>
    <w:tbl>
      <w:tblPr>
        <w:tblStyle w:val="Table"/>
        <w:tblW w:type="auto" w:w="0"/>
        <w:tblLook w:firstRow="1" w:lastRow="0" w:firstColumn="0" w:lastColumn="0" w:noHBand="0" w:noVBand="0" w:val="0020"/>
        <w:tblCaption w:val="TABLE II. Task–expert mutual information (bits; max. \log_2 3=1.585), development set, mean over 28 layers."/>
      </w:tblPr>
      <w:tblGrid>
        <w:gridCol w:w="1980"/>
        <w:gridCol w:w="1980"/>
        <w:gridCol w:w="1980"/>
        <w:gridCol w:w="1980"/>
      </w:tblGrid>
      <w:tr>
        <w:trPr>
          <w:tblHeader w:val="on"/>
        </w:trPr>
        <w:tc>
          <w:tcPr/>
          <w:p>
            <w:pPr>
              <w:pStyle w:val="Compact"/>
              <w:jc w:val="left"/>
            </w:pPr>
            <w:r>
              <w:t xml:space="preserve">Routing</w:t>
            </w:r>
          </w:p>
        </w:tc>
        <w:tc>
          <w:tcPr/>
          <w:p>
            <w:pPr>
              <w:pStyle w:val="Compact"/>
              <w:jc w:val="center"/>
            </w:pPr>
            <w:r>
              <w:t xml:space="preserve">Seed 0</w:t>
            </w:r>
          </w:p>
        </w:tc>
        <w:tc>
          <w:tcPr/>
          <w:p>
            <w:pPr>
              <w:pStyle w:val="Compact"/>
              <w:jc w:val="center"/>
            </w:pPr>
            <w:r>
              <w:t xml:space="preserve">Seed 1</w:t>
            </w:r>
          </w:p>
        </w:tc>
        <w:tc>
          <w:tcPr/>
          <w:p>
            <w:pPr>
              <w:pStyle w:val="Compact"/>
              <w:jc w:val="center"/>
            </w:pPr>
            <w:r>
              <w:t xml:space="preserve">Seed 2</w:t>
            </w:r>
          </w:p>
        </w:tc>
      </w:tr>
      <w:tr>
        <w:tc>
          <w:tcPr/>
          <w:p>
            <w:pPr>
              <w:pStyle w:val="Compact"/>
              <w:jc w:val="left"/>
            </w:pPr>
            <w:r>
              <w:t xml:space="preserve">Token-level (moe)</w:t>
            </w:r>
          </w:p>
        </w:tc>
        <w:tc>
          <w:tcPr/>
          <w:p>
            <w:pPr>
              <w:pStyle w:val="Compact"/>
              <w:jc w:val="center"/>
            </w:pPr>
            <w:r>
              <w:t xml:space="preserve">0.051</w:t>
            </w:r>
          </w:p>
        </w:tc>
        <w:tc>
          <w:tcPr/>
          <w:p>
            <w:pPr>
              <w:pStyle w:val="Compact"/>
              <w:jc w:val="center"/>
            </w:pPr>
            <w:r>
              <w:t xml:space="preserve">0.046</w:t>
            </w:r>
          </w:p>
        </w:tc>
        <w:tc>
          <w:tcPr/>
          <w:p>
            <w:pPr>
              <w:pStyle w:val="Compact"/>
              <w:jc w:val="center"/>
            </w:pPr>
            <w:r>
              <w:t xml:space="preserve">–</w:t>
            </w:r>
          </w:p>
        </w:tc>
      </w:tr>
      <w:tr>
        <w:tc>
          <w:tcPr/>
          <w:p>
            <w:pPr>
              <w:pStyle w:val="Compact"/>
              <w:jc w:val="left"/>
            </w:pPr>
            <w:r>
              <w:t xml:space="preserve">Sequence-level (moe_seq)</w:t>
            </w:r>
          </w:p>
        </w:tc>
        <w:tc>
          <w:tcPr/>
          <w:p>
            <w:pPr>
              <w:pStyle w:val="Compact"/>
              <w:jc w:val="center"/>
            </w:pPr>
            <w:r>
              <w:t xml:space="preserve">0.526</w:t>
            </w:r>
          </w:p>
        </w:tc>
        <w:tc>
          <w:tcPr/>
          <w:p>
            <w:pPr>
              <w:pStyle w:val="Compact"/>
              <w:jc w:val="center"/>
            </w:pPr>
            <w:r>
              <w:t xml:space="preserve">0.469</w:t>
            </w:r>
          </w:p>
        </w:tc>
        <w:tc>
          <w:tcPr/>
          <w:p>
            <w:pPr>
              <w:pStyle w:val="Compact"/>
              <w:jc w:val="center"/>
            </w:pPr>
            <w:r>
              <w:t xml:space="preserve">0.436</w:t>
            </w:r>
          </w:p>
        </w:tc>
      </w:tr>
    </w:tbl>
    <w:bookmarkEnd w:id="27"/>
    <w:p>
      <w:pPr>
        <w:pStyle w:val="BodyText"/>
      </w:pPr>
      <w:r>
        <w:t xml:space="preserve">Table </w:t>
      </w:r>
      <w:hyperlink w:anchor="tab:mi">
        <w:r>
          <w:rPr>
            <w:rStyle w:val="Hyperlink"/>
          </w:rPr>
          <w:t xml:space="preserve">2</w:t>
        </w:r>
      </w:hyperlink>
      <w:r>
        <w:t xml:space="preserve"> </w:t>
      </w:r>
      <w:r>
        <w:t xml:space="preserve">measures how much the router’s choice reveals about the task: token-level routing</w:t>
      </w:r>
      <w:r>
        <w:t xml:space="preserve"> </w:t>
      </w:r>
      <w:r>
        <w:t xml:space="preserve">spreads every task over all experts, while sequence-level routing carries about ten times more task</w:t>
      </w:r>
      <w:r>
        <w:t xml:space="preserve"> </w:t>
      </w:r>
      <w:r>
        <w:t xml:space="preserve">information in every seed without ever seeing a task label. In the most specialised layer of seed 0,</w:t>
      </w:r>
      <w:r>
        <w:t xml:space="preserve"> </w:t>
      </w:r>
      <w:r>
        <w:t xml:space="preserve">charts, documents and spatial questions go to three different experts in 100%, 84% and 94% of cases.</w:t>
      </w:r>
      <w:r>
        <w:t xml:space="preserve"> </w:t>
      </w:r>
      <w:r>
        <w:t xml:space="preserve">Charts and documents often share an expert in other layers, consistent with both requiring text reading.</w:t>
      </w:r>
      <w:r>
        <w:t xml:space="preserve"> </w:t>
      </w:r>
      <w:r>
        <w:t xml:space="preserve">Which layers specialise varies between seeds; some collapse to one expert and act as a dense LoRA. Fig. </w:t>
      </w:r>
      <w:hyperlink w:anchor="fig:routing">
        <w:r>
          <w:rPr>
            <w:rStyle w:val="Hyperlink"/>
          </w:rPr>
          <w:t xml:space="preserve">3</w:t>
        </w:r>
      </w:hyperlink>
      <w:r>
        <w:t xml:space="preserve"> </w:t>
      </w:r>
      <w:r>
        <w:t xml:space="preserve">shows the per-layer picture over all seeds.</w:t>
      </w:r>
    </w:p>
    <w:bookmarkStart w:id="31" w:name="fig:routing"/>
    <w:p>
      <w:pPr>
        <w:pStyle w:val="CaptionedFigure"/>
      </w:pPr>
      <w:r>
        <w:drawing>
          <wp:inline>
            <wp:extent cx="3063240" cy="999403"/>
            <wp:effectExtent b="0" l="0" r="0" t="0"/>
            <wp:docPr descr="" title="" id="29" name="Picture"/>
            <a:graphic>
              <a:graphicData uri="http://schemas.openxmlformats.org/drawingml/2006/picture">
                <pic:pic>
                  <pic:nvPicPr>
                    <pic:cNvPr descr="figs/routing_mi.png" id="30" name="Picture"/>
                    <pic:cNvPicPr>
                      <a:picLocks noChangeArrowheads="1" noChangeAspect="1"/>
                    </pic:cNvPicPr>
                  </pic:nvPicPr>
                  <pic:blipFill>
                    <a:blip r:embed="rId28"/>
                    <a:stretch>
                      <a:fillRect/>
                    </a:stretch>
                  </pic:blipFill>
                  <pic:spPr bwMode="auto">
                    <a:xfrm>
                      <a:off x="0" y="0"/>
                      <a:ext cx="3063240" cy="999403"/>
                    </a:xfrm>
                    <a:prstGeom prst="rect">
                      <a:avLst/>
                    </a:prstGeom>
                    <a:noFill/>
                    <a:ln w="9525">
                      <a:noFill/>
                      <a:headEnd/>
                      <a:tailEnd/>
                    </a:ln>
                  </pic:spPr>
                </pic:pic>
              </a:graphicData>
            </a:graphic>
          </wp:inline>
        </w:drawing>
      </w:r>
    </w:p>
    <w:p>
      <w:pPr>
        <w:pStyle w:val="ImageCaption"/>
      </w:pPr>
      <w:r>
        <w:t xml:space="preserve">Fig. 3. Left: mutual information between task and chosen expert in each of the 28 language layers</w:t>
      </w:r>
      <w:r>
        <w:t xml:space="preserve"> </w:t>
      </w:r>
      <w:r>
        <w:t xml:space="preserve">(development set; line = mean over seeds, band = range across seeds). Right: share of each task’s prompts sent to each expert in the most</w:t>
      </w:r>
      <w:r>
        <w:t xml:space="preserve"> </w:t>
      </w:r>
      <w:r>
        <w:t xml:space="preserve">task-specific layer of sequence-level routing (layer 18).</w:t>
      </w:r>
    </w:p>
    <w:bookmarkEnd w:id="31"/>
    <w:bookmarkEnd w:id="32"/>
    <w:bookmarkStart w:id="33" w:name="X434e49c2e89d92ed921ccc0bde3230d1a0ab52c"/>
    <w:p>
      <w:pPr>
        <w:pStyle w:val="Heading2"/>
      </w:pPr>
      <w:r>
        <w:t xml:space="preserve">C. Folding experts into standard checkpoints</w:t>
      </w:r>
    </w:p>
    <w:p>
      <w:pPr>
        <w:pStyle w:val="FirstParagraph"/>
      </w:pPr>
      <w:r>
        <w:t xml:space="preserve">For moe_seq, per-task profile checkpoints score 76.9, 78.2 and 77.5 on test for seeds 0–2, against</w:t>
      </w:r>
      <w:r>
        <w:t xml:space="preserve"> </w:t>
      </w:r>
      <w:r>
        <w:t xml:space="preserve">76.9, 78.7 and 77.6 for the routed models (mean</w:t>
      </w:r>
      <w:r>
        <w:t xml:space="preserve"> </w:t>
      </w:r>
      <m:oMath>
        <m:r>
          <m:rPr>
            <m:sty m:val="p"/>
          </m:rPr>
          <m:t>−</m:t>
        </m:r>
        <m:r>
          <m:t>0.2</m:t>
        </m:r>
      </m:oMath>
      <w:r>
        <w:t xml:space="preserve">). A single full merge without task information loses</w:t>
      </w:r>
      <w:r>
        <w:t xml:space="preserve"> </w:t>
      </w:r>
      <w:r>
        <w:t xml:space="preserve">0.7 points on dev (83.9 vs 84.6). Each profile is a standard Qwen2-VL checkpoint.</w:t>
      </w:r>
    </w:p>
    <w:bookmarkEnd w:id="33"/>
    <w:bookmarkStart w:id="35" w:name="d.-edge-deployment"/>
    <w:p>
      <w:pPr>
        <w:pStyle w:val="Heading2"/>
      </w:pPr>
      <w:r>
        <w:t xml:space="preserve">D. Edge deployment</w:t>
      </w:r>
    </w:p>
    <w:bookmarkStart w:id="34" w:name="tab:edge"/>
    <w:p>
      <w:pPr>
        <w:pStyle w:val="TableCaption"/>
      </w:pPr>
      <w:r>
        <w:t xml:space="preserve">TABLE III. GTX 1650 (4 GB) laptop GPU, 4-bit weights, fp32 compute, batch 1. Folded models have the</w:t>
      </w:r>
      <w:r>
        <w:t xml:space="preserve"> </w:t>
      </w:r>
      <w:r>
        <w:t xml:space="preserve">adapters merged into the base weights, so they are identical in size to the base model.</w:t>
      </w:r>
    </w:p>
    <w:tbl>
      <w:tblPr>
        <w:tblStyle w:val="Table"/>
        <w:tblW w:type="auto" w:w="0"/>
        <w:tblLook w:firstRow="1" w:lastRow="0" w:firstColumn="0" w:lastColumn="0" w:noHBand="0" w:noVBand="0" w:val="0020"/>
        <w:tblCaption w:val="TABLE III. GTX 1650 (4 GB) laptop GPU, 4-bit weights, fp32 compute, batch 1. Folded models have the adapters merged into the base weights, so they are identical in size to the base model."/>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Peak VRAM</w:t>
            </w:r>
          </w:p>
        </w:tc>
        <w:tc>
          <w:tcPr/>
          <w:p>
            <w:pPr>
              <w:pStyle w:val="Compact"/>
              <w:jc w:val="center"/>
            </w:pPr>
            <w:r>
              <w:t xml:space="preserve">Latency</w:t>
            </w:r>
          </w:p>
        </w:tc>
        <w:tc>
          <w:tcPr/>
          <w:p>
            <w:pPr>
              <w:pStyle w:val="Compact"/>
              <w:jc w:val="center"/>
            </w:pPr>
            <w:r>
              <w:t xml:space="preserve">Decode</w:t>
            </w:r>
          </w:p>
        </w:tc>
      </w:tr>
      <w:tr>
        <w:tc>
          <w:tcPr/>
          <w:p>
            <w:pPr>
              <w:pStyle w:val="Compact"/>
              <w:jc w:val="left"/>
            </w:pPr>
            <w:r>
              <w:t xml:space="preserve">Base</w:t>
            </w:r>
          </w:p>
        </w:tc>
        <w:tc>
          <w:tcPr/>
          <w:p>
            <w:pPr>
              <w:pStyle w:val="Compact"/>
              <w:jc w:val="center"/>
            </w:pPr>
            <w:r>
              <w:t xml:space="preserve">2054 MiB</w:t>
            </w:r>
          </w:p>
        </w:tc>
        <w:tc>
          <w:tcPr/>
          <w:p>
            <w:pPr>
              <w:pStyle w:val="Compact"/>
              <w:jc w:val="center"/>
            </w:pPr>
            <w:r>
              <w:t xml:space="preserve">3.09 s</w:t>
            </w:r>
          </w:p>
        </w:tc>
        <w:tc>
          <w:tcPr/>
          <w:p>
            <w:pPr>
              <w:pStyle w:val="Compact"/>
              <w:jc w:val="center"/>
            </w:pPr>
            <w:r>
              <w:t xml:space="preserve">18.8 tok/s</w:t>
            </w:r>
          </w:p>
        </w:tc>
      </w:tr>
      <w:tr>
        <w:tc>
          <w:tcPr/>
          <w:p>
            <w:pPr>
              <w:pStyle w:val="Compact"/>
              <w:jc w:val="left"/>
            </w:pPr>
            <w:r>
              <w:t xml:space="preserve">moe_seq, routed</w:t>
            </w:r>
          </w:p>
        </w:tc>
        <w:tc>
          <w:tcPr/>
          <w:p>
            <w:pPr>
              <w:pStyle w:val="Compact"/>
              <w:jc w:val="center"/>
            </w:pPr>
            <w:r>
              <w:t xml:space="preserve">2278 MiB</w:t>
            </w:r>
          </w:p>
        </w:tc>
        <w:tc>
          <w:tcPr/>
          <w:p>
            <w:pPr>
              <w:pStyle w:val="Compact"/>
              <w:jc w:val="center"/>
            </w:pPr>
            <w:r>
              <w:t xml:space="preserve">3.25 s</w:t>
            </w:r>
          </w:p>
        </w:tc>
        <w:tc>
          <w:tcPr/>
          <w:p>
            <w:pPr>
              <w:pStyle w:val="Compact"/>
              <w:jc w:val="center"/>
            </w:pPr>
            <w:r>
              <w:t xml:space="preserve">14.2 tok/s</w:t>
            </w:r>
          </w:p>
        </w:tc>
      </w:tr>
      <w:tr>
        <w:tc>
          <w:tcPr/>
          <w:p>
            <w:pPr>
              <w:pStyle w:val="Compact"/>
              <w:jc w:val="left"/>
            </w:pPr>
            <w:r>
              <w:t xml:space="preserve">moe_seq, folded</w:t>
            </w:r>
          </w:p>
        </w:tc>
        <w:tc>
          <w:tcPr/>
          <w:p>
            <w:pPr>
              <w:pStyle w:val="Compact"/>
              <w:jc w:val="center"/>
            </w:pPr>
            <w:r>
              <w:t xml:space="preserve">2054 MiB</w:t>
            </w:r>
          </w:p>
        </w:tc>
        <w:tc>
          <w:tcPr/>
          <w:p>
            <w:pPr>
              <w:pStyle w:val="Compact"/>
              <w:jc w:val="center"/>
            </w:pPr>
            <w:r>
              <w:t xml:space="preserve">3.08 s</w:t>
            </w:r>
          </w:p>
        </w:tc>
        <w:tc>
          <w:tcPr/>
          <w:p>
            <w:pPr>
              <w:pStyle w:val="Compact"/>
              <w:jc w:val="center"/>
            </w:pPr>
            <w:r>
              <w:t xml:space="preserve">18.8 tok/s</w:t>
            </w:r>
          </w:p>
        </w:tc>
      </w:tr>
      <w:tr>
        <w:tc>
          <w:tcPr/>
          <w:p>
            <w:pPr>
              <w:pStyle w:val="Compact"/>
              <w:jc w:val="left"/>
            </w:pPr>
            <w:r>
              <w:t xml:space="preserve">dense16, folded</w:t>
            </w:r>
          </w:p>
        </w:tc>
        <w:tc>
          <w:tcPr/>
          <w:p>
            <w:pPr>
              <w:pStyle w:val="Compact"/>
              <w:jc w:val="center"/>
            </w:pPr>
            <w:r>
              <w:t xml:space="preserve">2054 MiB</w:t>
            </w:r>
          </w:p>
        </w:tc>
        <w:tc>
          <w:tcPr/>
          <w:p>
            <w:pPr>
              <w:pStyle w:val="Compact"/>
              <w:jc w:val="center"/>
            </w:pPr>
            <w:r>
              <w:t xml:space="preserve">3.08 s</w:t>
            </w:r>
          </w:p>
        </w:tc>
        <w:tc>
          <w:tcPr/>
          <w:p>
            <w:pPr>
              <w:pStyle w:val="Compact"/>
              <w:jc w:val="center"/>
            </w:pPr>
            <w:r>
              <w:t xml:space="preserve">18.7 tok/s</w:t>
            </w:r>
          </w:p>
        </w:tc>
      </w:tr>
    </w:tbl>
    <w:bookmarkEnd w:id="34"/>
    <w:p>
      <w:pPr>
        <w:pStyle w:val="BodyText"/>
      </w:pPr>
      <w:r>
        <w:t xml:space="preserve">A folded checkpoint has exactly the memory and speed of the base model (Table </w:t>
      </w:r>
      <w:hyperlink w:anchor="tab:edge">
        <w:r>
          <w:rPr>
            <w:rStyle w:val="Hyperlink"/>
          </w:rPr>
          <w:t xml:space="preserve">3</w:t>
        </w:r>
      </w:hyperlink>
      <w:r>
        <w:t xml:space="preserve">),</w:t>
      </w:r>
      <w:r>
        <w:t xml:space="preserve"> </w:t>
      </w:r>
      <w:r>
        <w:t xml:space="preserve">while keeping the router costs 11% more memory and 24% slower decoding. About 2.9 s of the 3.1 s</w:t>
      </w:r>
      <w:r>
        <w:t xml:space="preserve"> </w:t>
      </w:r>
      <w:r>
        <w:t xml:space="preserve">latency is the prefill pass, dominated by the vision encoder, so the number of image tokens is the main</w:t>
      </w:r>
      <w:r>
        <w:t xml:space="preserve"> </w:t>
      </w:r>
      <w:r>
        <w:t xml:space="preserve">lever for latency. The fp16 model’s 4.1 GB of weights do not fit this GPU’s 4 GB. Without tensor cores, fp16 matrix</w:t>
      </w:r>
      <w:r>
        <w:t xml:space="preserve"> </w:t>
      </w:r>
      <w:r>
        <w:t xml:space="preserve">multiplication here is about five times slower than fp32, so fp32 compute with 4-bit weights cuts time</w:t>
      </w:r>
      <w:r>
        <w:t xml:space="preserve"> </w:t>
      </w:r>
      <w:r>
        <w:t xml:space="preserve">to first token from 12.8 to 3.0 s at equal accuracy for 0.5 GB more memory.</w:t>
      </w:r>
    </w:p>
    <w:bookmarkEnd w:id="35"/>
    <w:bookmarkStart w:id="41" w:name="e.-accuracy-versus-memory-and-resolution"/>
    <w:p>
      <w:pPr>
        <w:pStyle w:val="Heading2"/>
      </w:pPr>
      <w:r>
        <w:t xml:space="preserve">E. Accuracy versus memory and resolution</w:t>
      </w:r>
    </w:p>
    <w:p>
      <w:pPr>
        <w:pStyle w:val="FirstParagraph"/>
      </w:pPr>
      <w:r>
        <w:t xml:space="preserve">Table </w:t>
      </w:r>
      <w:hyperlink w:anchor="tab:eff">
        <w:r>
          <w:rPr>
            <w:rStyle w:val="Hyperlink"/>
          </w:rPr>
          <w:t xml:space="preserve">4</w:t>
        </w:r>
      </w:hyperlink>
      <w:r>
        <w:t xml:space="preserve"> </w:t>
      </w:r>
      <w:r>
        <w:t xml:space="preserve">compares our models with the unquantised model (fp16 weights and compute, 512 px)</w:t>
      </w:r>
      <w:r>
        <w:t xml:space="preserve"> </w:t>
      </w:r>
      <w:r>
        <w:t xml:space="preserve">on the test set; Fig. </w:t>
      </w:r>
      <w:hyperlink w:anchor="fig:accmem">
        <w:r>
          <w:rPr>
            <w:rStyle w:val="Hyperlink"/>
          </w:rPr>
          <w:t xml:space="preserve">4</w:t>
        </w:r>
      </w:hyperlink>
      <w:r>
        <w:t xml:space="preserve"> </w:t>
      </w:r>
      <w:r>
        <w:t xml:space="preserve">places every evaluated configuration on the accuracy–memory</w:t>
      </w:r>
      <w:r>
        <w:t xml:space="preserve"> </w:t>
      </w:r>
      <w:r>
        <w:t xml:space="preserve">plane. A 512 px image gives 440.6 visual tokens, a 256 px one 241.7 (</w:t>
      </w:r>
      <m:oMath>
        <m:r>
          <m:rPr>
            <m:sty m:val="p"/>
          </m:rPr>
          <m:t>−</m:t>
        </m:r>
        <m:r>
          <m:t>45</m:t>
        </m:r>
        <m:r>
          <m:rPr>
            <m:sty m:val="p"/>
          </m:rPr>
          <m:t>%</m:t>
        </m:r>
      </m:oMath>
      <w:r>
        <w:t xml:space="preserve">). For 256 px we rebuilt</w:t>
      </w:r>
      <w:r>
        <w:t xml:space="preserve"> </w:t>
      </w:r>
      <w:r>
        <w:t xml:space="preserve">the teacher cache and trained moe_seq and dense16 with the same recipe (three seeds; 42 and 36 minutes</w:t>
      </w:r>
      <w:r>
        <w:t xml:space="preserve"> </w:t>
      </w:r>
      <w:r>
        <w:t xml:space="preserve">per run instead of about 65).</w:t>
      </w:r>
    </w:p>
    <w:bookmarkStart w:id="39" w:name="fig:accmem"/>
    <w:p>
      <w:pPr>
        <w:pStyle w:val="CaptionedFigure"/>
      </w:pPr>
      <w:r>
        <w:drawing>
          <wp:inline>
            <wp:extent cx="3063240" cy="2493110"/>
            <wp:effectExtent b="0" l="0" r="0" t="0"/>
            <wp:docPr descr="" title="" id="37" name="Picture"/>
            <a:graphic>
              <a:graphicData uri="http://schemas.openxmlformats.org/drawingml/2006/picture">
                <pic:pic>
                  <pic:nvPicPr>
                    <pic:cNvPr descr="figs/acc_vs_memory.png" id="38" name="Picture"/>
                    <pic:cNvPicPr>
                      <a:picLocks noChangeArrowheads="1" noChangeAspect="1"/>
                    </pic:cNvPicPr>
                  </pic:nvPicPr>
                  <pic:blipFill>
                    <a:blip r:embed="rId36"/>
                    <a:stretch>
                      <a:fillRect/>
                    </a:stretch>
                  </pic:blipFill>
                  <pic:spPr bwMode="auto">
                    <a:xfrm>
                      <a:off x="0" y="0"/>
                      <a:ext cx="3063240" cy="2493110"/>
                    </a:xfrm>
                    <a:prstGeom prst="rect">
                      <a:avLst/>
                    </a:prstGeom>
                    <a:noFill/>
                    <a:ln w="9525">
                      <a:noFill/>
                      <a:headEnd/>
                      <a:tailEnd/>
                    </a:ln>
                  </pic:spPr>
                </pic:pic>
              </a:graphicData>
            </a:graphic>
          </wp:inline>
        </w:drawing>
      </w:r>
    </w:p>
    <w:p>
      <w:pPr>
        <w:pStyle w:val="ImageCaption"/>
      </w:pPr>
      <w:r>
        <w:t xml:space="preserve">Fig. 4. Test macro score versus peak GPU memory during evaluation for all configurations (base models</w:t>
      </w:r>
      <w:r>
        <w:t xml:space="preserve"> </w:t>
      </w:r>
      <w:r>
        <w:t xml:space="preserve">without adapters, MoPEQ-style KL plans without adapters, and adapted models with</w:t>
      </w:r>
      <w:r>
        <w:t xml:space="preserve"> </w:t>
      </w:r>
      <m:oMath>
        <m:r>
          <m:rPr>
            <m:sty m:val="p"/>
          </m:rPr>
          <m:t>±</m:t>
        </m:r>
        <m:r>
          <m:t>1</m:t>
        </m:r>
      </m:oMath>
      <w:r>
        <w:t xml:space="preserve"> </w:t>
      </w:r>
      <w:r>
        <w:t xml:space="preserve">s.d. over three</w:t>
      </w:r>
      <w:r>
        <w:t xml:space="preserve"> </w:t>
      </w:r>
      <w:r>
        <w:t xml:space="preserve">seeds). The dotted line marks the unquantised fp16 model, the dashed line the 4 GB of the GTX 1650.</w:t>
      </w:r>
    </w:p>
    <w:bookmarkEnd w:id="39"/>
    <w:bookmarkStart w:id="40" w:name="tab:eff"/>
    <w:p>
      <w:pPr>
        <w:pStyle w:val="TableCaption"/>
      </w:pPr>
      <w:r>
        <w:t xml:space="preserve">TABLE IV. Test accuracy (%) and T4 GPU memory against the unquantised model.</w:t>
      </w:r>
      <w:r>
        <w:t xml:space="preserve"> </w:t>
      </w:r>
      <m:oMath>
        <m:r>
          <m:rPr>
            <m:sty m:val="p"/>
          </m:rPr>
          <m:t>Δ</m:t>
        </m:r>
      </m:oMath>
      <w:r>
        <w:t xml:space="preserve">: difference to</w:t>
      </w:r>
      <w:r>
        <w:t xml:space="preserve"> </w:t>
      </w:r>
      <w:r>
        <w:t xml:space="preserve">fp16 at 512 px with 95% paired bootstrap CI. 512 px adapter rows are from Table </w:t>
      </w:r>
      <w:hyperlink w:anchor="tab:main">
        <w:r>
          <w:rPr>
            <w:rStyle w:val="Hyperlink"/>
          </w:rPr>
          <w:t xml:space="preserve">1</w:t>
        </w:r>
      </w:hyperlink>
      <w:r>
        <w:t xml:space="preserve">.</w:t>
      </w:r>
    </w:p>
    <w:tbl>
      <w:tblPr>
        <w:tblStyle w:val="Table"/>
        <w:tblW w:type="auto" w:w="0"/>
        <w:tblLook w:firstRow="1" w:lastRow="0" w:firstColumn="0" w:lastColumn="0" w:noHBand="0" w:noVBand="0" w:val="0020"/>
        <w:tblCaption w:val="TABLE IV. Test accuracy (%) and T4 GPU memory against the unquantised model. \Delta: difference to fp16 at 512 px with 95% paired bootstrap CI. 512 px adapter rows are from Table 1."/>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px</w:t>
            </w:r>
          </w:p>
        </w:tc>
        <w:tc>
          <w:tcPr/>
          <w:p>
            <w:pPr>
              <w:pStyle w:val="Compact"/>
              <w:jc w:val="center"/>
            </w:pPr>
            <w:r>
              <w:t xml:space="preserve">Chart</w:t>
            </w:r>
          </w:p>
        </w:tc>
        <w:tc>
          <w:tcPr/>
          <w:p>
            <w:pPr>
              <w:pStyle w:val="Compact"/>
              <w:jc w:val="center"/>
            </w:pPr>
            <w:r>
              <w:t xml:space="preserve">Doc</w:t>
            </w:r>
          </w:p>
        </w:tc>
        <w:tc>
          <w:tcPr/>
          <w:p>
            <w:pPr>
              <w:pStyle w:val="Compact"/>
              <w:jc w:val="center"/>
            </w:pPr>
            <w:r>
              <w:t xml:space="preserve">Spatial</w:t>
            </w:r>
          </w:p>
        </w:tc>
        <w:tc>
          <w:tcPr/>
          <w:p>
            <w:pPr>
              <w:pStyle w:val="Compact"/>
              <w:jc w:val="center"/>
            </w:pPr>
            <w:r>
              <w:t xml:space="preserve">Macro</w:t>
            </w:r>
          </w:p>
        </w:tc>
        <w:tc>
          <w:tcPr/>
          <w:p>
            <w:pPr>
              <w:pStyle w:val="Compact"/>
              <w:jc w:val="center"/>
            </w:pPr>
            <w:r>
              <w:t xml:space="preserve">Peak</w:t>
            </w:r>
          </w:p>
        </w:tc>
      </w:tr>
      <w:tr>
        <w:tc>
          <w:tcPr/>
          <w:p>
            <w:pPr>
              <w:pStyle w:val="Compact"/>
              <w:jc w:val="left"/>
            </w:pPr>
            <w:r>
              <w:t xml:space="preserve">fp16 (original)</w:t>
            </w:r>
          </w:p>
        </w:tc>
        <w:tc>
          <w:tcPr/>
          <w:p>
            <w:pPr>
              <w:pStyle w:val="Compact"/>
              <w:jc w:val="center"/>
            </w:pPr>
            <w:r>
              <w:t xml:space="preserve">512</w:t>
            </w:r>
          </w:p>
        </w:tc>
        <w:tc>
          <w:tcPr/>
          <w:p>
            <w:pPr>
              <w:pStyle w:val="Compact"/>
              <w:jc w:val="center"/>
            </w:pPr>
            <w:r>
              <w:t xml:space="preserve">76.5</w:t>
            </w:r>
          </w:p>
        </w:tc>
        <w:tc>
          <w:tcPr/>
          <w:p>
            <w:pPr>
              <w:pStyle w:val="Compact"/>
              <w:jc w:val="center"/>
            </w:pPr>
            <w:r>
              <w:t xml:space="preserve">84.9</w:t>
            </w:r>
          </w:p>
        </w:tc>
        <w:tc>
          <w:tcPr/>
          <w:p>
            <w:pPr>
              <w:pStyle w:val="Compact"/>
              <w:jc w:val="center"/>
            </w:pPr>
            <w:r>
              <w:t xml:space="preserve">69.0</w:t>
            </w:r>
          </w:p>
        </w:tc>
        <w:tc>
          <w:tcPr/>
          <w:p>
            <w:pPr>
              <w:pStyle w:val="Compact"/>
              <w:jc w:val="center"/>
            </w:pPr>
            <w:r>
              <w:t xml:space="preserve">76.8</w:t>
            </w:r>
          </w:p>
        </w:tc>
        <w:tc>
          <w:tcPr/>
          <w:p>
            <w:pPr>
              <w:pStyle w:val="Compact"/>
              <w:jc w:val="center"/>
            </w:pPr>
            <w:r>
              <w:t xml:space="preserve">4325 MiB</w:t>
            </w:r>
          </w:p>
        </w:tc>
      </w:tr>
      <w:tr>
        <w:tc>
          <w:tcPr/>
          <w:p>
            <w:pPr>
              <w:pStyle w:val="Compact"/>
              <w:jc w:val="left"/>
            </w:pPr>
            <w:r>
              <w:t xml:space="preserve">4-bit base</w:t>
            </w:r>
          </w:p>
        </w:tc>
        <w:tc>
          <w:tcPr/>
          <w:p>
            <w:pPr>
              <w:pStyle w:val="Compact"/>
              <w:jc w:val="center"/>
            </w:pPr>
            <w:r>
              <w:t xml:space="preserve">512</w:t>
            </w:r>
          </w:p>
        </w:tc>
        <w:tc>
          <w:tcPr/>
          <w:p>
            <w:pPr>
              <w:pStyle w:val="Compact"/>
              <w:jc w:val="center"/>
            </w:pPr>
            <w:r>
              <w:t xml:space="preserve">72.0</w:t>
            </w:r>
          </w:p>
        </w:tc>
        <w:tc>
          <w:tcPr/>
          <w:p>
            <w:pPr>
              <w:pStyle w:val="Compact"/>
              <w:jc w:val="center"/>
            </w:pPr>
            <w:r>
              <w:t xml:space="preserve">82.2</w:t>
            </w:r>
          </w:p>
        </w:tc>
        <w:tc>
          <w:tcPr/>
          <w:p>
            <w:pPr>
              <w:pStyle w:val="Compact"/>
              <w:jc w:val="center"/>
            </w:pPr>
            <w:r>
              <w:t xml:space="preserve">60.5</w:t>
            </w:r>
          </w:p>
        </w:tc>
        <w:tc>
          <w:tcPr/>
          <w:p>
            <w:pPr>
              <w:pStyle w:val="Compact"/>
              <w:jc w:val="center"/>
            </w:pPr>
            <w:r>
              <w:t xml:space="preserve">71.6</w:t>
            </w:r>
          </w:p>
        </w:tc>
        <w:tc>
          <w:tcPr/>
          <w:p>
            <w:pPr>
              <w:pStyle w:val="Compact"/>
              <w:jc w:val="center"/>
            </w:pPr>
            <w:r>
              <w:t xml:space="preserve">1566 MiB</w:t>
            </w:r>
          </w:p>
        </w:tc>
      </w:tr>
      <w:tr>
        <w:tc>
          <w:tcPr/>
          <w:p>
            <w:pPr>
              <w:pStyle w:val="Compact"/>
              <w:jc w:val="left"/>
            </w:pPr>
            <w:r>
              <w:t xml:space="preserve">4-bit base</w:t>
            </w:r>
          </w:p>
        </w:tc>
        <w:tc>
          <w:tcPr/>
          <w:p>
            <w:pPr>
              <w:pStyle w:val="Compact"/>
              <w:jc w:val="center"/>
            </w:pPr>
            <w:r>
              <w:t xml:space="preserve">256</w:t>
            </w:r>
          </w:p>
        </w:tc>
        <w:tc>
          <w:tcPr/>
          <w:p>
            <w:pPr>
              <w:pStyle w:val="Compact"/>
              <w:jc w:val="center"/>
            </w:pPr>
            <w:r>
              <w:t xml:space="preserve">70.5</w:t>
            </w:r>
          </w:p>
        </w:tc>
        <w:tc>
          <w:tcPr/>
          <w:p>
            <w:pPr>
              <w:pStyle w:val="Compact"/>
              <w:jc w:val="center"/>
            </w:pPr>
            <w:r>
              <w:t xml:space="preserve">72.8</w:t>
            </w:r>
          </w:p>
        </w:tc>
        <w:tc>
          <w:tcPr/>
          <w:p>
            <w:pPr>
              <w:pStyle w:val="Compact"/>
              <w:jc w:val="center"/>
            </w:pPr>
            <w:r>
              <w:t xml:space="preserve">58.5</w:t>
            </w:r>
          </w:p>
        </w:tc>
        <w:tc>
          <w:tcPr/>
          <w:p>
            <w:pPr>
              <w:pStyle w:val="Compact"/>
              <w:jc w:val="center"/>
            </w:pPr>
            <w:r>
              <w:t xml:space="preserve">67.3</w:t>
            </w:r>
          </w:p>
        </w:tc>
        <w:tc>
          <w:tcPr/>
          <w:p>
            <w:pPr>
              <w:pStyle w:val="Compact"/>
              <w:jc w:val="center"/>
            </w:pPr>
            <w:r>
              <w:t xml:space="preserve">–</w:t>
            </w:r>
          </w:p>
        </w:tc>
      </w:tr>
      <w:tr>
        <w:tc>
          <w:tcPr/>
          <w:p>
            <w:pPr>
              <w:pStyle w:val="Compact"/>
              <w:jc w:val="left"/>
            </w:pPr>
            <w:r>
              <w:t xml:space="preserve">dense16</w:t>
            </w:r>
          </w:p>
        </w:tc>
        <w:tc>
          <w:tcPr/>
          <w:p>
            <w:pPr>
              <w:pStyle w:val="Compact"/>
              <w:jc w:val="center"/>
            </w:pPr>
            <w:r>
              <w:t xml:space="preserve">512</w:t>
            </w:r>
          </w:p>
        </w:tc>
        <w:tc>
          <w:tcPr/>
          <w:p>
            <w:pPr>
              <w:pStyle w:val="Compact"/>
              <w:jc w:val="center"/>
            </w:pPr>
            <w:r>
              <w:t xml:space="preserve">73.5</w:t>
            </w:r>
          </w:p>
        </w:tc>
        <w:tc>
          <w:tcPr/>
          <w:p>
            <w:pPr>
              <w:pStyle w:val="Compact"/>
              <w:jc w:val="center"/>
            </w:pPr>
            <w:r>
              <w:t xml:space="preserve">83.5</w:t>
            </w:r>
          </w:p>
        </w:tc>
        <w:tc>
          <w:tcPr/>
          <w:p>
            <w:pPr>
              <w:pStyle w:val="Compact"/>
              <w:jc w:val="center"/>
            </w:pPr>
            <w:r>
              <w:t xml:space="preserve">78.2</w:t>
            </w:r>
          </w:p>
        </w:tc>
        <w:tc>
          <w:tcPr/>
          <w:p>
            <w:pPr>
              <w:pStyle w:val="Compact"/>
              <w:jc w:val="center"/>
            </w:pPr>
            <w:r>
              <w:rPr>
                <w:b/>
                <w:bCs/>
              </w:rPr>
              <w:t xml:space="preserve">78.4</w:t>
            </w:r>
          </w:p>
        </w:tc>
        <w:tc>
          <w:tcPr/>
          <w:p>
            <w:pPr>
              <w:pStyle w:val="Compact"/>
              <w:jc w:val="center"/>
            </w:pPr>
            <m:oMath>
              <m:r>
                <m:rPr>
                  <m:sty m:val="p"/>
                </m:rPr>
                <m:t>≈</m:t>
              </m:r>
            </m:oMath>
            <w:r>
              <w:t xml:space="preserve">1.6 GB</w:t>
            </w:r>
          </w:p>
        </w:tc>
      </w:tr>
      <w:tr>
        <w:tc>
          <w:tcPr/>
          <w:p>
            <w:pPr>
              <w:pStyle w:val="Compact"/>
              <w:jc w:val="left"/>
            </w:pPr>
            <w:r>
              <w:t xml:space="preserve">moe_seq</w:t>
            </w:r>
          </w:p>
        </w:tc>
        <w:tc>
          <w:tcPr/>
          <w:p>
            <w:pPr>
              <w:pStyle w:val="Compact"/>
              <w:jc w:val="center"/>
            </w:pPr>
            <w:r>
              <w:t xml:space="preserve">512</w:t>
            </w:r>
          </w:p>
        </w:tc>
        <w:tc>
          <w:tcPr/>
          <w:p>
            <w:pPr>
              <w:pStyle w:val="Compact"/>
              <w:jc w:val="center"/>
            </w:pPr>
            <w:r>
              <w:t xml:space="preserve">73.0</w:t>
            </w:r>
          </w:p>
        </w:tc>
        <w:tc>
          <w:tcPr/>
          <w:p>
            <w:pPr>
              <w:pStyle w:val="Compact"/>
              <w:jc w:val="center"/>
            </w:pPr>
            <w:r>
              <w:t xml:space="preserve">84.4</w:t>
            </w:r>
          </w:p>
        </w:tc>
        <w:tc>
          <w:tcPr/>
          <w:p>
            <w:pPr>
              <w:pStyle w:val="Compact"/>
              <w:jc w:val="center"/>
            </w:pPr>
            <w:r>
              <w:t xml:space="preserve">75.8</w:t>
            </w:r>
          </w:p>
        </w:tc>
        <w:tc>
          <w:tcPr/>
          <w:p>
            <w:pPr>
              <w:pStyle w:val="Compact"/>
              <w:jc w:val="center"/>
            </w:pPr>
            <w:r>
              <w:t xml:space="preserve">77.7</w:t>
            </w:r>
          </w:p>
        </w:tc>
        <w:tc>
          <w:tcPr/>
          <w:p>
            <w:pPr>
              <w:pStyle w:val="Compact"/>
              <w:jc w:val="center"/>
            </w:pPr>
            <m:oMath>
              <m:r>
                <m:rPr>
                  <m:sty m:val="p"/>
                </m:rPr>
                <m:t>≈</m:t>
              </m:r>
            </m:oMath>
            <w:r>
              <w:t xml:space="preserve">1.75 GB</w:t>
            </w:r>
          </w:p>
        </w:tc>
      </w:tr>
      <w:tr>
        <w:tc>
          <w:tcPr/>
          <w:p>
            <w:pPr>
              <w:pStyle w:val="Compact"/>
              <w:jc w:val="left"/>
            </w:pPr>
            <w:r>
              <w:t xml:space="preserve">dense16</w:t>
            </w:r>
          </w:p>
        </w:tc>
        <w:tc>
          <w:tcPr/>
          <w:p>
            <w:pPr>
              <w:pStyle w:val="Compact"/>
              <w:jc w:val="center"/>
            </w:pPr>
            <w:r>
              <w:t xml:space="preserve">256</w:t>
            </w:r>
          </w:p>
        </w:tc>
        <w:tc>
          <w:tcPr/>
          <w:p>
            <w:pPr>
              <w:pStyle w:val="Compact"/>
              <w:jc w:val="center"/>
            </w:pPr>
            <w:r>
              <w:t xml:space="preserve">70.0</w:t>
            </w:r>
          </w:p>
        </w:tc>
        <w:tc>
          <w:tcPr/>
          <w:p>
            <w:pPr>
              <w:pStyle w:val="Compact"/>
              <w:jc w:val="center"/>
            </w:pPr>
            <w:r>
              <w:t xml:space="preserve">74.7</w:t>
            </w:r>
          </w:p>
        </w:tc>
        <w:tc>
          <w:tcPr/>
          <w:p>
            <w:pPr>
              <w:pStyle w:val="Compact"/>
              <w:jc w:val="center"/>
            </w:pPr>
            <w:r>
              <w:t xml:space="preserve">75.7</w:t>
            </w:r>
          </w:p>
        </w:tc>
        <w:tc>
          <w:tcPr/>
          <w:p>
            <w:pPr>
              <w:pStyle w:val="Compact"/>
              <w:jc w:val="center"/>
            </w:pPr>
            <w:r>
              <w:t xml:space="preserve">73.4</w:t>
            </w:r>
          </w:p>
        </w:tc>
        <w:tc>
          <w:tcPr/>
          <w:p>
            <w:pPr>
              <w:pStyle w:val="Compact"/>
              <w:jc w:val="center"/>
            </w:pPr>
            <w:r>
              <w:t xml:space="preserve">1588 MiB</w:t>
            </w:r>
          </w:p>
        </w:tc>
      </w:tr>
      <w:tr>
        <w:tc>
          <w:tcPr/>
          <w:p>
            <w:pPr>
              <w:pStyle w:val="Compact"/>
              <w:jc w:val="left"/>
            </w:pPr>
            <w:r>
              <w:t xml:space="preserve">moe_seq</w:t>
            </w:r>
          </w:p>
        </w:tc>
        <w:tc>
          <w:tcPr/>
          <w:p>
            <w:pPr>
              <w:pStyle w:val="Compact"/>
              <w:jc w:val="center"/>
            </w:pPr>
            <w:r>
              <w:t xml:space="preserve">256</w:t>
            </w:r>
          </w:p>
        </w:tc>
        <w:tc>
          <w:tcPr/>
          <w:p>
            <w:pPr>
              <w:pStyle w:val="Compact"/>
              <w:jc w:val="center"/>
            </w:pPr>
            <w:r>
              <w:t xml:space="preserve">71.7</w:t>
            </w:r>
          </w:p>
        </w:tc>
        <w:tc>
          <w:tcPr/>
          <w:p>
            <w:pPr>
              <w:pStyle w:val="Compact"/>
              <w:jc w:val="center"/>
            </w:pPr>
            <w:r>
              <w:t xml:space="preserve">75.0</w:t>
            </w:r>
          </w:p>
        </w:tc>
        <w:tc>
          <w:tcPr/>
          <w:p>
            <w:pPr>
              <w:pStyle w:val="Compact"/>
              <w:jc w:val="center"/>
            </w:pPr>
            <w:r>
              <w:t xml:space="preserve">77.0</w:t>
            </w:r>
          </w:p>
        </w:tc>
        <w:tc>
          <w:tcPr/>
          <w:p>
            <w:pPr>
              <w:pStyle w:val="Compact"/>
              <w:jc w:val="center"/>
            </w:pPr>
            <w:r>
              <w:t xml:space="preserve">74.6</w:t>
            </w:r>
          </w:p>
        </w:tc>
        <w:tc>
          <w:tcPr/>
          <w:p>
            <w:pPr>
              <w:pStyle w:val="Compact"/>
              <w:jc w:val="center"/>
            </w:pPr>
            <w:r>
              <w:t xml:space="preserve">1753 MiB</w:t>
            </w:r>
          </w:p>
        </w:tc>
      </w:tr>
    </w:tbl>
    <w:bookmarkEnd w:id="40"/>
    <w:p>
      <w:pPr>
        <w:pStyle w:val="BodyText"/>
      </w:pPr>
      <w:r>
        <w:br/>
      </w:r>
      <m:oMath>
        <m:r>
          <m:rPr>
            <m:sty m:val="p"/>
          </m:rPr>
          <m:t>Δ</m:t>
        </m:r>
      </m:oMath>
      <w:r>
        <w:t xml:space="preserve"> </w:t>
      </w:r>
      <w:r>
        <w:t xml:space="preserve">vs fp16: 4-bit base 512</w:t>
      </w:r>
      <w:r>
        <w:t xml:space="preserve"> </w:t>
      </w:r>
      <m:oMath>
        <m:r>
          <m:rPr>
            <m:sty m:val="p"/>
          </m:rPr>
          <m:t>−</m:t>
        </m:r>
        <m:r>
          <m:t>5.2</m:t>
        </m:r>
      </m:oMath>
      <w:r>
        <w:t xml:space="preserve"> </w:t>
      </w:r>
      <w:r>
        <w:t xml:space="preserve">[</w:t>
      </w:r>
      <m:oMath>
        <m:r>
          <m:rPr>
            <m:sty m:val="p"/>
          </m:rPr>
          <m:t>−</m:t>
        </m:r>
        <m:r>
          <m:t>7.8</m:t>
        </m:r>
        <m:r>
          <m:rPr>
            <m:sty m:val="p"/>
          </m:rPr>
          <m:t>,</m:t>
        </m:r>
        <m:r>
          <m:rPr>
            <m:sty m:val="p"/>
          </m:rPr>
          <m:t>−</m:t>
        </m:r>
        <m:r>
          <m:t>2.7</m:t>
        </m:r>
      </m:oMath>
      <w:r>
        <w:t xml:space="preserve">]; dense16@256</w:t>
      </w:r>
      <w:r>
        <w:t xml:space="preserve"> </w:t>
      </w:r>
      <m:oMath>
        <m:r>
          <m:rPr>
            <m:sty m:val="p"/>
          </m:rPr>
          <m:t>−</m:t>
        </m:r>
        <m:r>
          <m:t>3.3</m:t>
        </m:r>
      </m:oMath>
      <w:r>
        <w:t xml:space="preserve"> </w:t>
      </w:r>
      <w:r>
        <w:t xml:space="preserve">[</w:t>
      </w:r>
      <m:oMath>
        <m:r>
          <m:rPr>
            <m:sty m:val="p"/>
          </m:rPr>
          <m:t>−</m:t>
        </m:r>
        <m:r>
          <m:t>6.3</m:t>
        </m:r>
        <m:r>
          <m:rPr>
            <m:sty m:val="p"/>
          </m:rPr>
          <m:t>,</m:t>
        </m:r>
        <m:r>
          <m:rPr>
            <m:sty m:val="p"/>
          </m:rPr>
          <m:t>−</m:t>
        </m:r>
        <m:r>
          <m:t>0.4</m:t>
        </m:r>
      </m:oMath>
      <w:r>
        <w:t xml:space="preserve">];</w:t>
      </w:r>
      <w:r>
        <w:t xml:space="preserve"> </w:t>
      </w:r>
      <w:r>
        <w:t xml:space="preserve">moe_seq@256</w:t>
      </w:r>
      <w:r>
        <w:t xml:space="preserve"> </w:t>
      </w:r>
      <m:oMath>
        <m:r>
          <m:rPr>
            <m:sty m:val="p"/>
          </m:rPr>
          <m:t>−</m:t>
        </m:r>
        <m:r>
          <m:t>2.2</m:t>
        </m:r>
      </m:oMath>
      <w:r>
        <w:t xml:space="preserve"> </w:t>
      </w:r>
      <w:r>
        <w:t xml:space="preserve">[</w:t>
      </w:r>
      <m:oMath>
        <m:r>
          <m:rPr>
            <m:sty m:val="p"/>
          </m:rPr>
          <m:t>−</m:t>
        </m:r>
        <m:r>
          <m:t>5.1</m:t>
        </m:r>
        <m:r>
          <m:rPr>
            <m:sty m:val="p"/>
          </m:rPr>
          <m:t>,</m:t>
        </m:r>
        <m:r>
          <m:rPr>
            <m:sty m:val="p"/>
          </m:rPr>
          <m:t>+</m:t>
        </m:r>
        <m:r>
          <m:t>0.7</m:t>
        </m:r>
      </m:oMath>
      <w:r>
        <w:t xml:space="preserve">].</w:t>
      </w:r>
    </w:p>
    <w:p>
      <w:pPr>
        <w:pStyle w:val="BodyText"/>
      </w:pPr>
      <w:r>
        <w:t xml:space="preserve">Quantising to 4-bit cuts weight memory from 4213 MiB to 1390 MiB but costs 5.2 points. The adapters</w:t>
      </w:r>
      <w:r>
        <w:t xml:space="preserve"> </w:t>
      </w:r>
      <w:r>
        <w:t xml:space="preserve">recover this loss: at 512 px dense16 (78.4) and moe_seq (77.7) score on par with or above the</w:t>
      </w:r>
      <w:r>
        <w:t xml:space="preserve"> </w:t>
      </w:r>
      <w:r>
        <w:t xml:space="preserve">unquantised model (76.8;</w:t>
      </w:r>
      <w:r>
        <w:t xml:space="preserve"> </w:t>
      </w:r>
      <m:oMath>
        <m:r>
          <m:rPr>
            <m:sty m:val="p"/>
          </m:rPr>
          <m:t>+</m:t>
        </m:r>
        <m:r>
          <m:t>1.6</m:t>
        </m:r>
      </m:oMath>
      <w:r>
        <w:t xml:space="preserve"> </w:t>
      </w:r>
      <w:r>
        <w:t xml:space="preserve">and</w:t>
      </w:r>
      <w:r>
        <w:t xml:space="preserve"> </w:t>
      </w:r>
      <m:oMath>
        <m:r>
          <m:rPr>
            <m:sty m:val="p"/>
          </m:rPr>
          <m:t>+</m:t>
        </m:r>
        <m:r>
          <m:t>0.9</m:t>
        </m:r>
      </m:oMath>
      <w:r>
        <w:t xml:space="preserve">, 95% CIs</w:t>
      </w:r>
      <w:r>
        <w:t xml:space="preserve"> </w:t>
      </w:r>
      <m:oMath>
        <m:r>
          <m:rPr>
            <m:sty m:val="p"/>
          </m:rPr>
          <m:t>[</m:t>
        </m:r>
        <m:r>
          <m:rPr>
            <m:sty m:val="p"/>
          </m:rPr>
          <m:t>−</m:t>
        </m:r>
        <m:r>
          <m:t>0.8</m:t>
        </m:r>
        <m:r>
          <m:rPr>
            <m:sty m:val="p"/>
          </m:rPr>
          <m:t>,</m:t>
        </m:r>
        <m:r>
          <m:rPr>
            <m:sty m:val="p"/>
          </m:rPr>
          <m:t>+</m:t>
        </m:r>
        <m:r>
          <m:t>4.0</m:t>
        </m:r>
        <m:r>
          <m:rPr>
            <m:sty m:val="p"/>
          </m:rPr>
          <m:t>]</m:t>
        </m:r>
      </m:oMath>
      <w:r>
        <w:t xml:space="preserve"> </w:t>
      </w:r>
      <w:r>
        <w:t xml:space="preserve">and</w:t>
      </w:r>
      <w:r>
        <w:t xml:space="preserve"> </w:t>
      </w:r>
      <m:oMath>
        <m:r>
          <m:rPr>
            <m:sty m:val="p"/>
          </m:rPr>
          <m:t>[</m:t>
        </m:r>
        <m:r>
          <m:rPr>
            <m:sty m:val="p"/>
          </m:rPr>
          <m:t>−</m:t>
        </m:r>
        <m:r>
          <m:t>1.4</m:t>
        </m:r>
        <m:r>
          <m:rPr>
            <m:sty m:val="p"/>
          </m:rPr>
          <m:t>,</m:t>
        </m:r>
        <m:r>
          <m:rPr>
            <m:sty m:val="p"/>
          </m:rPr>
          <m:t>+</m:t>
        </m:r>
        <m:r>
          <m:t>3.2</m:t>
        </m:r>
        <m:r>
          <m:rPr>
            <m:sty m:val="p"/>
          </m:rPr>
          <m:t>]</m:t>
        </m:r>
      </m:oMath>
      <w:r>
        <w:t xml:space="preserve">, so not</w:t>
      </w:r>
      <w:r>
        <w:t xml:space="preserve"> </w:t>
      </w:r>
      <w:r>
        <w:t xml:space="preserve">significant) while using about</w:t>
      </w:r>
      <w:r>
        <w:t xml:space="preserve"> </w:t>
      </w:r>
      <m:oMath>
        <m:r>
          <m:t>2.6</m:t>
        </m:r>
        <m:r>
          <m:rPr>
            <m:sty m:val="p"/>
          </m:rPr>
          <m:t>×</m:t>
        </m:r>
      </m:oMath>
      <w:r>
        <w:t xml:space="preserve"> </w:t>
      </w:r>
      <w:r>
        <w:t xml:space="preserve">less weight and peak memory. The gain comes</w:t>
      </w:r>
      <w:r>
        <w:t xml:space="preserve"> </w:t>
      </w:r>
      <w:r>
        <w:t xml:space="preserve">mostly from spatial reasoning (+7 to +9 points), where fine-tuning teaches the yes/no answer format;</w:t>
      </w:r>
      <w:r>
        <w:t xml:space="preserve"> </w:t>
      </w:r>
      <w:r>
        <w:t xml:space="preserve">document OCR stays slightly below the unquantised model.</w:t>
      </w:r>
    </w:p>
    <w:p>
      <w:pPr>
        <w:pStyle w:val="BodyText"/>
      </w:pPr>
      <w:r>
        <w:t xml:space="preserve">Halving the image budget is harder. At 256 px document OCR falls by about 10 points for every model,</w:t>
      </w:r>
      <w:r>
        <w:t xml:space="preserve"> </w:t>
      </w:r>
      <w:r>
        <w:t xml:space="preserve">since small text becomes unreadable, while spatial reasoning is unaffected. Sequence-level MoE-LoRA</w:t>
      </w:r>
      <w:r>
        <w:t xml:space="preserve"> </w:t>
      </w:r>
      <w:r>
        <w:t xml:space="preserve">stays within noise of the unquantised model (</w:t>
      </w:r>
      <m:oMath>
        <m:r>
          <m:rPr>
            <m:sty m:val="p"/>
          </m:rPr>
          <m:t>−</m:t>
        </m:r>
        <m:r>
          <m:t>2.2</m:t>
        </m:r>
      </m:oMath>
      <w:r>
        <w:t xml:space="preserve">, CI includes zero) and 1.2 points ahead of dense16</w:t>
      </w:r>
      <w:r>
        <w:t xml:space="preserve"> </w:t>
      </w:r>
      <w:r>
        <w:t xml:space="preserve">(higher on all three tasks), which is significantly below it; task experts seem to help most on compressed</w:t>
      </w:r>
      <w:r>
        <w:t xml:space="preserve"> </w:t>
      </w:r>
      <w:r>
        <w:t xml:space="preserve">input, though three seeds are too few to call the 1.2-point gap significant.</w:t>
      </w:r>
    </w:p>
    <w:p>
      <w:pPr>
        <w:pStyle w:val="BodyText"/>
      </w:pPr>
      <w:r>
        <w:t xml:space="preserve">On the T4, 4-bit inference is no faster than fp16 (0.49–0.56 vs 0.50 s per answer); the gain is</w:t>
      </w:r>
      <w:r>
        <w:t xml:space="preserve"> </w:t>
      </w:r>
      <w:r>
        <w:t xml:space="preserve">memory, which decides whether a model fits the 4 GB GTX 1650.</w:t>
      </w:r>
    </w:p>
    <w:bookmarkEnd w:id="41"/>
    <w:bookmarkStart w:id="43" w:name="f.-where-the-4-bit-loss-comes-from"/>
    <w:p>
      <w:pPr>
        <w:pStyle w:val="Heading2"/>
      </w:pPr>
      <w:r>
        <w:t xml:space="preserve">F. Where the 4-bit loss comes from</w:t>
      </w:r>
    </w:p>
    <w:p>
      <w:pPr>
        <w:pStyle w:val="FirstParagraph"/>
      </w:pPr>
      <w:r>
        <w:t xml:space="preserve">Table </w:t>
      </w:r>
      <w:hyperlink w:anchor="tab:vis">
        <w:r>
          <w:rPr>
            <w:rStyle w:val="Hyperlink"/>
          </w:rPr>
          <w:t xml:space="preserve">5</w:t>
        </w:r>
      </w:hyperlink>
      <w:r>
        <w:t xml:space="preserve"> </w:t>
      </w:r>
      <w:r>
        <w:t xml:space="preserve">keeps one component of the base in fp16 and quantises the rest to NF4 (test, 512 px).</w:t>
      </w:r>
      <w:r>
        <w:t xml:space="preserve"> </w:t>
      </w:r>
      <w:r>
        <w:t xml:space="preserve">Both components contribute: an fp16 vision encoder recovers 1.7 of the 5.2 points lost to 4-bit</w:t>
      </w:r>
      <w:r>
        <w:t xml:space="preserve"> </w:t>
      </w:r>
      <w:r>
        <w:t xml:space="preserve">quantisation for 949 MiB, an fp16 language model 3.2 points for 1875 MiB, about the same gain per</w:t>
      </w:r>
      <w:r>
        <w:t xml:space="preserve"> </w:t>
      </w:r>
      <w:r>
        <w:t xml:space="preserve">megabyte. The vision encoder matters most for document and chart reading, the language model for</w:t>
      </w:r>
      <w:r>
        <w:t xml:space="preserve"> </w:t>
      </w:r>
      <w:r>
        <w:t xml:space="preserve">spatial reasoning. After fine-tuning, however, the difference almost vanishes: with an fp16 vision</w:t>
      </w:r>
      <w:r>
        <w:t xml:space="preserve"> </w:t>
      </w:r>
      <w:r>
        <w:t xml:space="preserve">encoder dense16 reaches 78.6 (vs 78.4 with a 4-bit encoder) and moe_seq 78.0 (vs 77.7), for</w:t>
      </w:r>
      <w:r>
        <w:t xml:space="preserve"> </w:t>
      </w:r>
      <w:r>
        <w:t xml:space="preserve">about 1 GB more memory. Trained on the quantised encoder with distillation from the fp16 model,</w:t>
      </w:r>
      <w:r>
        <w:t xml:space="preserve"> </w:t>
      </w:r>
      <w:r>
        <w:t xml:space="preserve">the adapters absorb the quantisation error, so a uniform 4-bit base is the better edge trade-off.</w:t>
      </w:r>
    </w:p>
    <w:bookmarkStart w:id="42" w:name="tab:vis"/>
    <w:p>
      <w:pPr>
        <w:pStyle w:val="TableCaption"/>
      </w:pPr>
      <w:r>
        <w:t xml:space="preserve">TABLE V. Mixed precision by component (test, %).</w:t>
      </w:r>
      <w:r>
        <w:t xml:space="preserve"> </w:t>
      </w:r>
      <m:oMath>
        <m:r>
          <m:rPr>
            <m:sty m:val="p"/>
          </m:rPr>
          <m:t>Δ</m:t>
        </m:r>
      </m:oMath>
      <w:r>
        <w:t xml:space="preserve">: difference to the fp16 model, 95% paired</w:t>
      </w:r>
      <w:r>
        <w:t xml:space="preserve"> </w:t>
      </w:r>
      <w:r>
        <w:t xml:space="preserve">bootstrap CI. Trained rows: mean of three seeds.</w:t>
      </w:r>
    </w:p>
    <w:tbl>
      <w:tblPr>
        <w:tblStyle w:val="Table"/>
        <w:tblW w:type="auto" w:w="0"/>
        <w:tblLook w:firstRow="1" w:lastRow="0" w:firstColumn="0" w:lastColumn="0" w:noHBand="0" w:noVBand="0" w:val="0020"/>
        <w:tblCaption w:val="TABLE V. Mixed precision by component (test, %). \Delta: difference to the fp16 model, 95% paired bootstrap CI. Trained rows: mean of three seeds."/>
      </w:tblPr>
      <w:tblGrid>
        <w:gridCol w:w="1980"/>
        <w:gridCol w:w="1980"/>
        <w:gridCol w:w="1980"/>
        <w:gridCol w:w="1980"/>
      </w:tblGrid>
      <w:tr>
        <w:trPr>
          <w:tblHeader w:val="on"/>
        </w:trPr>
        <w:tc>
          <w:tcPr/>
          <w:p>
            <w:pPr>
              <w:pStyle w:val="Compact"/>
              <w:jc w:val="left"/>
            </w:pPr>
            <w:r>
              <w:t xml:space="preserve">Base precision</w:t>
            </w:r>
          </w:p>
        </w:tc>
        <w:tc>
          <w:tcPr/>
          <w:p>
            <w:pPr>
              <w:pStyle w:val="Compact"/>
              <w:jc w:val="center"/>
            </w:pPr>
            <w:r>
              <w:t xml:space="preserve">Macro</w:t>
            </w:r>
          </w:p>
        </w:tc>
        <w:tc>
          <w:tcPr/>
          <w:p>
            <w:pPr>
              <w:pStyle w:val="Compact"/>
              <w:jc w:val="center"/>
            </w:pPr>
            <m:oMath>
              <m:r>
                <m:rPr>
                  <m:sty m:val="p"/>
                </m:rPr>
                <m:t>Δ</m:t>
              </m:r>
            </m:oMath>
            <w:r>
              <w:t xml:space="preserve"> </w:t>
            </w:r>
            <w:r>
              <w:t xml:space="preserve">vs fp16</w:t>
            </w:r>
          </w:p>
        </w:tc>
        <w:tc>
          <w:tcPr/>
          <w:p>
            <w:pPr>
              <w:pStyle w:val="Compact"/>
              <w:jc w:val="center"/>
            </w:pPr>
            <w:r>
              <w:t xml:space="preserve">Weights</w:t>
            </w:r>
          </w:p>
        </w:tc>
      </w:tr>
      <w:tr>
        <w:tc>
          <w:tcPr/>
          <w:p>
            <w:pPr>
              <w:pStyle w:val="Compact"/>
              <w:jc w:val="left"/>
            </w:pPr>
            <w:r>
              <w:t xml:space="preserve">fp16</w:t>
            </w:r>
          </w:p>
        </w:tc>
        <w:tc>
          <w:tcPr/>
          <w:p>
            <w:pPr>
              <w:pStyle w:val="Compact"/>
              <w:jc w:val="center"/>
            </w:pPr>
            <w:r>
              <w:t xml:space="preserve">76.8</w:t>
            </w:r>
          </w:p>
        </w:tc>
        <w:tc>
          <w:tcPr/>
          <w:p>
            <w:pPr>
              <w:pStyle w:val="Compact"/>
              <w:jc w:val="center"/>
            </w:pPr>
            <w:r>
              <w:t xml:space="preserve">–</w:t>
            </w:r>
          </w:p>
        </w:tc>
        <w:tc>
          <w:tcPr/>
          <w:p>
            <w:pPr>
              <w:pStyle w:val="Compact"/>
              <w:jc w:val="center"/>
            </w:pPr>
            <w:r>
              <w:t xml:space="preserve">4213 MiB</w:t>
            </w:r>
          </w:p>
        </w:tc>
      </w:tr>
      <w:tr>
        <w:tc>
          <w:tcPr/>
          <w:p>
            <w:pPr>
              <w:pStyle w:val="Compact"/>
              <w:jc w:val="left"/>
            </w:pPr>
            <w:r>
              <w:t xml:space="preserve">NF4 (all)</w:t>
            </w:r>
          </w:p>
        </w:tc>
        <w:tc>
          <w:tcPr/>
          <w:p>
            <w:pPr>
              <w:pStyle w:val="Compact"/>
              <w:jc w:val="center"/>
            </w:pPr>
            <w:r>
              <w:t xml:space="preserve">71.6</w:t>
            </w:r>
          </w:p>
        </w:tc>
        <w:tc>
          <w:tcPr/>
          <w:p>
            <w:pPr>
              <w:pStyle w:val="Compact"/>
              <w:jc w:val="center"/>
            </w:pPr>
            <m:oMath>
              <m:r>
                <m:rPr>
                  <m:sty m:val="p"/>
                </m:rPr>
                <m:t>−</m:t>
              </m:r>
              <m:r>
                <m:t>5.2</m:t>
              </m:r>
            </m:oMath>
            <w:r>
              <w:t xml:space="preserve"> </w:t>
            </w:r>
            <w:r>
              <w:t xml:space="preserve">[</w:t>
            </w:r>
            <m:oMath>
              <m:r>
                <m:rPr>
                  <m:sty m:val="p"/>
                </m:rPr>
                <m:t>−</m:t>
              </m:r>
              <m:r>
                <m:t>7.8</m:t>
              </m:r>
              <m:r>
                <m:rPr>
                  <m:sty m:val="p"/>
                </m:rPr>
                <m:t>,</m:t>
              </m:r>
              <m:r>
                <m:rPr>
                  <m:sty m:val="p"/>
                </m:rPr>
                <m:t>−</m:t>
              </m:r>
              <m:r>
                <m:t>2.7</m:t>
              </m:r>
            </m:oMath>
            <w:r>
              <w:t xml:space="preserve">]</w:t>
            </w:r>
          </w:p>
        </w:tc>
        <w:tc>
          <w:tcPr/>
          <w:p>
            <w:pPr>
              <w:pStyle w:val="Compact"/>
              <w:jc w:val="center"/>
            </w:pPr>
            <w:r>
              <w:t xml:space="preserve">1390 MiB</w:t>
            </w:r>
          </w:p>
        </w:tc>
      </w:tr>
      <w:tr>
        <w:tc>
          <w:tcPr/>
          <w:p>
            <w:pPr>
              <w:pStyle w:val="Compact"/>
              <w:jc w:val="left"/>
            </w:pPr>
            <w:r>
              <w:t xml:space="preserve">NF4, vision fp16</w:t>
            </w:r>
          </w:p>
        </w:tc>
        <w:tc>
          <w:tcPr/>
          <w:p>
            <w:pPr>
              <w:pStyle w:val="Compact"/>
              <w:jc w:val="center"/>
            </w:pPr>
            <w:r>
              <w:t xml:space="preserve">73.3</w:t>
            </w:r>
          </w:p>
        </w:tc>
        <w:tc>
          <w:tcPr/>
          <w:p>
            <w:pPr>
              <w:pStyle w:val="Compact"/>
              <w:jc w:val="center"/>
            </w:pPr>
            <m:oMath>
              <m:r>
                <m:rPr>
                  <m:sty m:val="p"/>
                </m:rPr>
                <m:t>−</m:t>
              </m:r>
              <m:r>
                <m:t>3.5</m:t>
              </m:r>
            </m:oMath>
            <w:r>
              <w:t xml:space="preserve"> </w:t>
            </w:r>
            <w:r>
              <w:t xml:space="preserve">[</w:t>
            </w:r>
            <m:oMath>
              <m:r>
                <m:rPr>
                  <m:sty m:val="p"/>
                </m:rPr>
                <m:t>−</m:t>
              </m:r>
              <m:r>
                <m:t>5.7</m:t>
              </m:r>
              <m:r>
                <m:rPr>
                  <m:sty m:val="p"/>
                </m:rPr>
                <m:t>,</m:t>
              </m:r>
              <m:r>
                <m:rPr>
                  <m:sty m:val="p"/>
                </m:rPr>
                <m:t>−</m:t>
              </m:r>
              <m:r>
                <m:t>1.3</m:t>
              </m:r>
            </m:oMath>
            <w:r>
              <w:t xml:space="preserve">]</w:t>
            </w:r>
          </w:p>
        </w:tc>
        <w:tc>
          <w:tcPr/>
          <w:p>
            <w:pPr>
              <w:pStyle w:val="Compact"/>
              <w:jc w:val="center"/>
            </w:pPr>
            <w:r>
              <w:t xml:space="preserve">2339 MiB</w:t>
            </w:r>
          </w:p>
        </w:tc>
      </w:tr>
      <w:tr>
        <w:tc>
          <w:tcPr/>
          <w:p>
            <w:pPr>
              <w:pStyle w:val="Compact"/>
              <w:jc w:val="left"/>
            </w:pPr>
            <w:r>
              <w:t xml:space="preserve">NF4, language fp16</w:t>
            </w:r>
          </w:p>
        </w:tc>
        <w:tc>
          <w:tcPr/>
          <w:p>
            <w:pPr>
              <w:pStyle w:val="Compact"/>
              <w:jc w:val="center"/>
            </w:pPr>
            <w:r>
              <w:t xml:space="preserve">74.8</w:t>
            </w:r>
          </w:p>
        </w:tc>
        <w:tc>
          <w:tcPr/>
          <w:p>
            <w:pPr>
              <w:pStyle w:val="Compact"/>
              <w:jc w:val="center"/>
            </w:pPr>
            <m:oMath>
              <m:r>
                <m:rPr>
                  <m:sty m:val="p"/>
                </m:rPr>
                <m:t>−</m:t>
              </m:r>
              <m:r>
                <m:t>2.0</m:t>
              </m:r>
            </m:oMath>
            <w:r>
              <w:t xml:space="preserve"> </w:t>
            </w:r>
            <w:r>
              <w:t xml:space="preserve">[</w:t>
            </w:r>
            <m:oMath>
              <m:r>
                <m:rPr>
                  <m:sty m:val="p"/>
                </m:rPr>
                <m:t>−</m:t>
              </m:r>
              <m:r>
                <m:t>3.8</m:t>
              </m:r>
              <m:r>
                <m:rPr>
                  <m:sty m:val="p"/>
                </m:rPr>
                <m:t>,</m:t>
              </m:r>
              <m:r>
                <m:rPr>
                  <m:sty m:val="p"/>
                </m:rPr>
                <m:t>−</m:t>
              </m:r>
              <m:r>
                <m:t>0.3</m:t>
              </m:r>
            </m:oMath>
            <w:r>
              <w:t xml:space="preserve">]</w:t>
            </w:r>
          </w:p>
        </w:tc>
        <w:tc>
          <w:tcPr/>
          <w:p>
            <w:pPr>
              <w:pStyle w:val="Compact"/>
              <w:jc w:val="center"/>
            </w:pPr>
            <w:r>
              <w:t xml:space="preserve">3265 MiB</w:t>
            </w:r>
          </w:p>
        </w:tc>
      </w:tr>
      <w:tr>
        <w:tc>
          <w:tcPr/>
          <w:p>
            <w:pPr>
              <w:pStyle w:val="Compact"/>
              <w:jc w:val="left"/>
            </w:pPr>
            <w:r>
              <w:t xml:space="preserve">dense16, NF4</w:t>
            </w:r>
          </w:p>
        </w:tc>
        <w:tc>
          <w:tcPr/>
          <w:p>
            <w:pPr>
              <w:pStyle w:val="Compact"/>
              <w:jc w:val="center"/>
            </w:pPr>
            <w:r>
              <w:t xml:space="preserve">78.4</w:t>
            </w:r>
          </w:p>
        </w:tc>
        <w:tc>
          <w:tcPr/>
          <w:p>
            <w:pPr>
              <w:pStyle w:val="Compact"/>
              <w:jc w:val="center"/>
            </w:pPr>
            <m:oMath>
              <m:r>
                <m:rPr>
                  <m:sty m:val="p"/>
                </m:rPr>
                <m:t>+</m:t>
              </m:r>
              <m:r>
                <m:t>1.6</m:t>
              </m:r>
            </m:oMath>
            <w:r>
              <w:t xml:space="preserve"> </w:t>
            </w:r>
            <w:r>
              <w:t xml:space="preserve">[</w:t>
            </w:r>
            <m:oMath>
              <m:r>
                <m:rPr>
                  <m:sty m:val="p"/>
                </m:rPr>
                <m:t>−</m:t>
              </m:r>
              <m:r>
                <m:t>0.8</m:t>
              </m:r>
              <m:r>
                <m:rPr>
                  <m:sty m:val="p"/>
                </m:rPr>
                <m:t>,</m:t>
              </m:r>
              <m:r>
                <m:rPr>
                  <m:sty m:val="p"/>
                </m:rPr>
                <m:t>+</m:t>
              </m:r>
              <m:r>
                <m:t>4.0</m:t>
              </m:r>
            </m:oMath>
            <w:r>
              <w:t xml:space="preserve">]</w:t>
            </w:r>
          </w:p>
        </w:tc>
        <w:tc>
          <w:tcPr/>
          <w:p>
            <w:pPr>
              <w:pStyle w:val="Compact"/>
              <w:jc w:val="center"/>
            </w:pPr>
            <w:r>
              <w:t xml:space="preserve">1444 MiB</w:t>
            </w:r>
          </w:p>
        </w:tc>
      </w:tr>
      <w:tr>
        <w:tc>
          <w:tcPr/>
          <w:p>
            <w:pPr>
              <w:pStyle w:val="Compact"/>
              <w:jc w:val="left"/>
            </w:pPr>
            <w:r>
              <w:t xml:space="preserve">dense16, vision fp16</w:t>
            </w:r>
          </w:p>
        </w:tc>
        <w:tc>
          <w:tcPr/>
          <w:p>
            <w:pPr>
              <w:pStyle w:val="Compact"/>
              <w:jc w:val="center"/>
            </w:pPr>
            <w:r>
              <w:t xml:space="preserve">78.6</w:t>
            </w:r>
          </w:p>
        </w:tc>
        <w:tc>
          <w:tcPr/>
          <w:p>
            <w:pPr>
              <w:pStyle w:val="Compact"/>
              <w:jc w:val="center"/>
            </w:pPr>
            <m:oMath>
              <m:r>
                <m:rPr>
                  <m:sty m:val="p"/>
                </m:rPr>
                <m:t>+</m:t>
              </m:r>
              <m:r>
                <m:t>1.8</m:t>
              </m:r>
            </m:oMath>
            <w:r>
              <w:t xml:space="preserve"> </w:t>
            </w:r>
            <w:r>
              <w:t xml:space="preserve">[</w:t>
            </w:r>
            <m:oMath>
              <m:r>
                <m:rPr>
                  <m:sty m:val="p"/>
                </m:rPr>
                <m:t>−</m:t>
              </m:r>
              <m:r>
                <m:t>0.6</m:t>
              </m:r>
              <m:r>
                <m:rPr>
                  <m:sty m:val="p"/>
                </m:rPr>
                <m:t>,</m:t>
              </m:r>
              <m:r>
                <m:rPr>
                  <m:sty m:val="p"/>
                </m:rPr>
                <m:t>+</m:t>
              </m:r>
              <m:r>
                <m:t>4.1</m:t>
              </m:r>
            </m:oMath>
            <w:r>
              <w:t xml:space="preserve">]</w:t>
            </w:r>
          </w:p>
        </w:tc>
        <w:tc>
          <w:tcPr/>
          <w:p>
            <w:pPr>
              <w:pStyle w:val="Compact"/>
              <w:jc w:val="center"/>
            </w:pPr>
            <w:r>
              <w:t xml:space="preserve">2393 MiB</w:t>
            </w:r>
          </w:p>
        </w:tc>
      </w:tr>
      <w:tr>
        <w:tc>
          <w:tcPr/>
          <w:p>
            <w:pPr>
              <w:pStyle w:val="Compact"/>
              <w:jc w:val="left"/>
            </w:pPr>
            <w:r>
              <w:t xml:space="preserve">moe_seq, NF4</w:t>
            </w:r>
          </w:p>
        </w:tc>
        <w:tc>
          <w:tcPr/>
          <w:p>
            <w:pPr>
              <w:pStyle w:val="Compact"/>
              <w:jc w:val="center"/>
            </w:pPr>
            <w:r>
              <w:t xml:space="preserve">77.7</w:t>
            </w:r>
          </w:p>
        </w:tc>
        <w:tc>
          <w:tcPr/>
          <w:p>
            <w:pPr>
              <w:pStyle w:val="Compact"/>
              <w:jc w:val="center"/>
            </w:pPr>
            <m:oMath>
              <m:r>
                <m:rPr>
                  <m:sty m:val="p"/>
                </m:rPr>
                <m:t>+</m:t>
              </m:r>
              <m:r>
                <m:t>0.9</m:t>
              </m:r>
            </m:oMath>
            <w:r>
              <w:t xml:space="preserve"> </w:t>
            </w:r>
            <w:r>
              <w:t xml:space="preserve">[</w:t>
            </w:r>
            <m:oMath>
              <m:r>
                <m:rPr>
                  <m:sty m:val="p"/>
                </m:rPr>
                <m:t>−</m:t>
              </m:r>
              <m:r>
                <m:t>1.4</m:t>
              </m:r>
              <m:r>
                <m:rPr>
                  <m:sty m:val="p"/>
                </m:rPr>
                <m:t>,</m:t>
              </m:r>
              <m:r>
                <m:rPr>
                  <m:sty m:val="p"/>
                </m:rPr>
                <m:t>+</m:t>
              </m:r>
              <m:r>
                <m:t>3.2</m:t>
              </m:r>
            </m:oMath>
            <w:r>
              <w:t xml:space="preserve">]</w:t>
            </w:r>
          </w:p>
        </w:tc>
        <w:tc>
          <w:tcPr/>
          <w:p>
            <w:pPr>
              <w:pStyle w:val="Compact"/>
              <w:jc w:val="center"/>
            </w:pPr>
            <w:r>
              <w:t xml:space="preserve">1606 MiB</w:t>
            </w:r>
          </w:p>
        </w:tc>
      </w:tr>
      <w:tr>
        <w:tc>
          <w:tcPr/>
          <w:p>
            <w:pPr>
              <w:pStyle w:val="Compact"/>
              <w:jc w:val="left"/>
            </w:pPr>
            <w:r>
              <w:t xml:space="preserve">moe_seq, vision fp16</w:t>
            </w:r>
          </w:p>
        </w:tc>
        <w:tc>
          <w:tcPr/>
          <w:p>
            <w:pPr>
              <w:pStyle w:val="Compact"/>
              <w:jc w:val="center"/>
            </w:pPr>
            <w:r>
              <w:t xml:space="preserve">78.0</w:t>
            </w:r>
          </w:p>
        </w:tc>
        <w:tc>
          <w:tcPr/>
          <w:p>
            <w:pPr>
              <w:pStyle w:val="Compact"/>
              <w:jc w:val="center"/>
            </w:pPr>
            <m:oMath>
              <m:r>
                <m:rPr>
                  <m:sty m:val="p"/>
                </m:rPr>
                <m:t>+</m:t>
              </m:r>
              <m:r>
                <m:t>1.2</m:t>
              </m:r>
            </m:oMath>
            <w:r>
              <w:t xml:space="preserve"> </w:t>
            </w:r>
            <w:r>
              <w:t xml:space="preserve">[</w:t>
            </w:r>
            <m:oMath>
              <m:r>
                <m:rPr>
                  <m:sty m:val="p"/>
                </m:rPr>
                <m:t>−</m:t>
              </m:r>
              <m:r>
                <m:t>0.9</m:t>
              </m:r>
              <m:r>
                <m:rPr>
                  <m:sty m:val="p"/>
                </m:rPr>
                <m:t>,</m:t>
              </m:r>
              <m:r>
                <m:rPr>
                  <m:sty m:val="p"/>
                </m:rPr>
                <m:t>+</m:t>
              </m:r>
              <m:r>
                <m:t>3.4</m:t>
              </m:r>
            </m:oMath>
            <w:r>
              <w:t xml:space="preserve">]</w:t>
            </w:r>
          </w:p>
        </w:tc>
        <w:tc>
          <w:tcPr/>
          <w:p>
            <w:pPr>
              <w:pStyle w:val="Compact"/>
              <w:jc w:val="center"/>
            </w:pPr>
            <w:r>
              <w:t xml:space="preserve">2555 MiB</w:t>
            </w:r>
          </w:p>
        </w:tc>
      </w:tr>
    </w:tbl>
    <w:bookmarkEnd w:id="42"/>
    <w:bookmarkEnd w:id="43"/>
    <w:bookmarkStart w:id="53" w:name="sec:mixed"/>
    <w:p>
      <w:pPr>
        <w:pStyle w:val="Heading2"/>
      </w:pPr>
      <w:r>
        <w:t xml:space="preserve">G. Sensitivity-guided mixed precision</w:t>
      </w:r>
    </w:p>
    <w:p>
      <w:pPr>
        <w:pStyle w:val="FirstParagraph"/>
      </w:pPr>
      <w:r>
        <w:t xml:space="preserve">Following MoPEQ </w:t>
      </w:r>
      <w:r>
        <w:t xml:space="preserve">[8]</w:t>
      </w:r>
      <w:r>
        <w:t xml:space="preserve">, we split the frozen base into 89 units (32 vision blocks, the</w:t>
      </w:r>
      <w:r>
        <w:t xml:space="preserve"> </w:t>
      </w:r>
      <w:r>
        <w:t xml:space="preserve">vision–language merger, and the attention and MLP of each of the 28 language layers; 1.97B</w:t>
      </w:r>
      <w:r>
        <w:t xml:space="preserve"> </w:t>
      </w:r>
      <w:r>
        <w:t xml:space="preserve">parameters) and choose 2, 3, 4 or 8 bits per unit with HQQ </w:t>
      </w:r>
      <w:r>
        <w:t xml:space="preserve">[15]</w:t>
      </w:r>
      <w:r>
        <w:t xml:space="preserve"> </w:t>
      </w:r>
      <w:r>
        <w:t xml:space="preserve">(group size 64).</w:t>
      </w:r>
      <w:r>
        <w:t xml:space="preserve"> </w:t>
      </w:r>
      <w:r>
        <w:t xml:space="preserve">Sensitivity is measured in two ways on 32 training samples: directly, as the KL divergence between the</w:t>
      </w:r>
      <w:r>
        <w:t xml:space="preserve"> </w:t>
      </w:r>
      <w:r>
        <w:t xml:space="preserve">fp16 model and the model with only that unit quantised, and with the HAWQ/MoPEQ</w:t>
      </w:r>
      <w:r>
        <w:t xml:space="preserve"> </w:t>
      </w:r>
      <w:r>
        <w:t xml:space="preserve">proxy </w:t>
      </w:r>
      <w:r>
        <w:t xml:space="preserve">[16]</w:t>
      </w:r>
      <w:r>
        <w:t xml:space="preserve">, the Hessian trace per parameter (Hutchinson estimate with finite-difference</w:t>
      </w:r>
      <w:r>
        <w:t xml:space="preserve"> </w:t>
      </w:r>
      <w:r>
        <w:t xml:space="preserve">Hessian-vector products, 16 samples at 256 px, the most a T4 allows) times the quantisation error.</w:t>
      </w:r>
      <w:r>
        <w:t xml:space="preserve"> </w:t>
      </w:r>
      <w:r>
        <w:t xml:space="preserve">An exact knapsack then minimises the summed sensitivity at the memory of uniform 3, 3.5 or 4 bits.</w:t>
      </w:r>
    </w:p>
    <w:bookmarkStart w:id="44" w:name="tab:mopeq"/>
    <w:p>
      <w:pPr>
        <w:pStyle w:val="TableCaption"/>
      </w:pPr>
      <w:r>
        <w:t xml:space="preserve">TABLE VI. Mixed precision of the base (test, %). Quantised-part memory in MiB; trained rows: moe_seq,</w:t>
      </w:r>
      <w:r>
        <w:t xml:space="preserve"> </w:t>
      </w:r>
      <w:r>
        <w:t xml:space="preserve">mean of three seeds.</w:t>
      </w:r>
      <w:r>
        <w:t xml:space="preserve"> </w:t>
      </w:r>
      <m:oMath>
        <m:r>
          <m:rPr>
            <m:sty m:val="p"/>
          </m:rPr>
          <m:t>Δ</m:t>
        </m:r>
      </m:oMath>
      <w:r>
        <w:t xml:space="preserve"> </w:t>
      </w:r>
      <w:r>
        <w:t xml:space="preserve">vs fp16 with 95% paired bootstrap CI.</w:t>
      </w:r>
    </w:p>
    <w:tbl>
      <w:tblPr>
        <w:tblStyle w:val="Table"/>
        <w:tblW w:type="auto" w:w="0"/>
        <w:tblLook w:firstRow="1" w:lastRow="0" w:firstColumn="0" w:lastColumn="0" w:noHBand="0" w:noVBand="0" w:val="0020"/>
        <w:tblCaption w:val="TABLE VI. Mixed precision of the base (test, %). Quantised-part memory in MiB; trained rows: moe_seq, mean of three seeds. \Delta vs fp16 with 95% paired bootstrap CI."/>
      </w:tblPr>
      <w:tblGrid>
        <w:gridCol w:w="1980"/>
        <w:gridCol w:w="1980"/>
        <w:gridCol w:w="1980"/>
        <w:gridCol w:w="1980"/>
      </w:tblGrid>
      <w:tr>
        <w:trPr>
          <w:tblHeader w:val="on"/>
        </w:trPr>
        <w:tc>
          <w:tcPr/>
          <w:p>
            <w:pPr>
              <w:pStyle w:val="Compact"/>
              <w:jc w:val="left"/>
            </w:pPr>
            <w:r>
              <w:t xml:space="preserve">Base</w:t>
            </w:r>
          </w:p>
        </w:tc>
        <w:tc>
          <w:tcPr/>
          <w:p>
            <w:pPr>
              <w:pStyle w:val="Compact"/>
              <w:jc w:val="center"/>
            </w:pPr>
            <w:r>
              <w:t xml:space="preserve">Quant. MiB</w:t>
            </w:r>
          </w:p>
        </w:tc>
        <w:tc>
          <w:tcPr/>
          <w:p>
            <w:pPr>
              <w:pStyle w:val="Compact"/>
              <w:jc w:val="center"/>
            </w:pPr>
            <w:r>
              <w:t xml:space="preserve">Macro</w:t>
            </w:r>
          </w:p>
        </w:tc>
        <w:tc>
          <w:tcPr/>
          <w:p>
            <w:pPr>
              <w:pStyle w:val="Compact"/>
              <w:jc w:val="center"/>
            </w:pPr>
            <m:oMath>
              <m:r>
                <m:rPr>
                  <m:sty m:val="p"/>
                </m:rPr>
                <m:t>Δ</m:t>
              </m:r>
            </m:oMath>
            <w:r>
              <w:t xml:space="preserve"> </w:t>
            </w:r>
            <w:r>
              <w:t xml:space="preserve">vs fp16</w:t>
            </w:r>
          </w:p>
        </w:tc>
      </w:tr>
      <w:tr>
        <w:tc>
          <w:tcPr/>
          <w:p>
            <w:pPr>
              <w:pStyle w:val="Compact"/>
              <w:jc w:val="left"/>
            </w:pPr>
            <w:r>
              <w:t xml:space="preserve">fp16</w:t>
            </w:r>
          </w:p>
        </w:tc>
        <w:tc>
          <w:tcPr/>
          <w:p>
            <w:pPr>
              <w:pStyle w:val="Compact"/>
              <w:jc w:val="center"/>
            </w:pPr>
            <w:r>
              <w:t xml:space="preserve">–</w:t>
            </w:r>
          </w:p>
        </w:tc>
        <w:tc>
          <w:tcPr/>
          <w:p>
            <w:pPr>
              <w:pStyle w:val="Compact"/>
              <w:jc w:val="center"/>
            </w:pPr>
            <w:r>
              <w:t xml:space="preserve">76.8</w:t>
            </w:r>
          </w:p>
        </w:tc>
        <w:tc>
          <w:tcPr/>
          <w:p>
            <w:pPr>
              <w:pStyle w:val="Compact"/>
              <w:jc w:val="center"/>
            </w:pPr>
            <w:r>
              <w:t xml:space="preserve">–</w:t>
            </w:r>
          </w:p>
        </w:tc>
      </w:tr>
      <w:tr>
        <w:tc>
          <w:tcPr/>
          <w:p>
            <w:pPr>
              <w:pStyle w:val="Compact"/>
              <w:jc w:val="left"/>
            </w:pPr>
            <w:r>
              <w:t xml:space="preserve">NF4 (bitsandbytes)</w:t>
            </w:r>
          </w:p>
        </w:tc>
        <w:tc>
          <w:tcPr/>
          <w:p>
            <w:pPr>
              <w:pStyle w:val="Compact"/>
              <w:jc w:val="center"/>
            </w:pPr>
            <w:r>
              <w:t xml:space="preserve">–</w:t>
            </w:r>
          </w:p>
        </w:tc>
        <w:tc>
          <w:tcPr/>
          <w:p>
            <w:pPr>
              <w:pStyle w:val="Compact"/>
              <w:jc w:val="center"/>
            </w:pPr>
            <w:r>
              <w:t xml:space="preserve">71.6</w:t>
            </w:r>
          </w:p>
        </w:tc>
        <w:tc>
          <w:tcPr/>
          <w:p>
            <w:pPr>
              <w:pStyle w:val="Compact"/>
              <w:jc w:val="center"/>
            </w:pPr>
            <m:oMath>
              <m:r>
                <m:rPr>
                  <m:sty m:val="p"/>
                </m:rPr>
                <m:t>−</m:t>
              </m:r>
              <m:r>
                <m:t>5.2</m:t>
              </m:r>
            </m:oMath>
          </w:p>
        </w:tc>
      </w:tr>
      <w:tr>
        <w:tc>
          <w:tcPr/>
          <w:p>
            <w:pPr>
              <w:pStyle w:val="Compact"/>
              <w:jc w:val="left"/>
            </w:pPr>
            <w:r>
              <w:t xml:space="preserve">HQQ uniform 4-bit</w:t>
            </w:r>
          </w:p>
        </w:tc>
        <w:tc>
          <w:tcPr/>
          <w:p>
            <w:pPr>
              <w:pStyle w:val="Compact"/>
              <w:jc w:val="center"/>
            </w:pPr>
            <w:r>
              <w:t xml:space="preserve">1059</w:t>
            </w:r>
          </w:p>
        </w:tc>
        <w:tc>
          <w:tcPr/>
          <w:p>
            <w:pPr>
              <w:pStyle w:val="Compact"/>
              <w:jc w:val="center"/>
            </w:pPr>
            <w:r>
              <w:t xml:space="preserve">74.0</w:t>
            </w:r>
          </w:p>
        </w:tc>
        <w:tc>
          <w:tcPr/>
          <w:p>
            <w:pPr>
              <w:pStyle w:val="Compact"/>
              <w:jc w:val="center"/>
            </w:pPr>
            <m:oMath>
              <m:r>
                <m:rPr>
                  <m:sty m:val="p"/>
                </m:rPr>
                <m:t>−</m:t>
              </m:r>
              <m:r>
                <m:t>2.8</m:t>
              </m:r>
            </m:oMath>
          </w:p>
        </w:tc>
      </w:tr>
      <w:tr>
        <w:tc>
          <w:tcPr/>
          <w:p>
            <w:pPr>
              <w:pStyle w:val="Compact"/>
              <w:jc w:val="left"/>
            </w:pPr>
            <w:r>
              <w:t xml:space="preserve">HQQ uniform 3-bit</w:t>
            </w:r>
          </w:p>
        </w:tc>
        <w:tc>
          <w:tcPr/>
          <w:p>
            <w:pPr>
              <w:pStyle w:val="Compact"/>
              <w:jc w:val="center"/>
            </w:pPr>
            <w:r>
              <w:t xml:space="preserve">823</w:t>
            </w:r>
          </w:p>
        </w:tc>
        <w:tc>
          <w:tcPr/>
          <w:p>
            <w:pPr>
              <w:pStyle w:val="Compact"/>
              <w:jc w:val="center"/>
            </w:pPr>
            <w:r>
              <w:t xml:space="preserve">66.8</w:t>
            </w:r>
          </w:p>
        </w:tc>
        <w:tc>
          <w:tcPr/>
          <w:p>
            <w:pPr>
              <w:pStyle w:val="Compact"/>
              <w:jc w:val="center"/>
            </w:pPr>
            <m:oMath>
              <m:r>
                <m:rPr>
                  <m:sty m:val="p"/>
                </m:rPr>
                <m:t>−</m:t>
              </m:r>
              <m:r>
                <m:t>10.0</m:t>
              </m:r>
            </m:oMath>
          </w:p>
        </w:tc>
      </w:tr>
      <w:tr>
        <w:tc>
          <w:tcPr/>
          <w:p>
            <w:pPr>
              <w:pStyle w:val="Compact"/>
              <w:jc w:val="left"/>
            </w:pPr>
            <w:r>
              <w:t xml:space="preserve">KL-guided, 4 bit avg</w:t>
            </w:r>
          </w:p>
        </w:tc>
        <w:tc>
          <w:tcPr/>
          <w:p>
            <w:pPr>
              <w:pStyle w:val="Compact"/>
              <w:jc w:val="center"/>
            </w:pPr>
            <w:r>
              <w:t xml:space="preserve">1055</w:t>
            </w:r>
          </w:p>
        </w:tc>
        <w:tc>
          <w:tcPr/>
          <w:p>
            <w:pPr>
              <w:pStyle w:val="Compact"/>
              <w:jc w:val="center"/>
            </w:pPr>
            <w:r>
              <w:t xml:space="preserve">75.2</w:t>
            </w:r>
          </w:p>
        </w:tc>
        <w:tc>
          <w:tcPr/>
          <w:p>
            <w:pPr>
              <w:pStyle w:val="Compact"/>
              <w:jc w:val="center"/>
            </w:pPr>
            <m:oMath>
              <m:r>
                <m:rPr>
                  <m:sty m:val="p"/>
                </m:rPr>
                <m:t>−</m:t>
              </m:r>
              <m:r>
                <m:t>1.6</m:t>
              </m:r>
            </m:oMath>
          </w:p>
        </w:tc>
      </w:tr>
      <w:tr>
        <w:tc>
          <w:tcPr/>
          <w:p>
            <w:pPr>
              <w:pStyle w:val="Compact"/>
              <w:jc w:val="left"/>
            </w:pPr>
            <w:r>
              <w:t xml:space="preserve">KL-guided, 3.5 bit avg</w:t>
            </w:r>
          </w:p>
        </w:tc>
        <w:tc>
          <w:tcPr/>
          <w:p>
            <w:pPr>
              <w:pStyle w:val="Compact"/>
              <w:jc w:val="center"/>
            </w:pPr>
            <w:r>
              <w:t xml:space="preserve">938</w:t>
            </w:r>
          </w:p>
        </w:tc>
        <w:tc>
          <w:tcPr/>
          <w:p>
            <w:pPr>
              <w:pStyle w:val="Compact"/>
              <w:jc w:val="center"/>
            </w:pPr>
            <w:r>
              <w:t xml:space="preserve">74.0</w:t>
            </w:r>
          </w:p>
        </w:tc>
        <w:tc>
          <w:tcPr/>
          <w:p>
            <w:pPr>
              <w:pStyle w:val="Compact"/>
              <w:jc w:val="center"/>
            </w:pPr>
            <m:oMath>
              <m:r>
                <m:rPr>
                  <m:sty m:val="p"/>
                </m:rPr>
                <m:t>−</m:t>
              </m:r>
              <m:r>
                <m:t>2.8</m:t>
              </m:r>
            </m:oMath>
          </w:p>
        </w:tc>
      </w:tr>
      <w:tr>
        <w:tc>
          <w:tcPr/>
          <w:p>
            <w:pPr>
              <w:pStyle w:val="Compact"/>
              <w:jc w:val="left"/>
            </w:pPr>
            <w:r>
              <w:t xml:space="preserve">KL-guided, 3 bit avg</w:t>
            </w:r>
          </w:p>
        </w:tc>
        <w:tc>
          <w:tcPr/>
          <w:p>
            <w:pPr>
              <w:pStyle w:val="Compact"/>
              <w:jc w:val="center"/>
            </w:pPr>
            <w:r>
              <w:t xml:space="preserve">821</w:t>
            </w:r>
          </w:p>
        </w:tc>
        <w:tc>
          <w:tcPr/>
          <w:p>
            <w:pPr>
              <w:pStyle w:val="Compact"/>
              <w:jc w:val="center"/>
            </w:pPr>
            <w:r>
              <w:t xml:space="preserve">69.0</w:t>
            </w:r>
          </w:p>
        </w:tc>
        <w:tc>
          <w:tcPr/>
          <w:p>
            <w:pPr>
              <w:pStyle w:val="Compact"/>
              <w:jc w:val="center"/>
            </w:pPr>
            <m:oMath>
              <m:r>
                <m:rPr>
                  <m:sty m:val="p"/>
                </m:rPr>
                <m:t>−</m:t>
              </m:r>
              <m:r>
                <m:t>7.8</m:t>
              </m:r>
            </m:oMath>
          </w:p>
        </w:tc>
      </w:tr>
      <w:tr>
        <w:tc>
          <w:tcPr/>
          <w:p>
            <w:pPr>
              <w:pStyle w:val="Compact"/>
              <w:jc w:val="left"/>
            </w:pPr>
            <w:r>
              <w:t xml:space="preserve">Hessian-guided, 4 bit avg</w:t>
            </w:r>
          </w:p>
        </w:tc>
        <w:tc>
          <w:tcPr/>
          <w:p>
            <w:pPr>
              <w:pStyle w:val="Compact"/>
              <w:jc w:val="center"/>
            </w:pPr>
            <w:r>
              <w:t xml:space="preserve">1055</w:t>
            </w:r>
          </w:p>
        </w:tc>
        <w:tc>
          <w:tcPr/>
          <w:p>
            <w:pPr>
              <w:pStyle w:val="Compact"/>
              <w:jc w:val="center"/>
            </w:pPr>
            <w:r>
              <w:t xml:space="preserve">58.6</w:t>
            </w:r>
          </w:p>
        </w:tc>
        <w:tc>
          <w:tcPr/>
          <w:p>
            <w:pPr>
              <w:pStyle w:val="Compact"/>
              <w:jc w:val="center"/>
            </w:pPr>
            <m:oMath>
              <m:r>
                <m:rPr>
                  <m:sty m:val="p"/>
                </m:rPr>
                <m:t>−</m:t>
              </m:r>
              <m:r>
                <m:t>18.2</m:t>
              </m:r>
            </m:oMath>
          </w:p>
        </w:tc>
      </w:tr>
      <w:tr>
        <w:tc>
          <w:tcPr/>
          <w:p>
            <w:pPr>
              <w:pStyle w:val="Compact"/>
              <w:jc w:val="left"/>
            </w:pPr>
            <w:r>
              <w:t xml:space="preserve">Hessian-guided, 3 bit avg</w:t>
            </w:r>
          </w:p>
        </w:tc>
        <w:tc>
          <w:tcPr/>
          <w:p>
            <w:pPr>
              <w:pStyle w:val="Compact"/>
              <w:jc w:val="center"/>
            </w:pPr>
            <w:r>
              <w:t xml:space="preserve">821</w:t>
            </w:r>
          </w:p>
        </w:tc>
        <w:tc>
          <w:tcPr/>
          <w:p>
            <w:pPr>
              <w:pStyle w:val="Compact"/>
              <w:jc w:val="center"/>
            </w:pPr>
            <w:r>
              <w:t xml:space="preserve">33.4</w:t>
            </w:r>
          </w:p>
        </w:tc>
        <w:tc>
          <w:tcPr/>
          <w:p>
            <w:pPr>
              <w:pStyle w:val="Compact"/>
              <w:jc w:val="center"/>
            </w:pPr>
            <m:oMath>
              <m:r>
                <m:rPr>
                  <m:sty m:val="p"/>
                </m:rPr>
                <m:t>−</m:t>
              </m:r>
              <m:r>
                <m:t>43.4</m:t>
              </m:r>
            </m:oMath>
          </w:p>
        </w:tc>
      </w:tr>
      <w:tr>
        <w:tc>
          <w:tcPr/>
          <w:p>
            <w:pPr>
              <w:pStyle w:val="Compact"/>
              <w:jc w:val="left"/>
            </w:pPr>
            <w:r>
              <w:t xml:space="preserve">moe_seq, NF4</w:t>
            </w:r>
          </w:p>
        </w:tc>
        <w:tc>
          <w:tcPr/>
          <w:p>
            <w:pPr>
              <w:pStyle w:val="Compact"/>
              <w:jc w:val="center"/>
            </w:pPr>
            <w:r>
              <w:t xml:space="preserve">–</w:t>
            </w:r>
          </w:p>
        </w:tc>
        <w:tc>
          <w:tcPr/>
          <w:p>
            <w:pPr>
              <w:pStyle w:val="Compact"/>
              <w:jc w:val="center"/>
            </w:pPr>
            <w:r>
              <w:t xml:space="preserve">77.7</w:t>
            </w:r>
          </w:p>
        </w:tc>
        <w:tc>
          <w:tcPr/>
          <w:p>
            <w:pPr>
              <w:pStyle w:val="Compact"/>
              <w:jc w:val="center"/>
            </w:pPr>
            <m:oMath>
              <m:r>
                <m:rPr>
                  <m:sty m:val="p"/>
                </m:rPr>
                <m:t>+</m:t>
              </m:r>
              <m:r>
                <m:t>0.9</m:t>
              </m:r>
            </m:oMath>
          </w:p>
        </w:tc>
      </w:tr>
      <w:tr>
        <w:tc>
          <w:tcPr/>
          <w:p>
            <w:pPr>
              <w:pStyle w:val="Compact"/>
              <w:jc w:val="left"/>
            </w:pPr>
            <w:r>
              <w:t xml:space="preserve">moe_seq, HQQ 4-bit</w:t>
            </w:r>
          </w:p>
        </w:tc>
        <w:tc>
          <w:tcPr/>
          <w:p>
            <w:pPr>
              <w:pStyle w:val="Compact"/>
              <w:jc w:val="center"/>
            </w:pPr>
            <w:r>
              <w:t xml:space="preserve">1059</w:t>
            </w:r>
          </w:p>
        </w:tc>
        <w:tc>
          <w:tcPr/>
          <w:p>
            <w:pPr>
              <w:pStyle w:val="Compact"/>
              <w:jc w:val="center"/>
            </w:pPr>
            <w:r>
              <w:rPr>
                <w:b/>
                <w:bCs/>
              </w:rPr>
              <w:t xml:space="preserve">79.6</w:t>
            </w:r>
          </w:p>
        </w:tc>
        <w:tc>
          <w:tcPr/>
          <w:p>
            <w:pPr>
              <w:pStyle w:val="Compact"/>
              <w:jc w:val="center"/>
            </w:pPr>
            <m:oMath>
              <m:r>
                <m:rPr>
                  <m:sty m:val="p"/>
                </m:rPr>
                <m:t>+</m:t>
              </m:r>
              <m:r>
                <m:t>2.8</m:t>
              </m:r>
            </m:oMath>
            <w:r>
              <w:t xml:space="preserve"> </w:t>
            </w:r>
            <w:r>
              <w:t xml:space="preserve">[</w:t>
            </w:r>
            <m:oMath>
              <m:r>
                <m:rPr>
                  <m:sty m:val="p"/>
                </m:rPr>
                <m:t>+</m:t>
              </m:r>
              <m:r>
                <m:t>0.4</m:t>
              </m:r>
              <m:r>
                <m:rPr>
                  <m:sty m:val="p"/>
                </m:rPr>
                <m:t>,</m:t>
              </m:r>
              <m:r>
                <m:rPr>
                  <m:sty m:val="p"/>
                </m:rPr>
                <m:t>+</m:t>
              </m:r>
              <m:r>
                <m:t>5.2</m:t>
              </m:r>
            </m:oMath>
            <w:r>
              <w:t xml:space="preserve">]</w:t>
            </w:r>
          </w:p>
        </w:tc>
      </w:tr>
      <w:tr>
        <w:tc>
          <w:tcPr/>
          <w:p>
            <w:pPr>
              <w:pStyle w:val="Compact"/>
              <w:jc w:val="left"/>
            </w:pPr>
            <w:r>
              <w:t xml:space="preserve">moe_seq, KL 3.5 bit</w:t>
            </w:r>
          </w:p>
        </w:tc>
        <w:tc>
          <w:tcPr/>
          <w:p>
            <w:pPr>
              <w:pStyle w:val="Compact"/>
              <w:jc w:val="center"/>
            </w:pPr>
            <w:r>
              <w:t xml:space="preserve">938</w:t>
            </w:r>
          </w:p>
        </w:tc>
        <w:tc>
          <w:tcPr/>
          <w:p>
            <w:pPr>
              <w:pStyle w:val="Compact"/>
              <w:jc w:val="center"/>
            </w:pPr>
            <w:r>
              <w:t xml:space="preserve">78.0</w:t>
            </w:r>
          </w:p>
        </w:tc>
        <w:tc>
          <w:tcPr/>
          <w:p>
            <w:pPr>
              <w:pStyle w:val="Compact"/>
              <w:jc w:val="center"/>
            </w:pPr>
            <m:oMath>
              <m:r>
                <m:rPr>
                  <m:sty m:val="p"/>
                </m:rPr>
                <m:t>+</m:t>
              </m:r>
              <m:r>
                <m:t>1.2</m:t>
              </m:r>
            </m:oMath>
            <w:r>
              <w:t xml:space="preserve"> </w:t>
            </w:r>
            <w:r>
              <w:t xml:space="preserve">[</w:t>
            </w:r>
            <m:oMath>
              <m:r>
                <m:rPr>
                  <m:sty m:val="p"/>
                </m:rPr>
                <m:t>−</m:t>
              </m:r>
              <m:r>
                <m:t>1.4</m:t>
              </m:r>
              <m:r>
                <m:rPr>
                  <m:sty m:val="p"/>
                </m:rPr>
                <m:t>,</m:t>
              </m:r>
              <m:r>
                <m:rPr>
                  <m:sty m:val="p"/>
                </m:rPr>
                <m:t>+</m:t>
              </m:r>
              <m:r>
                <m:t>3.8</m:t>
              </m:r>
            </m:oMath>
            <w:r>
              <w:t xml:space="preserve">]</w:t>
            </w:r>
          </w:p>
        </w:tc>
      </w:tr>
    </w:tbl>
    <w:bookmarkEnd w:id="44"/>
    <w:bookmarkStart w:id="48" w:name="fig:mopeqbits"/>
    <w:p>
      <w:pPr>
        <w:pStyle w:val="CaptionedFigure"/>
      </w:pPr>
      <w:r>
        <w:drawing>
          <wp:inline>
            <wp:extent cx="3063240" cy="1377709"/>
            <wp:effectExtent b="0" l="0" r="0" t="0"/>
            <wp:docPr descr="" title="" id="46" name="Picture"/>
            <a:graphic>
              <a:graphicData uri="http://schemas.openxmlformats.org/drawingml/2006/picture">
                <pic:pic>
                  <pic:nvPicPr>
                    <pic:cNvPr descr="figs/mopeq_bits.png" id="47" name="Picture"/>
                    <pic:cNvPicPr>
                      <a:picLocks noChangeArrowheads="1" noChangeAspect="1"/>
                    </pic:cNvPicPr>
                  </pic:nvPicPr>
                  <pic:blipFill>
                    <a:blip r:embed="rId45"/>
                    <a:stretch>
                      <a:fillRect/>
                    </a:stretch>
                  </pic:blipFill>
                  <pic:spPr bwMode="auto">
                    <a:xfrm>
                      <a:off x="0" y="0"/>
                      <a:ext cx="3063240" cy="1377709"/>
                    </a:xfrm>
                    <a:prstGeom prst="rect">
                      <a:avLst/>
                    </a:prstGeom>
                    <a:noFill/>
                    <a:ln w="9525">
                      <a:noFill/>
                      <a:headEnd/>
                      <a:tailEnd/>
                    </a:ln>
                  </pic:spPr>
                </pic:pic>
              </a:graphicData>
            </a:graphic>
          </wp:inline>
        </w:drawing>
      </w:r>
    </w:p>
    <w:p>
      <w:pPr>
        <w:pStyle w:val="ImageCaption"/>
      </w:pPr>
      <w:r>
        <w:t xml:space="preserve">Fig. 5. Top: measured KL sensitivity of each of the 89 quantisation units at 3 bits (log scale; vision</w:t>
      </w:r>
      <w:r>
        <w:t xml:space="preserve"> </w:t>
      </w:r>
      <w:r>
        <w:t xml:space="preserve">blocks, the vision–language merger, then attention and MLP of each language layer). Bottom: bits per</w:t>
      </w:r>
      <w:r>
        <w:t xml:space="preserve"> </w:t>
      </w:r>
      <w:r>
        <w:t xml:space="preserve">unit chosen by the exact knapsack at the memory of uniform 4, 3.5 and 3 bits, and by the Hessian proxy</w:t>
      </w:r>
      <w:r>
        <w:t xml:space="preserve"> </w:t>
      </w:r>
      <w:r>
        <w:t xml:space="preserve">at 4 bits.</w:t>
      </w:r>
    </w:p>
    <w:bookmarkEnd w:id="48"/>
    <w:p>
      <w:pPr>
        <w:pStyle w:val="BodyText"/>
      </w:pPr>
      <w:r>
        <w:t xml:space="preserve">Before fine-tuning (Table </w:t>
      </w:r>
      <w:hyperlink w:anchor="tab:mopeq">
        <w:r>
          <w:rPr>
            <w:rStyle w:val="Hyperlink"/>
          </w:rPr>
          <w:t xml:space="preserve">6</w:t>
        </w:r>
      </w:hyperlink>
      <w:r>
        <w:t xml:space="preserve">), KL-guided allocation beats uniform quantisation at every</w:t>
      </w:r>
      <w:r>
        <w:t xml:space="preserve"> </w:t>
      </w:r>
      <w:r>
        <w:t xml:space="preserve">budget (+1.2 points at 4 bits, +2.2 at 3;</w:t>
      </w:r>
      <w:r>
        <w:t xml:space="preserve"> </w:t>
      </w:r>
      <m:oMath>
        <m:r>
          <m:t>p</m:t>
        </m:r>
        <m:r>
          <m:rPr>
            <m:sty m:val="p"/>
          </m:rPr>
          <m:t>=</m:t>
        </m:r>
        <m:r>
          <m:t>0.13</m:t>
        </m:r>
      </m:oMath>
      <w:r>
        <w:t xml:space="preserve"> </w:t>
      </w:r>
      <w:r>
        <w:t xml:space="preserve">and</w:t>
      </w:r>
      <w:r>
        <w:t xml:space="preserve"> </w:t>
      </w:r>
      <m:oMath>
        <m:r>
          <m:t>0.09</m:t>
        </m:r>
      </m:oMath>
      <w:r>
        <w:t xml:space="preserve">, so not individually significant on 600</w:t>
      </w:r>
      <w:r>
        <w:t xml:space="preserve"> </w:t>
      </w:r>
      <w:r>
        <w:t xml:space="preserve">samples) and matches uniform 4-bit with 11% less quantised memory at 3.5 bits. The allocator protects the vision–language merger, the</w:t>
      </w:r>
      <w:r>
        <w:t xml:space="preserve"> </w:t>
      </w:r>
      <w:r>
        <w:t xml:space="preserve">first and last language MLPs and the first vision block, and spends more bits on the vision encoder</w:t>
      </w:r>
      <w:r>
        <w:t xml:space="preserve"> </w:t>
      </w:r>
      <w:r>
        <w:t xml:space="preserve">than on the language model; spatial reasoning gains most (+6 points at the 4-bit budget).</w:t>
      </w:r>
    </w:p>
    <w:p>
      <w:pPr>
        <w:pStyle w:val="BodyText"/>
      </w:pPr>
      <w:r>
        <w:t xml:space="preserve">The Hessian proxy fails: its plans lose 15–40 points against uniform quantisation, because it rates</w:t>
      </w:r>
      <w:r>
        <w:t xml:space="preserve"> </w:t>
      </w:r>
      <w:r>
        <w:t xml:space="preserve">several units as nearly insensitive and sends them to 2 bits, where the true damage (by KL) is 10–50</w:t>
      </w:r>
      <w:r>
        <w:t xml:space="preserve"> </w:t>
      </w:r>
      <w:r>
        <w:t xml:space="preserve">times that at 3 bits. Its ranking correlates weakly with the measured KL (Spearman</w:t>
      </w:r>
      <w:r>
        <w:t xml:space="preserve"> </w:t>
      </w:r>
      <m:oMath>
        <m:r>
          <m:t>ρ</m:t>
        </m:r>
        <m:r>
          <m:rPr>
            <m:sty m:val="p"/>
          </m:rPr>
          <m:t>=</m:t>
        </m:r>
        <m:r>
          <m:t>0.17</m:t>
        </m:r>
      </m:oMath>
      <w:r>
        <w:t xml:space="preserve">–</w:t>
      </w:r>
      <m:oMath>
        <m:r>
          <m:t>0.27</m:t>
        </m:r>
      </m:oMath>
      <w:r>
        <w:t xml:space="preserve">),</w:t>
      </w:r>
      <w:r>
        <w:t xml:space="preserve"> </w:t>
      </w:r>
      <w:r>
        <w:t xml:space="preserve">and 26 of the 89 trace estimates are not even positive (Fig. </w:t>
      </w:r>
      <w:hyperlink w:anchor="fig:klhess">
        <w:r>
          <w:rPr>
            <w:rStyle w:val="Hyperlink"/>
          </w:rPr>
          <w:t xml:space="preserve">6</w:t>
        </w:r>
      </w:hyperlink>
      <w:r>
        <w:t xml:space="preserve">); clamped to zero, these</w:t>
      </w:r>
      <w:r>
        <w:t xml:space="preserve"> </w:t>
      </w:r>
      <w:r>
        <w:t xml:space="preserve">units look free to quantise. Fig. </w:t>
      </w:r>
      <w:hyperlink w:anchor="fig:mopeqbits">
        <w:r>
          <w:rPr>
            <w:rStyle w:val="Hyperlink"/>
          </w:rPr>
          <w:t xml:space="preserve">5</w:t>
        </w:r>
      </w:hyperlink>
      <w:r>
        <w:t xml:space="preserve"> </w:t>
      </w:r>
      <w:r>
        <w:t xml:space="preserve">shows the resulting plans side by side.</w:t>
      </w:r>
    </w:p>
    <w:bookmarkStart w:id="52" w:name="fig:klhess"/>
    <w:p>
      <w:pPr>
        <w:pStyle w:val="CaptionedFigure"/>
      </w:pPr>
      <w:r>
        <w:drawing>
          <wp:inline>
            <wp:extent cx="3063240" cy="2096574"/>
            <wp:effectExtent b="0" l="0" r="0" t="0"/>
            <wp:docPr descr="" title="" id="50" name="Picture"/>
            <a:graphic>
              <a:graphicData uri="http://schemas.openxmlformats.org/drawingml/2006/picture">
                <pic:pic>
                  <pic:nvPicPr>
                    <pic:cNvPr descr="figs/kl_vs_hessian.png" id="51" name="Picture"/>
                    <pic:cNvPicPr>
                      <a:picLocks noChangeArrowheads="1" noChangeAspect="1"/>
                    </pic:cNvPicPr>
                  </pic:nvPicPr>
                  <pic:blipFill>
                    <a:blip r:embed="rId49"/>
                    <a:stretch>
                      <a:fillRect/>
                    </a:stretch>
                  </pic:blipFill>
                  <pic:spPr bwMode="auto">
                    <a:xfrm>
                      <a:off x="0" y="0"/>
                      <a:ext cx="3063240" cy="2096574"/>
                    </a:xfrm>
                    <a:prstGeom prst="rect">
                      <a:avLst/>
                    </a:prstGeom>
                    <a:noFill/>
                    <a:ln w="9525">
                      <a:noFill/>
                      <a:headEnd/>
                      <a:tailEnd/>
                    </a:ln>
                  </pic:spPr>
                </pic:pic>
              </a:graphicData>
            </a:graphic>
          </wp:inline>
        </w:drawing>
      </w:r>
    </w:p>
    <w:p>
      <w:pPr>
        <w:pStyle w:val="ImageCaption"/>
      </w:pPr>
      <w:r>
        <w:t xml:space="preserve">Fig. 6. Hessian-trace versus measured KL sensitivity of the 89 units at 3 bits. Units whose trace</w:t>
      </w:r>
      <w:r>
        <w:t xml:space="preserve"> </w:t>
      </w:r>
      <w:r>
        <w:t xml:space="preserve">estimate is</w:t>
      </w:r>
      <w:r>
        <w:t xml:space="preserve"> </w:t>
      </w:r>
      <m:oMath>
        <m:r>
          <m:rPr>
            <m:sty m:val="p"/>
          </m:rPr>
          <m:t>≤</m:t>
        </m:r>
        <m:r>
          <m:t>0</m:t>
        </m:r>
      </m:oMath>
      <w:r>
        <w:t xml:space="preserve"> </w:t>
      </w:r>
      <w:r>
        <w:t xml:space="preserve">are drawn at the floor of the plot.</w:t>
      </w:r>
    </w:p>
    <w:bookmarkEnd w:id="52"/>
    <w:p>
      <w:pPr>
        <w:pStyle w:val="BodyText"/>
      </w:pPr>
      <w:r>
        <w:t xml:space="preserve">We blame the noisy, low-budget estimate and the second-order approximation at 2–3 bits, not</w:t>
      </w:r>
      <w:r>
        <w:t xml:space="preserve"> </w:t>
      </w:r>
      <w:r>
        <w:t xml:space="preserve">Hessian-aware allocation itself; on edge-scale compute a 20-minute direct KL probe is more reliable.</w:t>
      </w:r>
    </w:p>
    <w:p>
      <w:pPr>
        <w:pStyle w:val="BodyText"/>
      </w:pPr>
      <w:r>
        <w:t xml:space="preserve">After fine-tuning, moe_seq on uniform HQQ 4-bit reaches 79.6 </w:t>
      </w:r>
      <m:oMath>
        <m:r>
          <m:rPr>
            <m:sty m:val="p"/>
          </m:rPr>
          <m:t>±</m:t>
        </m:r>
      </m:oMath>
      <w:r>
        <w:t xml:space="preserve"> 0.8,</w:t>
      </w:r>
      <w:r>
        <w:t xml:space="preserve"> </w:t>
      </w:r>
      <w:r>
        <w:t xml:space="preserve">significantly above the full-precision model (</w:t>
      </w:r>
      <m:oMath>
        <m:r>
          <m:t>p</m:t>
        </m:r>
        <m:r>
          <m:rPr>
            <m:sty m:val="p"/>
          </m:rPr>
          <m:t>=</m:t>
        </m:r>
        <m:r>
          <m:t>0.01</m:t>
        </m:r>
      </m:oMath>
      <w:r>
        <w:t xml:space="preserve">) with 2.4</w:t>
      </w:r>
      <m:oMath>
        <m:r>
          <m:rPr>
            <m:sty m:val="p"/>
          </m:rPr>
          <m:t>×</m:t>
        </m:r>
      </m:oMath>
      <w:r>
        <w:t xml:space="preserve"> </w:t>
      </w:r>
      <w:r>
        <w:t xml:space="preserve">less weight memory (1724 vs</w:t>
      </w:r>
      <w:r>
        <w:t xml:space="preserve"> </w:t>
      </w:r>
      <w:r>
        <w:t xml:space="preserve">4213 MiB; peak 1909 vs 4325 MiB), and 1.9 points above the same recipe on NF4 (95% CI</w:t>
      </w:r>
      <w:r>
        <w:t xml:space="preserve"> </w:t>
      </w:r>
      <m:oMath>
        <m:r>
          <m:rPr>
            <m:sty m:val="p"/>
          </m:rPr>
          <m:t>[</m:t>
        </m:r>
        <m:r>
          <m:rPr>
            <m:sty m:val="p"/>
          </m:rPr>
          <m:t>+</m:t>
        </m:r>
        <m:r>
          <m:t>0.0</m:t>
        </m:r>
        <m:r>
          <m:rPr>
            <m:sty m:val="p"/>
          </m:rPr>
          <m:t>,</m:t>
        </m:r>
        <m:r>
          <m:rPr>
            <m:sty m:val="p"/>
          </m:rPr>
          <m:t>+</m:t>
        </m:r>
        <m:r>
          <m:t>3.8</m:t>
        </m:r>
        <m:r>
          <m:rPr>
            <m:sty m:val="p"/>
          </m:rPr>
          <m:t>]</m:t>
        </m:r>
      </m:oMath>
      <w:r>
        <w:t xml:space="preserve">,</w:t>
      </w:r>
      <w:r>
        <w:t xml:space="preserve"> </w:t>
      </w:r>
      <m:oMath>
        <m:r>
          <m:t>p</m:t>
        </m:r>
        <m:r>
          <m:rPr>
            <m:sty m:val="p"/>
          </m:rPr>
          <m:t>=</m:t>
        </m:r>
        <m:r>
          <m:t>0.02</m:t>
        </m:r>
      </m:oMath>
      <w:r>
        <w:t xml:space="preserve">). On the KL-guided 3.5-bit base it reaches</w:t>
      </w:r>
      <w:r>
        <w:t xml:space="preserve"> </w:t>
      </w:r>
      <w:r>
        <w:t xml:space="preserve">78.0, saving 94 MiB but losing 1.6 points: as with the fp16 vision encoder above, the adapters absorb</w:t>
      </w:r>
      <w:r>
        <w:t xml:space="preserve"> </w:t>
      </w:r>
      <w:r>
        <w:t xml:space="preserve">most of the quantisation error, so a better uniform quantiser helps more than a cleverer allocation.</w:t>
      </w:r>
      <w:r>
        <w:t xml:space="preserve"> </w:t>
      </w:r>
      <w:r>
        <w:t xml:space="preserve">HQQ dequantisation in PyTorch is about twice as slow as NF4 on the T4 (1.0 vs 0.56 s per answer), so</w:t>
      </w:r>
      <w:r>
        <w:t xml:space="preserve"> </w:t>
      </w:r>
      <w:r>
        <w:t xml:space="preserve">NF4 remains our latency reference.</w:t>
      </w:r>
    </w:p>
    <w:bookmarkEnd w:id="53"/>
    <w:bookmarkEnd w:id="54"/>
    <w:bookmarkStart w:id="55" w:name="sec:concl"/>
    <w:p>
      <w:pPr>
        <w:pStyle w:val="Heading1"/>
      </w:pPr>
      <w:r>
        <w:t xml:space="preserve">VI. Conclusion</w:t>
      </w:r>
    </w:p>
    <w:p>
      <w:pPr>
        <w:pStyle w:val="FirstParagraph"/>
      </w:pPr>
      <w:r>
        <w:t xml:space="preserve">Our sequence-level MoE-LoRA, trained on one T4 GPU, achieves on held-out test data:</w:t>
      </w:r>
    </w:p>
    <w:p>
      <w:pPr>
        <w:numPr>
          <w:ilvl w:val="0"/>
          <w:numId w:val="1002"/>
        </w:numPr>
      </w:pPr>
      <w:r>
        <w:rPr>
          <w:i/>
          <w:iCs/>
        </w:rPr>
        <w:t xml:space="preserve">Better than full precision at less than half the memory:</w:t>
      </w:r>
      <w:r>
        <w:t xml:space="preserve"> </w:t>
      </w:r>
      <w:r>
        <w:t xml:space="preserve">on an HQQ 4-bit base, MoE-LoRA</w:t>
      </w:r>
      <w:r>
        <w:t xml:space="preserve"> </w:t>
      </w:r>
      <w:r>
        <w:t xml:space="preserve">scores 79.6 vs 76.8 for the original fp16 model (</w:t>
      </w:r>
      <m:oMath>
        <m:r>
          <m:rPr>
            <m:sty m:val="p"/>
          </m:rPr>
          <m:t>+</m:t>
        </m:r>
        <m:r>
          <m:t>2.8</m:t>
        </m:r>
      </m:oMath>
      <w:r>
        <w:t xml:space="preserve">,</w:t>
      </w:r>
      <w:r>
        <w:t xml:space="preserve"> </w:t>
      </w:r>
      <m:oMath>
        <m:r>
          <m:t>p</m:t>
        </m:r>
        <m:r>
          <m:rPr>
            <m:sty m:val="p"/>
          </m:rPr>
          <m:t>=</m:t>
        </m:r>
        <m:r>
          <m:t>0.01</m:t>
        </m:r>
      </m:oMath>
      <w:r>
        <w:t xml:space="preserve">), with peak GPU memory cut from</w:t>
      </w:r>
      <w:r>
        <w:t xml:space="preserve"> </w:t>
      </w:r>
      <w:r>
        <w:t xml:space="preserve">4.2 GB to 1.9 GB; HQQ itself adds 1.9 points over NF4 (</w:t>
      </w:r>
      <m:oMath>
        <m:r>
          <m:t>p</m:t>
        </m:r>
        <m:r>
          <m:rPr>
            <m:sty m:val="p"/>
          </m:rPr>
          <m:t>=</m:t>
        </m:r>
        <m:r>
          <m:t>0.02</m:t>
        </m:r>
      </m:oMath>
      <w:r>
        <w:t xml:space="preserve">). Only ours fits a 4 GB GPU.</w:t>
      </w:r>
    </w:p>
    <w:p>
      <w:pPr>
        <w:numPr>
          <w:ilvl w:val="0"/>
          <w:numId w:val="1002"/>
        </w:numPr>
      </w:pPr>
      <w:r>
        <w:rPr>
          <w:i/>
          <w:iCs/>
        </w:rPr>
        <w:t xml:space="preserve">Quantisation loss recovered:</w:t>
      </w:r>
      <w:r>
        <w:t xml:space="preserve"> </w:t>
      </w:r>
      <w:r>
        <w:t xml:space="preserve">adapters lift the 4-bit base from 71.6 to 77.7–79.6, and</w:t>
      </w:r>
      <w:r>
        <w:t xml:space="preserve"> </w:t>
      </w:r>
      <w:r>
        <w:t xml:space="preserve">spatial reasoning from 60.5 to 75.8–78.2.</w:t>
      </w:r>
    </w:p>
    <w:p>
      <w:pPr>
        <w:numPr>
          <w:ilvl w:val="0"/>
          <w:numId w:val="1002"/>
        </w:numPr>
      </w:pPr>
      <w:r>
        <w:rPr>
          <w:i/>
          <w:iCs/>
        </w:rPr>
        <w:t xml:space="preserve">Experts that find the tasks on their own:</w:t>
      </w:r>
      <w:r>
        <w:t xml:space="preserve"> </w:t>
      </w:r>
      <w:r>
        <w:t xml:space="preserve">sequence-level routing carries 0.48 bits of task</w:t>
      </w:r>
      <w:r>
        <w:t xml:space="preserve"> </w:t>
      </w:r>
      <w:r>
        <w:t xml:space="preserve">information against 0.05 for token-level routing, with no task labels, at the accuracy of dense LoRA.</w:t>
      </w:r>
    </w:p>
    <w:p>
      <w:pPr>
        <w:numPr>
          <w:ilvl w:val="0"/>
          <w:numId w:val="1002"/>
        </w:numPr>
      </w:pPr>
      <w:r>
        <w:rPr>
          <w:i/>
          <w:iCs/>
        </w:rPr>
        <w:t xml:space="preserve">Zero deployment overhead:</w:t>
      </w:r>
      <w:r>
        <w:t xml:space="preserve"> </w:t>
      </w:r>
      <w:r>
        <w:t xml:space="preserve">folded checkpoints lose 0.2 points and run on the GTX 1650 at</w:t>
      </w:r>
      <w:r>
        <w:t xml:space="preserve"> </w:t>
      </w:r>
      <w:r>
        <w:t xml:space="preserve">exactly the base model’s cost (2054 MiB, 18.8 tokens/s); keeping the router would cost 11% more</w:t>
      </w:r>
      <w:r>
        <w:t xml:space="preserve"> </w:t>
      </w:r>
      <w:r>
        <w:t xml:space="preserve">memory and 24% slower decoding. fp32 compute cuts its time to first token from 12.8 to 3.0 s.</w:t>
      </w:r>
    </w:p>
    <w:p>
      <w:pPr>
        <w:numPr>
          <w:ilvl w:val="0"/>
          <w:numId w:val="1002"/>
        </w:numPr>
      </w:pPr>
      <w:r>
        <w:rPr>
          <w:i/>
          <w:iCs/>
        </w:rPr>
        <w:t xml:space="preserve">Fewer image tokens:</w:t>
      </w:r>
      <w:r>
        <w:t xml:space="preserve"> </w:t>
      </w:r>
      <w:r>
        <w:t xml:space="preserve">at 256 px (45% fewer tokens, about 35% shorter training) MoE-LoRA</w:t>
      </w:r>
      <w:r>
        <w:t xml:space="preserve"> </w:t>
      </w:r>
      <w:r>
        <w:t xml:space="preserve">stays within noise of the fp16 model and 1.2 points ahead of dense LoRA.</w:t>
      </w:r>
    </w:p>
    <w:p>
      <w:pPr>
        <w:numPr>
          <w:ilvl w:val="0"/>
          <w:numId w:val="1002"/>
        </w:numPr>
      </w:pPr>
      <w:r>
        <w:rPr>
          <w:i/>
          <w:iCs/>
        </w:rPr>
        <w:t xml:space="preserve">Where precision matters:</w:t>
      </w:r>
      <w:r>
        <w:t xml:space="preserve"> </w:t>
      </w:r>
      <w:r>
        <w:t xml:space="preserve">the language model causes 3.2 and the vision encoder 1.7 of the</w:t>
      </w:r>
      <w:r>
        <w:t xml:space="preserve"> </w:t>
      </w:r>
      <w:r>
        <w:t xml:space="preserve">5.2 points lost to 4-bit; KL-guided per-layer bits help the untuned model by 1.2–2.2 points, a cheap</w:t>
      </w:r>
      <w:r>
        <w:t xml:space="preserve"> </w:t>
      </w:r>
      <w:r>
        <w:t xml:space="preserve">Hessian estimate fails, and after fine-tuning a good uniform quantiser is the best choice.</w:t>
      </w:r>
    </w:p>
    <w:p>
      <w:pPr>
        <w:pStyle w:val="FirstParagraph"/>
      </w:pPr>
      <w:r>
        <w:t xml:space="preserve">Limitations: three tasks of 400 training samples, one 2B backbone, task profiles that assume the task is</w:t>
      </w:r>
      <w:r>
        <w:t xml:space="preserve"> </w:t>
      </w:r>
      <w:r>
        <w:t xml:space="preserve">known, and HQQ being slower than NF4 in PyTorch. Expert-level mixed precision as in MoPEQ gives little here,</w:t>
      </w:r>
      <w:r>
        <w:t xml:space="preserve"> </w:t>
      </w:r>
      <w:r>
        <w:t xml:space="preserve">because our experts are 2.3% of the parameters and are folded away. We expect it to matter when experts</w:t>
      </w:r>
      <w:r>
        <w:t xml:space="preserve"> </w:t>
      </w:r>
      <w:r>
        <w:t xml:space="preserve">are a large share of the weights: pretrained MoE VLMs, larger experts that must stay unfolded, or</w:t>
      </w:r>
      <w:r>
        <w:t xml:space="preserve"> </w:t>
      </w:r>
      <w:r>
        <w:t xml:space="preserve">10B-scale backbones where a few gigabytes decide whether a model fits on an edge device.</w:t>
      </w:r>
    </w:p>
    <w:bookmarkEnd w:id="55"/>
    <w:bookmarkStart w:id="74" w:name="references"/>
    <w:p>
      <w:pPr>
        <w:pStyle w:val="Heading1"/>
      </w:pPr>
      <w:r>
        <w:t xml:space="preserve">References</w:t>
      </w:r>
    </w:p>
    <w:bookmarkStart w:id="73" w:name="refs"/>
    <w:bookmarkStart w:id="56" w:name="ref-wang2024qwen2vl"/>
    <w:p>
      <w:pPr>
        <w:pStyle w:val="Bibliography"/>
      </w:pPr>
      <w:r>
        <w:t xml:space="preserve">[1]</w:t>
      </w:r>
      <w:r>
        <w:t xml:space="preserve"> </w:t>
      </w:r>
      <w:r>
        <w:t xml:space="preserve">	</w:t>
      </w:r>
      <w:r>
        <w:t xml:space="preserve">P. Wang, S. Bai, S. Tan,</w:t>
      </w:r>
      <w:r>
        <w:t xml:space="preserve"> </w:t>
      </w:r>
      <w:r>
        <w:rPr>
          <w:i/>
          <w:iCs/>
        </w:rPr>
        <w:t xml:space="preserve">et al.</w:t>
      </w:r>
      <w:r>
        <w:t xml:space="preserve">,</w:t>
      </w:r>
      <w:r>
        <w:t xml:space="preserve"> </w:t>
      </w:r>
      <w:r>
        <w:t xml:space="preserve">“</w:t>
      </w:r>
      <w:r>
        <w:t xml:space="preserve">Qwen2-VL</w:t>
      </w:r>
      <w:r>
        <w:t xml:space="preserve">: Enhancing vision-language model’s perception of the world at any resolution,”</w:t>
      </w:r>
      <w:r>
        <w:t xml:space="preserve"> </w:t>
      </w:r>
      <w:r>
        <w:rPr>
          <w:i/>
          <w:iCs/>
        </w:rPr>
        <w:t xml:space="preserve">arXiv preprint arXiv:2409.12191</w:t>
      </w:r>
      <w:r>
        <w:t xml:space="preserve">, 2024.</w:t>
      </w:r>
    </w:p>
    <w:bookmarkEnd w:id="56"/>
    <w:bookmarkStart w:id="57" w:name="ref-hu2022lora"/>
    <w:p>
      <w:pPr>
        <w:pStyle w:val="Bibliography"/>
      </w:pPr>
      <w:r>
        <w:t xml:space="preserve">[2]</w:t>
      </w:r>
      <w:r>
        <w:t xml:space="preserve"> </w:t>
      </w:r>
      <w:r>
        <w:t xml:space="preserve">	</w:t>
      </w:r>
      <w:r>
        <w:t xml:space="preserve">E. J. Hu</w:t>
      </w:r>
      <w:r>
        <w:t xml:space="preserve"> </w:t>
      </w:r>
      <w:r>
        <w:rPr>
          <w:i/>
          <w:iCs/>
        </w:rPr>
        <w:t xml:space="preserve">et al.</w:t>
      </w:r>
      <w:r>
        <w:t xml:space="preserve">,</w:t>
      </w:r>
      <w:r>
        <w:t xml:space="preserve"> </w:t>
      </w:r>
      <w:r>
        <w:t xml:space="preserve">“</w:t>
      </w:r>
      <w:r>
        <w:t xml:space="preserve">LoRA</w:t>
      </w:r>
      <w:r>
        <w:t xml:space="preserve">: Low-rank adaptation of large language models,”</w:t>
      </w:r>
      <w:r>
        <w:t xml:space="preserve"> </w:t>
      </w:r>
      <w:r>
        <w:t xml:space="preserve">in</w:t>
      </w:r>
      <w:r>
        <w:t xml:space="preserve"> </w:t>
      </w:r>
      <w:r>
        <w:rPr>
          <w:i/>
          <w:iCs/>
        </w:rPr>
        <w:t xml:space="preserve">International conference on learning representations (ICLR)</w:t>
      </w:r>
      <w:r>
        <w:t xml:space="preserve">, 2022.</w:t>
      </w:r>
    </w:p>
    <w:bookmarkEnd w:id="57"/>
    <w:bookmarkStart w:id="58" w:name="ref-dettmers2023qlora"/>
    <w:p>
      <w:pPr>
        <w:pStyle w:val="Bibliography"/>
      </w:pPr>
      <w:r>
        <w:t xml:space="preserve">[3]</w:t>
      </w:r>
      <w:r>
        <w:t xml:space="preserve"> </w:t>
      </w:r>
      <w:r>
        <w:t xml:space="preserve">	</w:t>
      </w:r>
      <w:r>
        <w:t xml:space="preserve">T. Dettmers, A. Pagnoni, A. Holtzman, and L. Zettlemoyer,</w:t>
      </w:r>
      <w:r>
        <w:t xml:space="preserve"> </w:t>
      </w:r>
      <w:r>
        <w:t xml:space="preserve">“</w:t>
      </w:r>
      <w:r>
        <w:t xml:space="preserve">QLoRA</w:t>
      </w:r>
      <w:r>
        <w:t xml:space="preserve">: Efficient finetuning of quantized</w:t>
      </w:r>
      <w:r>
        <w:t xml:space="preserve"> </w:t>
      </w:r>
      <w:r>
        <w:t xml:space="preserve">LLMs</w:t>
      </w:r>
      <w:r>
        <w:t xml:space="preserve">,”</w:t>
      </w:r>
      <w:r>
        <w:t xml:space="preserve"> </w:t>
      </w:r>
      <w:r>
        <w:t xml:space="preserve">in</w:t>
      </w:r>
      <w:r>
        <w:t xml:space="preserve"> </w:t>
      </w:r>
      <w:r>
        <w:rPr>
          <w:i/>
          <w:iCs/>
        </w:rPr>
        <w:t xml:space="preserve">Advances in neural information processing systems (NeurIPS)</w:t>
      </w:r>
      <w:r>
        <w:t xml:space="preserve">, 2023.</w:t>
      </w:r>
    </w:p>
    <w:bookmarkEnd w:id="58"/>
    <w:bookmarkStart w:id="59" w:name="ref-zadouri2023molora"/>
    <w:p>
      <w:pPr>
        <w:pStyle w:val="Bibliography"/>
      </w:pPr>
      <w:r>
        <w:t xml:space="preserve">[4]</w:t>
      </w:r>
      <w:r>
        <w:t xml:space="preserve"> </w:t>
      </w:r>
      <w:r>
        <w:t xml:space="preserve">	</w:t>
      </w:r>
      <w:r>
        <w:t xml:space="preserve">T. Zadouri, A. Üstün, A. Ahmadian, B. Ermiş, A. Locatelli, and S. Hooker,</w:t>
      </w:r>
      <w:r>
        <w:t xml:space="preserve"> </w:t>
      </w:r>
      <w:r>
        <w:t xml:space="preserve">“Pushing mixture of experts to the limit: Extremely parameter efficient</w:t>
      </w:r>
      <w:r>
        <w:t xml:space="preserve"> </w:t>
      </w:r>
      <w:r>
        <w:t xml:space="preserve">MoE</w:t>
      </w:r>
      <w:r>
        <w:t xml:space="preserve"> </w:t>
      </w:r>
      <w:r>
        <w:t xml:space="preserve">for instruction tuning,”</w:t>
      </w:r>
      <w:r>
        <w:t xml:space="preserve"> </w:t>
      </w:r>
      <w:r>
        <w:t xml:space="preserve">in</w:t>
      </w:r>
      <w:r>
        <w:t xml:space="preserve"> </w:t>
      </w:r>
      <w:r>
        <w:rPr>
          <w:i/>
          <w:iCs/>
        </w:rPr>
        <w:t xml:space="preserve">International conference on learning representations (ICLR)</w:t>
      </w:r>
      <w:r>
        <w:t xml:space="preserve">, 2024.</w:t>
      </w:r>
    </w:p>
    <w:bookmarkEnd w:id="59"/>
    <w:bookmarkStart w:id="60" w:name="ref-dou2023loramoe"/>
    <w:p>
      <w:pPr>
        <w:pStyle w:val="Bibliography"/>
      </w:pPr>
      <w:r>
        <w:t xml:space="preserve">[5]</w:t>
      </w:r>
      <w:r>
        <w:t xml:space="preserve"> </w:t>
      </w:r>
      <w:r>
        <w:t xml:space="preserve">	</w:t>
      </w:r>
      <w:r>
        <w:t xml:space="preserve">S. Dou, E. Zhou, Y. Liu,</w:t>
      </w:r>
      <w:r>
        <w:t xml:space="preserve"> </w:t>
      </w:r>
      <w:r>
        <w:rPr>
          <w:i/>
          <w:iCs/>
        </w:rPr>
        <w:t xml:space="preserve">et al.</w:t>
      </w:r>
      <w:r>
        <w:t xml:space="preserve">,</w:t>
      </w:r>
      <w:r>
        <w:t xml:space="preserve"> </w:t>
      </w:r>
      <w:r>
        <w:t xml:space="preserve">“</w:t>
      </w:r>
      <w:r>
        <w:t xml:space="preserve">LoRAMoE</w:t>
      </w:r>
      <w:r>
        <w:t xml:space="preserve">: Alleviating world knowledge forgetting in large language models via</w:t>
      </w:r>
      <w:r>
        <w:t xml:space="preserve"> </w:t>
      </w:r>
      <w:r>
        <w:t xml:space="preserve">MoE</w:t>
      </w:r>
      <w:r>
        <w:t xml:space="preserve">-style plugin,”</w:t>
      </w:r>
      <w:r>
        <w:t xml:space="preserve"> </w:t>
      </w:r>
      <w:r>
        <w:t xml:space="preserve">in</w:t>
      </w:r>
      <w:r>
        <w:t xml:space="preserve"> </w:t>
      </w:r>
      <w:r>
        <w:rPr>
          <w:i/>
          <w:iCs/>
        </w:rPr>
        <w:t xml:space="preserve">Proceedings of the 62nd annual meeting of the association for computational linguistics (ACL)</w:t>
      </w:r>
      <w:r>
        <w:t xml:space="preserve">, 2024, pp. 1932–1945.</w:t>
      </w:r>
    </w:p>
    <w:bookmarkEnd w:id="60"/>
    <w:bookmarkStart w:id="61" w:name="ref-shazeer2017moe"/>
    <w:p>
      <w:pPr>
        <w:pStyle w:val="Bibliography"/>
      </w:pPr>
      <w:r>
        <w:t xml:space="preserve">[6]</w:t>
      </w:r>
      <w:r>
        <w:t xml:space="preserve"> </w:t>
      </w:r>
      <w:r>
        <w:t xml:space="preserve">	</w:t>
      </w:r>
      <w:r>
        <w:t xml:space="preserve">N. Shazeer</w:t>
      </w:r>
      <w:r>
        <w:t xml:space="preserve"> </w:t>
      </w:r>
      <w:r>
        <w:rPr>
          <w:i/>
          <w:iCs/>
        </w:rPr>
        <w:t xml:space="preserve">et al.</w:t>
      </w:r>
      <w:r>
        <w:t xml:space="preserve">,</w:t>
      </w:r>
      <w:r>
        <w:t xml:space="preserve"> </w:t>
      </w:r>
      <w:r>
        <w:t xml:space="preserve">“Outrageously large neural networks: The sparsely-gated mixture-of-experts layer,”</w:t>
      </w:r>
      <w:r>
        <w:t xml:space="preserve"> </w:t>
      </w:r>
      <w:r>
        <w:t xml:space="preserve">in</w:t>
      </w:r>
      <w:r>
        <w:t xml:space="preserve"> </w:t>
      </w:r>
      <w:r>
        <w:rPr>
          <w:i/>
          <w:iCs/>
        </w:rPr>
        <w:t xml:space="preserve">International conference on learning representations (ICLR)</w:t>
      </w:r>
      <w:r>
        <w:t xml:space="preserve">, 2017.</w:t>
      </w:r>
    </w:p>
    <w:bookmarkEnd w:id="61"/>
    <w:bookmarkStart w:id="62" w:name="ref-fedus2022switch"/>
    <w:p>
      <w:pPr>
        <w:pStyle w:val="Bibliography"/>
      </w:pPr>
      <w:r>
        <w:t xml:space="preserve">[7]</w:t>
      </w:r>
      <w:r>
        <w:t xml:space="preserve"> </w:t>
      </w:r>
      <w:r>
        <w:t xml:space="preserve">	</w:t>
      </w:r>
      <w:r>
        <w:t xml:space="preserve">W. Fedus, B. Zoph, and N. Shazeer,</w:t>
      </w:r>
      <w:r>
        <w:t xml:space="preserve"> </w:t>
      </w:r>
      <w:r>
        <w:t xml:space="preserve">“Switch transformers: Scaling to trillion parameter models with simple and efficient sparsity,”</w:t>
      </w:r>
      <w:r>
        <w:t xml:space="preserve"> </w:t>
      </w:r>
      <w:r>
        <w:rPr>
          <w:i/>
          <w:iCs/>
        </w:rPr>
        <w:t xml:space="preserve">Journal of Machine Learning Research</w:t>
      </w:r>
      <w:r>
        <w:t xml:space="preserve">, vol. 23, no. 120, pp. 1–39, 2022.</w:t>
      </w:r>
    </w:p>
    <w:bookmarkEnd w:id="62"/>
    <w:bookmarkStart w:id="63" w:name="ref-chitty2025mopeq"/>
    <w:p>
      <w:pPr>
        <w:pStyle w:val="Bibliography"/>
      </w:pPr>
      <w:r>
        <w:t xml:space="preserve">[8]</w:t>
      </w:r>
      <w:r>
        <w:t xml:space="preserve"> </w:t>
      </w:r>
      <w:r>
        <w:t xml:space="preserve">	</w:t>
      </w:r>
      <w:r>
        <w:t xml:space="preserve">K. T. Chitty-Venkata, J. Ye, and M. Emani,</w:t>
      </w:r>
      <w:r>
        <w:t xml:space="preserve"> </w:t>
      </w:r>
      <w:r>
        <w:t xml:space="preserve">“</w:t>
      </w:r>
      <w:r>
        <w:t xml:space="preserve">MoPEQ</w:t>
      </w:r>
      <w:r>
        <w:t xml:space="preserve">: Mixture of mixed precision quantized experts,”</w:t>
      </w:r>
      <w:r>
        <w:t xml:space="preserve"> </w:t>
      </w:r>
      <w:r>
        <w:t xml:space="preserve">in</w:t>
      </w:r>
      <w:r>
        <w:t xml:space="preserve"> </w:t>
      </w:r>
      <w:r>
        <w:rPr>
          <w:i/>
          <w:iCs/>
        </w:rPr>
        <w:t xml:space="preserve">Proc. IEEE/CVF int. Conf. Computer vision workshops (ICCVW)</w:t>
      </w:r>
      <w:r>
        <w:t xml:space="preserve">, 2025, pp. 4082–4091.</w:t>
      </w:r>
    </w:p>
    <w:bookmarkEnd w:id="63"/>
    <w:bookmarkStart w:id="64" w:name="ref-zoph2022stmoe"/>
    <w:p>
      <w:pPr>
        <w:pStyle w:val="Bibliography"/>
      </w:pPr>
      <w:r>
        <w:t xml:space="preserve">[9]</w:t>
      </w:r>
      <w:r>
        <w:t xml:space="preserve"> </w:t>
      </w:r>
      <w:r>
        <w:t xml:space="preserve">	</w:t>
      </w:r>
      <w:r>
        <w:t xml:space="preserve">B. Zoph, I. Bello, S. Kumar,</w:t>
      </w:r>
      <w:r>
        <w:t xml:space="preserve"> </w:t>
      </w:r>
      <w:r>
        <w:rPr>
          <w:i/>
          <w:iCs/>
        </w:rPr>
        <w:t xml:space="preserve">et al.</w:t>
      </w:r>
      <w:r>
        <w:t xml:space="preserve">,</w:t>
      </w:r>
      <w:r>
        <w:t xml:space="preserve"> </w:t>
      </w:r>
      <w:r>
        <w:t xml:space="preserve">“</w:t>
      </w:r>
      <w:r>
        <w:t xml:space="preserve">ST-MoE</w:t>
      </w:r>
      <w:r>
        <w:t xml:space="preserve">: Designing stable and transferable sparse expert models,”</w:t>
      </w:r>
      <w:r>
        <w:t xml:space="preserve"> </w:t>
      </w:r>
      <w:r>
        <w:rPr>
          <w:i/>
          <w:iCs/>
        </w:rPr>
        <w:t xml:space="preserve">arXiv preprint arXiv:2202.08906</w:t>
      </w:r>
      <w:r>
        <w:t xml:space="preserve">, 2022.</w:t>
      </w:r>
    </w:p>
    <w:bookmarkEnd w:id="64"/>
    <w:bookmarkStart w:id="65" w:name="ref-hinton2015distilling"/>
    <w:p>
      <w:pPr>
        <w:pStyle w:val="Bibliography"/>
      </w:pPr>
      <w:r>
        <w:t xml:space="preserve">[10]</w:t>
      </w:r>
      <w:r>
        <w:t xml:space="preserve"> </w:t>
      </w:r>
      <w:r>
        <w:t xml:space="preserve">	</w:t>
      </w:r>
      <w:r>
        <w:t xml:space="preserve">G. Hinton, O. Vinyals, and J. Dean,</w:t>
      </w:r>
      <w:r>
        <w:t xml:space="preserve"> </w:t>
      </w:r>
      <w:r>
        <w:t xml:space="preserve">“Distilling the knowledge in a neural network,”</w:t>
      </w:r>
      <w:r>
        <w:t xml:space="preserve"> </w:t>
      </w:r>
      <w:r>
        <w:rPr>
          <w:i/>
          <w:iCs/>
        </w:rPr>
        <w:t xml:space="preserve">arXiv preprint arXiv:1503.02531</w:t>
      </w:r>
      <w:r>
        <w:t xml:space="preserve">, 2015.</w:t>
      </w:r>
    </w:p>
    <w:bookmarkEnd w:id="65"/>
    <w:bookmarkStart w:id="66" w:name="ref-mathew2021docvqa"/>
    <w:p>
      <w:pPr>
        <w:pStyle w:val="Bibliography"/>
      </w:pPr>
      <w:r>
        <w:t xml:space="preserve">[11]</w:t>
      </w:r>
      <w:r>
        <w:t xml:space="preserve"> </w:t>
      </w:r>
      <w:r>
        <w:t xml:space="preserve">	</w:t>
      </w:r>
      <w:r>
        <w:t xml:space="preserve">M. Mathew, D. Karatzas, and C. V. Jawahar,</w:t>
      </w:r>
      <w:r>
        <w:t xml:space="preserve"> </w:t>
      </w:r>
      <w:r>
        <w:t xml:space="preserve">“</w:t>
      </w:r>
      <w:r>
        <w:t xml:space="preserve">DocVQA</w:t>
      </w:r>
      <w:r>
        <w:t xml:space="preserve">: A dataset for</w:t>
      </w:r>
      <w:r>
        <w:t xml:space="preserve"> </w:t>
      </w:r>
      <w:r>
        <w:t xml:space="preserve">VQA</w:t>
      </w:r>
      <w:r>
        <w:t xml:space="preserve"> </w:t>
      </w:r>
      <w:r>
        <w:t xml:space="preserve">on document images,”</w:t>
      </w:r>
      <w:r>
        <w:t xml:space="preserve"> </w:t>
      </w:r>
      <w:r>
        <w:t xml:space="preserve">in</w:t>
      </w:r>
      <w:r>
        <w:t xml:space="preserve"> </w:t>
      </w:r>
      <w:r>
        <w:rPr>
          <w:i/>
          <w:iCs/>
        </w:rPr>
        <w:t xml:space="preserve">IEEE/CVF winter conference on applications of computer vision (WACV)</w:t>
      </w:r>
      <w:r>
        <w:t xml:space="preserve">, 2021.</w:t>
      </w:r>
    </w:p>
    <w:bookmarkEnd w:id="66"/>
    <w:bookmarkStart w:id="67" w:name="ref-masry2022chartqa"/>
    <w:p>
      <w:pPr>
        <w:pStyle w:val="Bibliography"/>
      </w:pPr>
      <w:r>
        <w:t xml:space="preserve">[12]</w:t>
      </w:r>
      <w:r>
        <w:t xml:space="preserve"> </w:t>
      </w:r>
      <w:r>
        <w:t xml:space="preserve">	</w:t>
      </w:r>
      <w:r>
        <w:t xml:space="preserve">A. Masry, D. X. Long, J. Q. Tan, S. Joty, and E. Hoque,</w:t>
      </w:r>
      <w:r>
        <w:t xml:space="preserve"> </w:t>
      </w:r>
      <w:r>
        <w:t xml:space="preserve">“</w:t>
      </w:r>
      <w:r>
        <w:t xml:space="preserve">ChartQA</w:t>
      </w:r>
      <w:r>
        <w:t xml:space="preserve">: A benchmark for question answering about charts with visual and logical reasoning,”</w:t>
      </w:r>
      <w:r>
        <w:t xml:space="preserve"> </w:t>
      </w:r>
      <w:r>
        <w:t xml:space="preserve">in</w:t>
      </w:r>
      <w:r>
        <w:t xml:space="preserve"> </w:t>
      </w:r>
      <w:r>
        <w:rPr>
          <w:i/>
          <w:iCs/>
        </w:rPr>
        <w:t xml:space="preserve">Findings of the association for computational linguistics (ACL)</w:t>
      </w:r>
      <w:r>
        <w:t xml:space="preserve">, 2022.</w:t>
      </w:r>
    </w:p>
    <w:bookmarkEnd w:id="67"/>
    <w:bookmarkStart w:id="68" w:name="ref-liu2023vsr"/>
    <w:p>
      <w:pPr>
        <w:pStyle w:val="Bibliography"/>
      </w:pPr>
      <w:r>
        <w:t xml:space="preserve">[13]</w:t>
      </w:r>
      <w:r>
        <w:t xml:space="preserve"> </w:t>
      </w:r>
      <w:r>
        <w:t xml:space="preserve">	</w:t>
      </w:r>
      <w:r>
        <w:t xml:space="preserve">F. Liu, G. Emerson, and N. Collier,</w:t>
      </w:r>
      <w:r>
        <w:t xml:space="preserve"> </w:t>
      </w:r>
      <w:r>
        <w:t xml:space="preserve">“Visual spatial reasoning,”</w:t>
      </w:r>
      <w:r>
        <w:t xml:space="preserve"> </w:t>
      </w:r>
      <w:r>
        <w:rPr>
          <w:i/>
          <w:iCs/>
        </w:rPr>
        <w:t xml:space="preserve">Transactions of the Association for Computational Linguistics</w:t>
      </w:r>
      <w:r>
        <w:t xml:space="preserve">, vol. 11, pp. 635–651, 2023.</w:t>
      </w:r>
    </w:p>
    <w:bookmarkEnd w:id="68"/>
    <w:bookmarkStart w:id="69" w:name="ref-biten2019stvqa"/>
    <w:p>
      <w:pPr>
        <w:pStyle w:val="Bibliography"/>
      </w:pPr>
      <w:r>
        <w:t xml:space="preserve">[14]</w:t>
      </w:r>
      <w:r>
        <w:t xml:space="preserve"> </w:t>
      </w:r>
      <w:r>
        <w:t xml:space="preserve">	</w:t>
      </w:r>
      <w:r>
        <w:t xml:space="preserve">A. F. Biten, R. Tito, A. Mafla,</w:t>
      </w:r>
      <w:r>
        <w:t xml:space="preserve"> </w:t>
      </w:r>
      <w:r>
        <w:rPr>
          <w:i/>
          <w:iCs/>
        </w:rPr>
        <w:t xml:space="preserve">et al.</w:t>
      </w:r>
      <w:r>
        <w:t xml:space="preserve">,</w:t>
      </w:r>
      <w:r>
        <w:t xml:space="preserve"> </w:t>
      </w:r>
      <w:r>
        <w:t xml:space="preserve">“Scene text visual question answering,”</w:t>
      </w:r>
      <w:r>
        <w:t xml:space="preserve"> </w:t>
      </w:r>
      <w:r>
        <w:t xml:space="preserve">in</w:t>
      </w:r>
      <w:r>
        <w:t xml:space="preserve"> </w:t>
      </w:r>
      <w:r>
        <w:rPr>
          <w:i/>
          <w:iCs/>
        </w:rPr>
        <w:t xml:space="preserve">IEEE/CVF international conference on computer vision (ICCV)</w:t>
      </w:r>
      <w:r>
        <w:t xml:space="preserve">, 2019.</w:t>
      </w:r>
    </w:p>
    <w:bookmarkEnd w:id="69"/>
    <w:bookmarkStart w:id="71" w:name="ref-badri2023hqq"/>
    <w:p>
      <w:pPr>
        <w:pStyle w:val="Bibliography"/>
      </w:pPr>
      <w:r>
        <w:t xml:space="preserve">[15]</w:t>
      </w:r>
      <w:r>
        <w:t xml:space="preserve"> </w:t>
      </w:r>
      <w:r>
        <w:t xml:space="preserve">	</w:t>
      </w:r>
      <w:r>
        <w:t xml:space="preserve">H. Badri and A. Shaji,</w:t>
      </w:r>
      <w:r>
        <w:t xml:space="preserve"> </w:t>
      </w:r>
      <w:r>
        <w:t xml:space="preserve">“Half-quadratic quantization of large machine learning models.”</w:t>
      </w:r>
      <w:r>
        <w:t xml:space="preserve"> </w:t>
      </w:r>
      <w:hyperlink r:id="rId70">
        <w:r>
          <w:rPr>
            <w:rStyle w:val="Hyperlink"/>
          </w:rPr>
          <w:t xml:space="preserve">https://dropbox.tech/machine-learning/halfquadratic-quantization-of-large-machine-learning-models</w:t>
        </w:r>
      </w:hyperlink>
      <w:r>
        <w:t xml:space="preserve">, 2023.</w:t>
      </w:r>
    </w:p>
    <w:bookmarkEnd w:id="71"/>
    <w:bookmarkStart w:id="72" w:name="ref-dong2019hawq"/>
    <w:p>
      <w:pPr>
        <w:pStyle w:val="Bibliography"/>
      </w:pPr>
      <w:r>
        <w:t xml:space="preserve">[16]</w:t>
      </w:r>
      <w:r>
        <w:t xml:space="preserve"> </w:t>
      </w:r>
      <w:r>
        <w:t xml:space="preserve">	</w:t>
      </w:r>
      <w:r>
        <w:t xml:space="preserve">Z. Dong, Z. Yao, A. Gholami, M. W. Mahoney, and K. Keutzer,</w:t>
      </w:r>
      <w:r>
        <w:t xml:space="preserve"> </w:t>
      </w:r>
      <w:r>
        <w:t xml:space="preserve">“</w:t>
      </w:r>
      <w:r>
        <w:t xml:space="preserve">HAWQ</w:t>
      </w:r>
      <w:r>
        <w:t xml:space="preserve">: Hessian aware quantization of neural networks with mixed-precision,”</w:t>
      </w:r>
      <w:r>
        <w:t xml:space="preserve"> </w:t>
      </w:r>
      <w:r>
        <w:t xml:space="preserve">in</w:t>
      </w:r>
      <w:r>
        <w:t xml:space="preserve"> </w:t>
      </w:r>
      <w:r>
        <w:rPr>
          <w:i/>
          <w:iCs/>
        </w:rPr>
        <w:t xml:space="preserve">Proc. IEEE/CVF int. Conf. Computer vision (ICCV)</w:t>
      </w:r>
      <w:r>
        <w:t xml:space="preserve">, 2019.</w:t>
      </w:r>
    </w:p>
    <w:bookmarkEnd w:id="72"/>
    <w:bookmarkEnd w:id="73"/>
    <w:bookmarkEnd w:id="74"/>
    <w:sectPr>
      <w:type w:val="continuous"/>
      <w:pgSz w:w="12240" w:h="15840"/>
      <w:pgMar w:top="1080" w:right="1022" w:bottom="1440" w:left="1022"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0"/>
        <w:szCs w:val="24"/>
        <w:lang w:bidi="ar-SA" w:eastAsia="Times New Roma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6"/>
      <w:szCs w:val="16"/>
    </w:rPr>
  </w:style>
  <w:style w:styleId="Title" w:type="paragraph">
    <w:name w:val="Title"/>
    <w:basedOn w:val="Normal"/>
    <w:next w:val="BodyText"/>
    <w:link w:val="TitleChar"/>
    <w:uiPriority w:val="10"/>
    <w:qFormat/>
    <w:rsid w:val="00A10FD9"/>
    <w:pPr>
      <w:spacing w:after="80" w:line="240" w:lineRule="auto"/>
      <w:contextualSpacing/>
      <w:jc w:val="center"/>
    </w:pPr>
    <w:rPr>
      <w:rFonts/>
      <w:sz w:val="48"/>
      <w:szCs w:val="56"/>
    </w:rPr>
  </w:style>
  <w:style w:customStyle="1" w:styleId="TitleChar" w:type="character">
    <w:name w:val="Title Char"/>
    <w:basedOn w:val="DefaultParagraphFont"/>
    <w:link w:val="Title"/>
    <w:uiPriority w:val="10"/>
    <w:rsid w:val="00A10FD9"/>
    <w:rPr>
      <w:rFonts/>
      <w:sz w:val="56"/>
      <w:szCs w:val="56"/>
    </w:rPr>
  </w:style>
  <w:style w:styleId="Subtitle" w:type="paragraph">
    <w:name w:val="Subtitle"/>
    <w:basedOn w:val="Title"/>
    <w:next w:val="BodyText"/>
    <w:link w:val="SubtitleChar"/>
    <w:uiPriority w:val="11"/>
    <w:qFormat/>
    <w:rsid w:val="00A10FD9"/>
    <w:pPr>
      <w:numPr>
        <w:ilvl w:val="1"/>
      </w:numPr>
    </w:pPr>
    <w:rPr>
      <w:rFonts/>
      <w:spacing w:val="15"/>
      <w:sz w:val="28"/>
      <w:szCs w:val="28"/>
    </w:rPr>
  </w:style>
  <w:style w:customStyle="1" w:styleId="SubtitleChar" w:type="character">
    <w:name w:val="Subtitle Char"/>
    <w:basedOn w:val="DefaultParagraphFont"/>
    <w:link w:val="Subtitle"/>
    <w:uiPriority w:val="11"/>
    <w:rsid w:val="00A10FD9"/>
    <w:rPr>
      <w:rFonts/>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b/>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jc w:val="center"/>
      <w:keepNext/>
      <w:keepLines/>
      <w:spacing w:after="80" w:before="360"/>
      <w:outlineLvl w:val="0"/>
    </w:pPr>
    <w:rPr>
      <w:smallCaps/>
      <w:rFonts/>
      <w:color w:val="000000"/>
      <w:sz w:val="20"/>
      <w:szCs w:val="2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i/>
      <w:rFonts/>
      <w:color w:val="000000"/>
      <w:sz w:val="20"/>
      <w:szCs w:val="2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olor w:themeColor="text1" w:themeTint="D8" w:val="272727"/>
    </w:rPr>
  </w:style>
  <w:style w:customStyle="1" w:styleId="Heading1Char" w:type="character">
    <w:name w:val="Heading 1 Char"/>
    <w:basedOn w:val="DefaultParagraphFont"/>
    <w:link w:val="Heading1"/>
    <w:uiPriority w:val="9"/>
    <w:rsid w:val="00A10FD9"/>
    <w:rPr>
      <w:rFonts/>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i/>
      <w:iCs/>
      <w:color w:themeColor="accent1" w:themeShade="BF" w:val="0F4761"/>
    </w:rPr>
  </w:style>
  <w:style w:customStyle="1" w:styleId="Heading5Char" w:type="character">
    <w:name w:val="Heading 5 Char"/>
    <w:basedOn w:val="DefaultParagraphFont"/>
    <w:link w:val="Heading5"/>
    <w:uiPriority w:val="9"/>
    <w:semiHidden/>
    <w:rsid w:val="00A10FD9"/>
    <w:rPr>
      <w:rFonts/>
      <w:color w:themeColor="accent1" w:themeShade="BF" w:val="0F4761"/>
    </w:rPr>
  </w:style>
  <w:style w:customStyle="1" w:styleId="Heading6Char" w:type="character">
    <w:name w:val="Heading 6 Char"/>
    <w:basedOn w:val="DefaultParagraphFont"/>
    <w:link w:val="Heading6"/>
    <w:uiPriority w:val="9"/>
    <w:semiHidden/>
    <w:rsid w:val="00A10FD9"/>
    <w:rPr>
      <w:rFonts/>
      <w:i/>
      <w:iCs/>
      <w:color w:themeColor="text1" w:themeTint="A6" w:val="595959"/>
    </w:rPr>
  </w:style>
  <w:style w:customStyle="1" w:styleId="Heading7Char" w:type="character">
    <w:name w:val="Heading 7 Char"/>
    <w:basedOn w:val="DefaultParagraphFont"/>
    <w:link w:val="Heading7"/>
    <w:uiPriority w:val="9"/>
    <w:semiHidden/>
    <w:rsid w:val="00A10FD9"/>
    <w:rPr>
      <w:rFonts/>
      <w:color w:themeColor="text1" w:themeTint="A6" w:val="595959"/>
    </w:rPr>
  </w:style>
  <w:style w:customStyle="1" w:styleId="Heading8Char" w:type="character">
    <w:name w:val="Heading 8 Char"/>
    <w:basedOn w:val="DefaultParagraphFont"/>
    <w:link w:val="Heading8"/>
    <w:uiPriority w:val="9"/>
    <w:semiHidden/>
    <w:rsid w:val="00A10FD9"/>
    <w:rPr>
      <w:rFonts/>
      <w:i/>
      <w:iCs/>
      <w:color w:themeColor="text1" w:themeTint="D8" w:val="272727"/>
    </w:rPr>
  </w:style>
  <w:style w:customStyle="1" w:styleId="Heading9Char" w:type="character">
    <w:name w:val="Heading 9 Char"/>
    <w:basedOn w:val="DefaultParagraphFont"/>
    <w:link w:val="Heading9"/>
    <w:uiPriority w:val="9"/>
    <w:semiHidden/>
    <w:rsid w:val="00A10FD9"/>
    <w:rPr>
      <w:rFonts/>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1" Target="media/rId11.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hyperlink" Id="rId70" Target="https://dropbox.tech/machine-learning/halfquadratic-quantization-of-large-machine-learning-models" TargetMode="External" /></Relationships>
</file>

<file path=word/_rels/footnotes.xml.rels><?xml version="1.0" encoding="UTF-8"?><Relationships xmlns="http://schemas.openxmlformats.org/package/2006/relationships"><Relationship Type="http://schemas.openxmlformats.org/officeDocument/2006/relationships/hyperlink" Id="rId70" Target="https://dropbox.tech/machine-learning/halfquadratic-quantization-of-large-machine-learning-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 as Experts, Deploy as Dense: Sequence-Level Mixture-of-LoRA Adaptation of a 4-bit Vision-Language Model for Edge Devices</dc:title>
  <dc:creator>Harsh Raj¹, Instrumentation &amp; Control Engineering Department, Netaji Subhas University of Technology, New Delhi, India-110078, harsh.raj.ug23@nsut.ac.in, ORCID 0009-0000-3091-1946; Saurav Kumar², Instrumentation &amp; Control Engineering Department, Netaji Subhas University of Technology, New Delhi, India-110078, saurav.kumar_ug23@nsut.ac.in, ORCID 0009-0003-2525-1316; Rumeshi Mittal³, Instrumentation &amp; Control Engineering Department, Netaji Subhas University of Technology, New Delhi, India-110078, rumeshi.mittal.ug23@nsut.ac.in, ORCID 0009-0001-0925-6542; Vicky Suri⁴, Instrumentation &amp; Control Engineering Department, Netaji Subhas University of Technology, New Delhi, India-110078, vickysuri@nsut.ac.in</dc:creator>
  <cp:keywords/>
  <dcterms:created xsi:type="dcterms:W3CDTF">2026-10-15T07:22:38Z</dcterms:created>
  <dcterms:modified xsi:type="dcterms:W3CDTF">2026-10-15T07:22:38Z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Vision-language models (VLMs) can read documents and charts and reason about scenes, but they are large, and serving several tasks on one small device usually means storing several models. We adapt Qwen2-VL-2B, quantised to 4 bits, to document VQA, chart QA and visual spatial reasoning with a mixture of LoRA experts (MoE-LoRA) whose router reads the question once and picks one expert for the whole answer. Training runs on a single 16 GB T4 GPU, with the full-precision model as a distillation teacher. On held-out test data this sequence-level MoE-LoRA is as accurate as a dense LoRA of the same rank (−0.7 points, 95% CI [−1.7, +0.4], three seeds), yet its experts line up with the tasks without ever seeing a task label, carrying about ten times more task information than token-level experts. Since every request uses a single expert, the experts fold into ordinary per-task checkpoints with no loss: on a 4 GB GTX 1650 laptop GPU the folded model costs exactly what the 4-bit base costs (2.0 GB peak, 18.8 tokens/s), while keeping the router adds 11% memory and slows decoding by 24%. With HQQ 4-bit quantisation, MoE-LoRA reaches 79.6 points, 2.8 above the original full-precision model (95% CI [+0.4, +5.2]), while peak GPU memory drops from 4.2 GB to 1.9 GB; the full-precision model does not even fit on the 4 GB GPU. We also tried MoPEQ-style per-layer bit allocation. It helps the untuned model a little at every memory budget (+1.2 to +2.2 points, not significant on its own), stops helping once the adapters are trained, and goes badly wrong when sensitivity comes from a cheap Hessian-trace estimate.</vt:lpwstr>
  </property>
  <property fmtid="{D5CDD505-2E9C-101B-9397-08002B2CF9AE}" pid="3" name="bibliography">
    <vt:lpwstr>C:\Users\ZENOHA~1\AppData\Local\Temp\tmpxsse7k1x\refs.bib</vt:lpwstr>
  </property>
  <property fmtid="{D5CDD505-2E9C-101B-9397-08002B2CF9AE}" pid="4" name="csl">
    <vt:lpwstr>C:\Users\ZENOHA~1\AppData\Local\Temp\tmpxsse7k1x\ieee.csl</vt:lpwstr>
  </property>
</Properties>
</file>