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left"/>
      </w:pPr>
      <w:r>
        <w:rPr>
          <w:rFonts w:ascii="Calibri" w:hAnsi="Calibri" w:eastAsia="Calibri"/>
          <w:b/>
          <w:sz w:val="40"/>
        </w:rPr>
        <w:t>Alicia Moreno</w:t>
      </w:r>
    </w:p>
    <w:p>
      <w:r>
        <w:rPr>
          <w:rFonts w:ascii="Calibri" w:hAnsi="Calibri" w:eastAsia="Calibri"/>
          <w:b w:val="0"/>
          <w:color w:val="2F80ED"/>
          <w:sz w:val="24"/>
        </w:rPr>
        <w:t>Consultora SAP SD</w:t>
      </w:r>
    </w:p>
    <w:p>
      <w:r>
        <w:rPr>
          <w:rFonts w:ascii="Calibri" w:hAnsi="Calibri" w:eastAsia="Calibri"/>
          <w:b w:val="0"/>
          <w:sz w:val="21"/>
        </w:rPr>
        <w:t>aliciaaz.moreno76@gmail.com | 978452631 | Magdalena del Mar - Lima</w:t>
      </w:r>
    </w:p>
    <w:p>
      <w:pPr>
        <w:jc w:val="right"/>
      </w:pPr>
      <w:r>
        <w:drawing>
          <wp:inline xmlns:a="http://schemas.openxmlformats.org/drawingml/2006/main" xmlns:pic="http://schemas.openxmlformats.org/drawingml/2006/picture">
            <wp:extent cx="1260000" cy="126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icia_moren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RESUMEN PROFESIONAL</w:t>
      </w:r>
    </w:p>
    <w:p>
      <w:pPr>
        <w:spacing w:after="80"/>
      </w:pPr>
      <w:r>
        <w:rPr>
          <w:rFonts w:ascii="Calibri" w:hAnsi="Calibri" w:eastAsia="Calibri"/>
          <w:b w:val="0"/>
          <w:sz w:val="22"/>
        </w:rPr>
        <w:t>Consultora SAP SD con 9+ años, especialista en pricing complejo, rebates y devoluciones; mejora de exactitud de facturación y satisfacción del cliente.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EXPERIENCIA PROFESIONAL</w:t>
      </w:r>
    </w:p>
    <w:p>
      <w:r>
        <w:rPr>
          <w:rFonts w:ascii="Calibri" w:hAnsi="Calibri" w:eastAsia="Calibri"/>
          <w:b/>
          <w:sz w:val="23"/>
        </w:rPr>
        <w:t>Consultora SAP SD – Grupo Gloria | 2023 – Actualidad</w:t>
      </w:r>
    </w:p>
    <w:p>
      <w:r>
        <w:rPr>
          <w:rFonts w:ascii="Calibri" w:hAnsi="Calibri" w:eastAsia="Calibri"/>
          <w:b w:val="0"/>
          <w:sz w:val="20"/>
        </w:rPr>
        <w:t>Lima / Alimentos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Exactitud de facturación al 99% con validaciones previas a billing.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Rebates automatizados, reduciendo ajustes manuales en 50%.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ATP con reaprovisionamiento elevó fill rate en 16%.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Configuración de pricing y escalas por canal.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Optimización de procesos OTC end-to-end.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Gestión de devoluciones y notas de crédito.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S/4HANA Sales upgrade 2023.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Integración SD ↔ TM para costos de flete.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KPIs OTC en Fiori.</w:t>
      </w:r>
    </w:p>
    <w:p>
      <w:r>
        <w:rPr>
          <w:rFonts w:ascii="Calibri" w:hAnsi="Calibri" w:eastAsia="Calibri"/>
          <w:b/>
          <w:sz w:val="23"/>
        </w:rPr>
        <w:t>Consultora SAP SD – Alicorp | 2021 – 2023</w:t>
      </w:r>
    </w:p>
    <w:p>
      <w:r>
        <w:rPr>
          <w:rFonts w:ascii="Calibri" w:hAnsi="Calibri" w:eastAsia="Calibri"/>
          <w:b w:val="0"/>
          <w:sz w:val="20"/>
        </w:rPr>
        <w:t>Lima / Consumo Masivo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Reducción del ciclo pedido-entrega en 27%.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Disminución de reclamos por precios en 38%.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Adopción de apps Fiori OTC al 85% del equipo.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Determinación de impuestos y cuentas.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Backorder processing y reglas de sustitución.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Soporte UAT e hiper-care.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Promociones y descuentos por segmento.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Interfaz SD ↔ eCommerce.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Automatización de devoluciones.</w:t>
      </w:r>
    </w:p>
    <w:p>
      <w:r>
        <w:rPr>
          <w:rFonts w:ascii="Calibri" w:hAnsi="Calibri" w:eastAsia="Calibri"/>
          <w:b/>
          <w:sz w:val="23"/>
        </w:rPr>
        <w:t>Consultora SAP SD – Telefónica | 2019 – 2021</w:t>
      </w:r>
    </w:p>
    <w:p>
      <w:r>
        <w:rPr>
          <w:rFonts w:ascii="Calibri" w:hAnsi="Calibri" w:eastAsia="Calibri"/>
          <w:b w:val="0"/>
          <w:sz w:val="20"/>
        </w:rPr>
        <w:t>Lima / Telecomunicaciones</w:t>
      </w:r>
    </w:p>
    <w:p>
      <w:r>
        <w:rPr>
          <w:rFonts w:ascii="Calibri" w:hAnsi="Calibri" w:eastAsia="Calibri"/>
          <w:b/>
          <w:sz w:val="21"/>
        </w:rPr>
        <w:t>Logros: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Reducción del tiempo de activación en 29%.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Split de facturas por servicio sin errores (99.5% exactitud).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NPS +9 puntos tras simplificación OTC.</w:t>
      </w:r>
    </w:p>
    <w:p>
      <w:r>
        <w:rPr>
          <w:rFonts w:ascii="Calibri" w:hAnsi="Calibri" w:eastAsia="Calibri"/>
          <w:b/>
          <w:sz w:val="21"/>
        </w:rPr>
        <w:t>Actividades: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Modelado de bundles y servicios.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Determinación contable por centro de beneficio.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Capacitación a ventas/postventa.</w:t>
      </w:r>
    </w:p>
    <w:p>
      <w:r>
        <w:rPr>
          <w:rFonts w:ascii="Calibri" w:hAnsi="Calibri" w:eastAsia="Calibri"/>
          <w:b/>
          <w:sz w:val="21"/>
        </w:rPr>
        <w:t>Proyectos: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Órdenes digitales integradas con BTP.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Pricing dinámico por campaña.</w:t>
      </w:r>
    </w:p>
    <w:p>
      <w:pPr>
        <w:pStyle w:val="ListBullet"/>
        <w:spacing w:after="40"/>
        <w:ind w:left="283"/>
      </w:pPr>
      <w:r>
        <w:rPr>
          <w:rFonts w:ascii="Calibri" w:hAnsi="Calibri" w:eastAsia="Calibri"/>
          <w:b w:val="0"/>
          <w:sz w:val="21"/>
        </w:rPr>
        <w:t>Facturación por hitos de servicio.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EDUCACIÓN</w:t>
      </w:r>
    </w:p>
    <w:p>
      <w:r>
        <w:rPr>
          <w:rFonts w:ascii="Calibri" w:hAnsi="Calibri" w:eastAsia="Calibri"/>
          <w:b/>
          <w:sz w:val="23"/>
        </w:rPr>
        <w:t>Ingeniería de Sistemas – Universidad Tecnológica del Perú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CERTIFICACIONES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SAP Certified Associate – SAP S/4HANA Sales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HABILIDADES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SD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Pricing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OTC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Rebates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Fiori OTC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Integración SD-MM-FI</w:t>
      </w:r>
    </w:p>
    <w:p>
      <w:pPr>
        <w:spacing w:before="320" w:after="80"/>
        <w:pBdr>
          <w:bottom w:val="single" w:sz="10" w:space="5" w:color="2F80ED"/>
        </w:pBdr>
      </w:pPr>
      <w:r>
        <w:rPr>
          <w:rFonts w:ascii="Calibri" w:hAnsi="Calibri" w:eastAsia="Calibri"/>
          <w:b/>
          <w:sz w:val="24"/>
        </w:rPr>
        <w:t>IDIOMAS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Español: Nativo</w:t>
      </w:r>
    </w:p>
    <w:p>
      <w:pPr>
        <w:pStyle w:val="ListBullet"/>
        <w:spacing w:after="40"/>
        <w:ind w:left="227"/>
      </w:pPr>
      <w:r>
        <w:rPr>
          <w:rFonts w:ascii="Calibri" w:hAnsi="Calibri" w:eastAsia="Calibri"/>
          <w:b w:val="0"/>
          <w:sz w:val="21"/>
        </w:rPr>
        <w:t>Inglés: Intermedio</w:t>
      </w:r>
    </w:p>
    <w:sectPr w:rsidR="00FC693F" w:rsidRPr="0006063C" w:rsidSect="00034616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