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Felipe Cano</w:t>
      </w:r>
    </w:p>
    <w:p>
      <w:r>
        <w:rPr>
          <w:rFonts w:ascii="Calibri" w:hAnsi="Calibri" w:eastAsia="Calibri"/>
          <w:b w:val="0"/>
          <w:color w:val="2F80ED"/>
          <w:sz w:val="24"/>
        </w:rPr>
        <w:t>Consultor SAP FI</w:t>
      </w:r>
    </w:p>
    <w:p>
      <w:r>
        <w:rPr>
          <w:rFonts w:ascii="Calibri" w:hAnsi="Calibri" w:eastAsia="Calibri"/>
          <w:b w:val="0"/>
          <w:sz w:val="21"/>
        </w:rPr>
        <w:t>felipeee.cano34@gmail.com | 956128743 | Lurín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lipe_can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 SAP FI con 8+ años, experto en cierres, conciliaciones bancarias y automatización de pagos; orientación a control y cumplimiento.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 SAP FI – Grupo Gloria | 2023 – Actualidad</w:t>
      </w:r>
    </w:p>
    <w:p>
      <w:r>
        <w:rPr>
          <w:rFonts w:ascii="Calibri" w:hAnsi="Calibri" w:eastAsia="Calibri"/>
          <w:b w:val="0"/>
          <w:sz w:val="20"/>
        </w:rPr>
        <w:t>Lima / Alimentos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Cierre de D+7 a D+3 con calendarización y jobs automáticos.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diferencias bancarias en 58% con match rules.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Reporte NIIF en Fiori con 100% de adopción en finanzas.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Parametrización New GL, segmentación y ledger paralelo.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conciliaciones y pagos masivos.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Diseño de catálogos contables y controles SOX.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S/4HANA 2022 Finance upgrade.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bancos (MT940/ISO20022).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KPIs financieros en Fiori.</w:t>
      </w:r>
    </w:p>
    <w:p>
      <w:r>
        <w:rPr>
          <w:rFonts w:ascii="Calibri" w:hAnsi="Calibri" w:eastAsia="Calibri"/>
          <w:b/>
          <w:sz w:val="23"/>
        </w:rPr>
        <w:t>Consultor SAP FI – Repsol | 2021 – 2023</w:t>
      </w:r>
    </w:p>
    <w:p>
      <w:r>
        <w:rPr>
          <w:rFonts w:ascii="Calibri" w:hAnsi="Calibri" w:eastAsia="Calibri"/>
          <w:b w:val="0"/>
          <w:sz w:val="20"/>
        </w:rPr>
        <w:t>Lima / Energía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pagos, reduciendo incidencias en 40%.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provisiones periódicas en 100% de sociedades.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Disminución de manual journal entries en 35%.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Configuración AP/AR/AA e impuestos locales.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Reportes financieros con drilldown.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Soporte a auditorías externas.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Implementación de BCM y workflows de aprobación.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FI ↔ CO para centros de beneficio.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Data quality y gobierno de datos contables.</w:t>
      </w:r>
    </w:p>
    <w:p>
      <w:r>
        <w:rPr>
          <w:rFonts w:ascii="Calibri" w:hAnsi="Calibri" w:eastAsia="Calibri"/>
          <w:b/>
          <w:sz w:val="23"/>
        </w:rPr>
        <w:t>Consultor SAP FI – Calidda | 2019 – 2021</w:t>
      </w:r>
    </w:p>
    <w:p>
      <w:r>
        <w:rPr>
          <w:rFonts w:ascii="Calibri" w:hAnsi="Calibri" w:eastAsia="Calibri"/>
          <w:b w:val="0"/>
          <w:sz w:val="20"/>
        </w:rPr>
        <w:t>Lima / Energía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tiempos de conciliación en 60%.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Mejoras en reporting NIIF con cierres parciales.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Cumplimiento fiscal sin hallazgos críticos.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Parametrización de extractos y reglas.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Determinación de cuentas e impuestos.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Capacitación a contabilidad y tesorería.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Proyecto de cierres continuos mensual/semanal.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plataformas bancarias.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contabilizaciones periódicas.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Economía – Universidad de Piura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Associate – SAP S/4HANA Financial Accounting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FI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New GL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Conciliaciones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Pagos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IFRS/NIIF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Fiori Finance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