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detailed explanations of design features through concise documentation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interpersonal skills and consistently reviewed as a team player who likes challenges and accountability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9 years in Scouting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3x1kr7asrv0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students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gameplay systems, AI, and levels while leading 11 other engineers in the creation and implementation of these systems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6 others to create a  first-person game in 48 hours themed around the concept of Duality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1v54etgg3tn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Transferred to receive a more difficult education with a direct focus on game design.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Economy Balancing, and scripting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Scouts BSA</w:t>
            </w:r>
            <w:r w:rsidDel="00000000" w:rsidR="00000000" w:rsidRPr="00000000">
              <w:rPr>
                <w:rtl w:val="0"/>
              </w:rPr>
              <w:t xml:space="preserve">  - Eagle 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