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360" w:val="left"/>
        </w:tabs>
      </w:pPr>
      <w:r>
        <w:rPr>
          <w:rFonts w:ascii="Consolas" w:hAnsi="Consolas"/>
          <w:color w:val="5C6B66"/>
          <w:sz w:val="18"/>
        </w:rPr>
        <w:t>CASE STUDY / SARASLABS</w:t>
        <w:tab/>
      </w:r>
      <w:r>
        <w:rPr>
          <w:rFonts w:ascii="Consolas" w:hAnsi="Consolas"/>
          <w:color w:val="5C6B66"/>
          <w:sz w:val="18"/>
        </w:rPr>
        <w:t>RECORD OPENED 2025 — ACTIVE</w:t>
      </w:r>
    </w:p>
    <w:p>
      <w:r>
        <w:rPr>
          <w:b/>
          <w:color w:val="B65B2E"/>
          <w:sz w:val="19"/>
        </w:rPr>
        <w:t>● Client: a higher-ed data &amp; transcript-services provider</w:t>
      </w:r>
    </w:p>
    <w:p>
      <w:pPr>
        <w:spacing w:before="200" w:after="200"/>
      </w:pPr>
      <w:r>
        <w:rPr>
          <w:rFonts w:ascii="Cambria" w:hAnsi="Cambria"/>
          <w:b/>
          <w:color w:val="10181F"/>
          <w:sz w:val="52"/>
        </w:rPr>
        <w:t>Rebuilding the account portal a whole customer base logs into</w:t>
      </w:r>
    </w:p>
    <w:p>
      <w:pPr>
        <w:spacing w:after="320"/>
      </w:pPr>
      <w:r>
        <w:rPr>
          <w:i/>
          <w:color w:val="3A4A44"/>
          <w:sz w:val="24"/>
        </w:rPr>
        <w:t>Our client runs transcript, transfer-articulation, and program-evaluation tools used across thousands of institutions. Its account portal sits in front of all of it — sign-up, identity, CRM records, support, and the community forum. We've been its engineering team for a year, on a continuous dev → qa → prod cadence, not a single hand-off project.</w:t>
      </w:r>
    </w:p>
    <w:p>
      <w:pPr>
        <w:spacing w:before="40" w:after="200"/>
        <w:pBdr>
          <w:bottom w:val="single" w:sz="6" w:space="1" w:color="D9D5C3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7F5EB"/>
          </w:tcPr>
          <w:p>
            <w:pPr>
              <w:spacing w:after="40"/>
            </w:pPr>
            <w:r>
              <w:rPr>
                <w:rFonts w:ascii="Cambria" w:hAnsi="Cambria"/>
                <w:b/>
                <w:color w:val="1D4D45"/>
                <w:sz w:val="22"/>
              </w:rPr>
              <w:t>Separate environments, kept honest</w:t>
            </w:r>
          </w:p>
          <w:p>
            <w:pPr>
              <w:spacing w:after="40"/>
            </w:pPr>
            <w:r>
              <w:rPr>
                <w:color w:val="5C6B66"/>
                <w:sz w:val="19"/>
              </w:rPr>
              <w:t>Dev, QA, and prod are isolated AWS accounts, not folders — nothing reaches production without passing through QA first.</w:t>
            </w:r>
          </w:p>
        </w:tc>
        <w:tc>
          <w:tcPr>
            <w:tcW w:type="dxa" w:w="4680"/>
            <w:shd w:val="clear" w:color="auto" w:fill="F7F5EB"/>
          </w:tcPr>
          <w:p>
            <w:pPr>
              <w:spacing w:after="40"/>
            </w:pPr>
            <w:r>
              <w:rPr>
                <w:rFonts w:ascii="Cambria" w:hAnsi="Cambria"/>
                <w:b/>
                <w:color w:val="1D4D45"/>
                <w:sz w:val="22"/>
              </w:rPr>
              <w:t>Infrastructure as code</w:t>
            </w:r>
          </w:p>
          <w:p>
            <w:pPr>
              <w:spacing w:after="40"/>
            </w:pPr>
            <w:r>
              <w:rPr>
                <w:color w:val="5C6B66"/>
                <w:sz w:val="19"/>
              </w:rPr>
              <w:t>The entire stack — API, functions, databases, auth — is defined in code, so every environment is reproducible and every change is reviewable.</w:t>
            </w:r>
          </w:p>
        </w:tc>
      </w:tr>
      <w:tr>
        <w:tc>
          <w:tcPr>
            <w:tcW w:type="dxa" w:w="4680"/>
            <w:shd w:val="clear" w:color="auto" w:fill="F7F5EB"/>
          </w:tcPr>
          <w:p>
            <w:pPr>
              <w:spacing w:after="40"/>
            </w:pPr>
            <w:r>
              <w:rPr>
                <w:rFonts w:ascii="Cambria" w:hAnsi="Cambria"/>
                <w:b/>
                <w:color w:val="1D4D45"/>
                <w:sz w:val="22"/>
              </w:rPr>
              <w:t>Continuous, not one-off</w:t>
            </w:r>
          </w:p>
          <w:p>
            <w:pPr>
              <w:spacing w:after="40"/>
            </w:pPr>
            <w:r>
              <w:rPr>
                <w:color w:val="5C6B66"/>
                <w:sz w:val="19"/>
              </w:rPr>
              <w:t>Still the same engineering team, still shipping on the same pipeline, more than a year into the relationship.</w:t>
            </w:r>
          </w:p>
        </w:tc>
        <w:tc>
          <w:tcPr>
            <w:tcW w:type="dxa" w:w="4680"/>
            <w:shd w:val="clear" w:color="auto" w:fill="F7F5EB"/>
          </w:tcPr>
          <w:p>
            <w:pPr>
              <w:spacing w:after="40"/>
            </w:pPr>
            <w:r>
              <w:rPr>
                <w:rFonts w:ascii="Cambria" w:hAnsi="Cambria"/>
                <w:b/>
                <w:color w:val="1D4D45"/>
                <w:sz w:val="22"/>
              </w:rPr>
              <w:t>Built to fail over</w:t>
            </w:r>
          </w:p>
          <w:p>
            <w:pPr>
              <w:spacing w:after="40"/>
            </w:pPr>
            <w:r>
              <w:rPr>
                <w:color w:val="5C6B66"/>
                <w:sz w:val="19"/>
              </w:rPr>
              <w:t>A standing disaster-recovery region with automated backups and a rehearsed, scripted failover — not a plan on a wiki page.</w:t>
            </w:r>
          </w:p>
        </w:tc>
      </w:tr>
    </w:tbl>
    <w:p>
      <w:pPr>
        <w:spacing w:after="80"/>
      </w:pPr>
    </w:p>
    <w:p>
      <w:pPr>
        <w:spacing w:before="400" w:after="120"/>
      </w:pPr>
      <w:r>
        <w:rPr>
          <w:rFonts w:ascii="Cambria" w:hAnsi="Cambria"/>
          <w:b/>
          <w:color w:val="10181F"/>
          <w:sz w:val="30"/>
        </w:rPr>
        <w:t>01  Starting point: a portal outgrowing its architecture</w:t>
      </w:r>
    </w:p>
    <w:p>
      <w:pPr>
        <w:spacing w:after="160"/>
      </w:pPr>
      <w:r>
        <w:rPr>
          <w:b w:val="0"/>
          <w:i w:val="0"/>
          <w:color w:val="3A4A44"/>
          <w:sz w:val="22"/>
        </w:rPr>
        <w:t>The portal handles account identity for our client's institutional customers, but the source of truth for those accounts lives in a separate CRM. Reconciling the two, while a support desk, a community forum, and a directory search all had to agree with each other, is where the engineering effort concentrated.</w:t>
      </w:r>
    </w:p>
    <w:p>
      <w:pPr>
        <w:pStyle w:val="ListBullet"/>
        <w:spacing w:after="120"/>
      </w:pPr>
      <w:r>
        <w:rPr>
          <w:b/>
          <w:color w:val="1D4D45"/>
        </w:rPr>
        <w:t xml:space="preserve">A modern, serverless foundation — </w:t>
      </w:r>
      <w:r>
        <w:rPr>
          <w:color w:val="3A4A44"/>
        </w:rPr>
        <w:t>the whole stack now scales on demand and provisions itself from code instead of manual setup.</w:t>
      </w:r>
    </w:p>
    <w:p>
      <w:pPr>
        <w:pStyle w:val="ListBullet"/>
        <w:spacing w:after="120"/>
      </w:pPr>
      <w:r>
        <w:rPr>
          <w:b/>
          <w:color w:val="1D4D45"/>
        </w:rPr>
        <w:t xml:space="preserve">A frontend that matches production — </w:t>
      </w:r>
      <w:r>
        <w:rPr>
          <w:color w:val="3A4A44"/>
        </w:rPr>
        <w:t>the customer-facing app runs on a current framework with an environment pipeline where what QA tests is exactly what ships.</w:t>
      </w:r>
    </w:p>
    <w:p>
      <w:pPr>
        <w:pStyle w:val="ListBullet"/>
        <w:spacing w:after="120"/>
      </w:pPr>
      <w:r>
        <w:rPr>
          <w:b/>
          <w:color w:val="1D4D45"/>
        </w:rPr>
        <w:t xml:space="preserve">Security reviewed and hardened — </w:t>
      </w:r>
      <w:r>
        <w:rPr>
          <w:color w:val="3A4A44"/>
        </w:rPr>
        <w:t>ongoing audits of authentication, session handling, and access control, with issues closed as they're found rather than left for later.</w:t>
      </w:r>
    </w:p>
    <w:p>
      <w:pPr>
        <w:pStyle w:val="ListBullet"/>
        <w:spacing w:after="120"/>
      </w:pPr>
      <w:r>
        <w:rPr>
          <w:b/>
          <w:color w:val="1D4D45"/>
        </w:rPr>
        <w:t xml:space="preserve">One source of truth for auth — </w:t>
      </w:r>
      <w:r>
        <w:rPr>
          <w:color w:val="3A4A44"/>
        </w:rPr>
        <w:t>login and session logic, once scattered across the app, now lives in a single place — fewer edge cases, easier to reason about, easier to extend.</w:t>
      </w:r>
    </w:p>
    <w:p>
      <w:pPr>
        <w:spacing w:before="40" w:after="200"/>
        <w:pBdr>
          <w:bottom w:val="single" w:sz="6" w:space="1" w:color="D9D5C3"/>
        </w:pBdr>
      </w:pPr>
    </w:p>
    <w:p>
      <w:pPr>
        <w:spacing w:before="320" w:after="120"/>
      </w:pPr>
      <w:r>
        <w:rPr>
          <w:rFonts w:ascii="Cambria" w:hAnsi="Cambria"/>
          <w:b/>
          <w:color w:val="10181F"/>
          <w:sz w:val="30"/>
        </w:rPr>
        <w:t>02  Redesigning signup so staff, not the form, decide who gets an account</w:t>
      </w:r>
    </w:p>
    <w:p>
      <w:pPr>
        <w:spacing w:after="160"/>
      </w:pPr>
      <w:r>
        <w:rPr>
          <w:b w:val="0"/>
          <w:i w:val="0"/>
          <w:color w:val="3A4A44"/>
          <w:sz w:val="22"/>
        </w:rPr>
        <w:t>The original flow wrote to the CRM the moment someone signed up, before anyone had confirmed they belonged where they claimed. We redesigned the process end to end — a lightweight signup, a staff review step with the tools to verify and correct details, and a single, deliberate point where an account is approved and the CRM is updated. The result is fewer duplicate records, a real checkpoint before access is granted, and a workflow staff actually trust.</w:t>
      </w:r>
    </w:p>
    <w:p>
      <w:pPr>
        <w:spacing w:before="40" w:after="200"/>
        <w:pBdr>
          <w:bottom w:val="single" w:sz="6" w:space="1" w:color="D9D5C3"/>
        </w:pBdr>
      </w:pPr>
    </w:p>
    <w:p>
      <w:pPr>
        <w:spacing w:before="320" w:after="120"/>
      </w:pPr>
      <w:r>
        <w:rPr>
          <w:rFonts w:ascii="Cambria" w:hAnsi="Cambria"/>
          <w:b/>
          <w:color w:val="10181F"/>
          <w:sz w:val="30"/>
        </w:rPr>
        <w:t>03  What shipped</w:t>
      </w:r>
    </w:p>
    <w:p>
      <w:pPr>
        <w:spacing w:after="200"/>
      </w:pPr>
      <w:r>
        <w:rPr>
          <w:b w:val="0"/>
          <w:i w:val="0"/>
          <w:color w:val="3A4A44"/>
          <w:sz w:val="22"/>
        </w:rPr>
        <w:t>A sample of the ground covered over the engagement.</w:t>
      </w:r>
    </w:p>
    <w:p>
      <w:pPr>
        <w:spacing w:before="120" w:after="40"/>
      </w:pPr>
      <w:r>
        <w:rPr>
          <w:rFonts w:ascii="Consolas" w:hAnsi="Consolas"/>
          <w:b/>
          <w:color w:val="5C6B66"/>
          <w:sz w:val="17"/>
        </w:rPr>
        <w:t xml:space="preserve">SYNC  </w:t>
      </w:r>
      <w:r>
        <w:rPr>
          <w:rFonts w:ascii="Cambria" w:hAnsi="Cambria"/>
          <w:b/>
          <w:color w:val="10181F"/>
          <w:sz w:val="24"/>
        </w:rPr>
        <w:t>Reliable, two-way CRM sync</w:t>
      </w:r>
    </w:p>
    <w:p>
      <w:pPr>
        <w:spacing w:after="200"/>
      </w:pPr>
      <w:r>
        <w:rPr>
          <w:color w:val="3A4A44"/>
          <w:sz w:val="21"/>
        </w:rPr>
        <w:t>Account and contact data stays consistent between the portal and the CRM automatically, with the edge cases — duplicates, partial matches, legacy records — handled instead of ignored.</w:t>
      </w:r>
    </w:p>
    <w:p>
      <w:pPr>
        <w:spacing w:before="120" w:after="40"/>
      </w:pPr>
      <w:r>
        <w:rPr>
          <w:rFonts w:ascii="Consolas" w:hAnsi="Consolas"/>
          <w:b/>
          <w:color w:val="5C6B66"/>
          <w:sz w:val="17"/>
        </w:rPr>
        <w:t xml:space="preserve">DIRECTORY  </w:t>
      </w:r>
      <w:r>
        <w:rPr>
          <w:rFonts w:ascii="Cambria" w:hAnsi="Cambria"/>
          <w:b/>
          <w:color w:val="10181F"/>
          <w:sz w:val="24"/>
        </w:rPr>
        <w:t>A search experience worth using</w:t>
      </w:r>
    </w:p>
    <w:p>
      <w:pPr>
        <w:spacing w:after="200"/>
      </w:pPr>
      <w:r>
        <w:rPr>
          <w:color w:val="3A4A44"/>
          <w:sz w:val="21"/>
        </w:rPr>
        <w:t>Institution and people search was redesigned around how staff actually look things up, with faster results and a cleaner, more informative result view.</w:t>
      </w:r>
    </w:p>
    <w:p>
      <w:pPr>
        <w:spacing w:before="120" w:after="40"/>
      </w:pPr>
      <w:r>
        <w:rPr>
          <w:rFonts w:ascii="Consolas" w:hAnsi="Consolas"/>
          <w:b/>
          <w:color w:val="5C6B66"/>
          <w:sz w:val="17"/>
        </w:rPr>
        <w:t xml:space="preserve">COMMUNITY  </w:t>
      </w:r>
      <w:r>
        <w:rPr>
          <w:rFonts w:ascii="Cambria" w:hAnsi="Cambria"/>
          <w:b/>
          <w:color w:val="10181F"/>
          <w:sz w:val="24"/>
        </w:rPr>
        <w:t>Single sign-on across products</w:t>
      </w:r>
    </w:p>
    <w:p>
      <w:pPr>
        <w:spacing w:after="200"/>
      </w:pPr>
      <w:r>
        <w:rPr>
          <w:color w:val="3A4A44"/>
          <w:sz w:val="21"/>
        </w:rPr>
        <w:t>One login now carries a customer into the community forum as well, with access there reflecting what that institution has actually licensed.</w:t>
      </w:r>
    </w:p>
    <w:p>
      <w:pPr>
        <w:spacing w:before="120" w:after="40"/>
      </w:pPr>
      <w:r>
        <w:rPr>
          <w:rFonts w:ascii="Consolas" w:hAnsi="Consolas"/>
          <w:b/>
          <w:color w:val="5C6B66"/>
          <w:sz w:val="17"/>
        </w:rPr>
        <w:t xml:space="preserve">RESILIENCE  </w:t>
      </w:r>
      <w:r>
        <w:rPr>
          <w:rFonts w:ascii="Cambria" w:hAnsi="Cambria"/>
          <w:b/>
          <w:color w:val="10181F"/>
          <w:sz w:val="24"/>
        </w:rPr>
        <w:t>A disaster-recovery plan that's rehearsed</w:t>
      </w:r>
    </w:p>
    <w:p>
      <w:pPr>
        <w:spacing w:after="200"/>
      </w:pPr>
      <w:r>
        <w:rPr>
          <w:color w:val="3A4A44"/>
          <w:sz w:val="21"/>
        </w:rPr>
        <w:t>A standing DR region, automated backups, and a documented failover procedure a new engineer could run — not something discovered for the first time during an outage.</w:t>
      </w:r>
    </w:p>
    <w:p>
      <w:pPr>
        <w:spacing w:before="120" w:after="40"/>
      </w:pPr>
      <w:r>
        <w:rPr>
          <w:rFonts w:ascii="Consolas" w:hAnsi="Consolas"/>
          <w:b/>
          <w:color w:val="5C6B66"/>
          <w:sz w:val="17"/>
        </w:rPr>
        <w:t xml:space="preserve">SUPPORT  </w:t>
      </w:r>
      <w:r>
        <w:rPr>
          <w:rFonts w:ascii="Cambria" w:hAnsi="Cambria"/>
          <w:b/>
          <w:color w:val="10181F"/>
          <w:sz w:val="24"/>
        </w:rPr>
        <w:t>A support experience that stays connected</w:t>
      </w:r>
    </w:p>
    <w:p>
      <w:pPr>
        <w:spacing w:after="200"/>
      </w:pPr>
      <w:r>
        <w:rPr>
          <w:color w:val="3A4A44"/>
          <w:sz w:val="21"/>
        </w:rPr>
        <w:t>Help-desk content and the app now link cleanly for logged-in and logged-out visitors alike — small friction removed from a high-traffic path.</w:t>
      </w:r>
    </w:p>
    <w:p>
      <w:pPr>
        <w:spacing w:before="40" w:after="200"/>
        <w:pBdr>
          <w:bottom w:val="single" w:sz="6" w:space="1" w:color="D9D5C3"/>
        </w:pBdr>
      </w:pPr>
    </w:p>
    <w:p>
      <w:pPr>
        <w:spacing w:before="320" w:after="120"/>
      </w:pPr>
      <w:r>
        <w:rPr>
          <w:rFonts w:ascii="Cambria" w:hAnsi="Cambria"/>
          <w:b/>
          <w:color w:val="10181F"/>
          <w:sz w:val="30"/>
        </w:rPr>
        <w:t>04  Still their team</w:t>
      </w:r>
    </w:p>
    <w:p>
      <w:pPr>
        <w:spacing w:after="160"/>
      </w:pPr>
      <w:r>
        <w:rPr>
          <w:b w:val="0"/>
          <w:i w:val="0"/>
          <w:color w:val="3A4A44"/>
          <w:sz w:val="22"/>
        </w:rPr>
        <w:t>This isn't a project we delivered and left. Our client has kept us on the portal continuously for over a year — through the platform rebuild, the SSO integration, the search redesign, and now the signup overhaul — shipping through the same dev, QA, and prod pipeline every week.</w:t>
      </w:r>
    </w:p>
    <w:p>
      <w:pPr>
        <w:spacing w:before="120" w:after="80"/>
        <w:ind w:left="432"/>
      </w:pPr>
      <w:r>
        <w:rPr>
          <w:rFonts w:ascii="Cambria" w:hAnsi="Cambria"/>
          <w:i/>
          <w:color w:val="10181F"/>
          <w:sz w:val="26"/>
        </w:rPr>
        <w:t>“The signup flow, CRM sync, and disaster-recovery posture were three separate problems when we started. A year in, they behave like one system — and the client keeps handing us the next one.”</w:t>
      </w:r>
    </w:p>
    <w:p>
      <w:pPr>
        <w:ind w:left="432"/>
      </w:pPr>
      <w:r>
        <w:rPr>
          <w:color w:val="5C6B66"/>
          <w:sz w:val="19"/>
        </w:rPr>
        <w:t>— Saraslabs engineering, on this retainer</w:t>
      </w:r>
    </w:p>
    <w:p>
      <w:pPr>
        <w:spacing w:before="40" w:after="200"/>
        <w:pBdr>
          <w:bottom w:val="single" w:sz="6" w:space="1" w:color="D9D5C3"/>
        </w:pBdr>
      </w:pPr>
    </w:p>
    <w:p>
      <w:pPr>
        <w:spacing w:before="120"/>
      </w:pPr>
      <w:r>
        <w:rPr>
          <w:color w:val="5C6B66"/>
          <w:sz w:val="18"/>
        </w:rPr>
        <w:t>Capabilities: cloud architecture · identity &amp; access · CRM integration · search · disaster recovery.        Recurring engagement · 2025–present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color w:val="1018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