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6B62"/>
          <w:sz w:val="18"/>
        </w:rPr>
        <w:t>CASE STUDY — CLINICAL MONITORING</w:t>
      </w:r>
    </w:p>
    <w:p>
      <w:pPr>
        <w:spacing w:before="40" w:after="200"/>
      </w:pPr>
      <w:r>
        <w:rPr>
          <w:rFonts w:ascii="Calibri" w:hAnsi="Calibri"/>
          <w:b/>
          <w:color w:val="12181F"/>
          <w:sz w:val="48"/>
        </w:rPr>
        <w:t>The quietest nursing station is the one running on a platform built to notice first.</w:t>
      </w:r>
    </w:p>
    <w:p>
      <w:pPr>
        <w:spacing w:after="160"/>
      </w:pPr>
      <w:r>
        <w:rPr>
          <w:i w:val="0"/>
          <w:color w:val="5B6470"/>
          <w:sz w:val="24"/>
        </w:rPr>
        <w:t>A multi-facility care provider was watching patients through disconnected monitors, paper rounds, and alerts that reached staff after a condition had already changed. Here's what happened after they moved patient monitoring and clinical response onto a single, real-time platform.</w:t>
      </w:r>
    </w:p>
    <w:tbl>
      <w:tblPr>
        <w:tblW w:type="auto" w:w="0"/>
        <w:jc w:val="left"/>
        <w:tblLook w:firstColumn="1" w:firstRow="1" w:lastColumn="0" w:lastRow="0" w:noHBand="0" w:noVBand="1" w:val="04A0"/>
      </w:tblPr>
      <w:tblGrid>
        <w:gridCol w:w="2880"/>
        <w:gridCol w:w="2880"/>
        <w:gridCol w:w="2880"/>
      </w:tblGrid>
      <w:tr>
        <w:tc>
          <w:tcPr>
            <w:tcW w:type="dxa" w:w="2880"/>
          </w:tcPr>
          <w:p>
            <w:r/>
            <w:r>
              <w:rPr>
                <w:b/>
                <w:color w:val="5B6470"/>
                <w:sz w:val="16"/>
              </w:rPr>
              <w:t>SECTOR</w:t>
            </w:r>
          </w:p>
          <w:p>
            <w:r>
              <w:rPr>
                <w:b/>
                <w:color w:val="12181F"/>
                <w:sz w:val="21"/>
              </w:rPr>
              <w:t>Healthcare &amp; Patient Monitoring</w:t>
            </w:r>
          </w:p>
        </w:tc>
        <w:tc>
          <w:tcPr>
            <w:tcW w:type="dxa" w:w="2880"/>
          </w:tcPr>
          <w:p>
            <w:r/>
            <w:r>
              <w:rPr>
                <w:b/>
                <w:color w:val="5B6470"/>
                <w:sz w:val="16"/>
              </w:rPr>
              <w:t>TEAM SIZE</w:t>
            </w:r>
          </w:p>
          <w:p>
            <w:r>
              <w:rPr>
                <w:b/>
                <w:color w:val="12181F"/>
                <w:sz w:val="21"/>
              </w:rPr>
              <w:t>40+ clinical &amp; care staff</w:t>
            </w:r>
          </w:p>
        </w:tc>
        <w:tc>
          <w:tcPr>
            <w:tcW w:type="dxa" w:w="2880"/>
          </w:tcPr>
          <w:p>
            <w:r/>
            <w:r>
              <w:rPr>
                <w:b/>
                <w:color w:val="5B6470"/>
                <w:sz w:val="16"/>
              </w:rPr>
              <w:t>ROLLOUT</w:t>
            </w:r>
          </w:p>
          <w:p>
            <w:r>
              <w:rPr>
                <w:b/>
                <w:color w:val="12181F"/>
                <w:sz w:val="21"/>
              </w:rPr>
              <w:t>6 weeks, zero disruption to care</w:t>
            </w:r>
          </w:p>
        </w:tc>
      </w:tr>
    </w:tbl>
    <w:p>
      <w:pPr>
        <w:spacing w:after="80"/>
      </w:pPr>
    </w:p>
    <w:p>
      <w:pPr>
        <w:spacing w:before="120" w:after="120"/>
        <w:pBdr>
          <w:bottom w:val="single" w:sz="6" w:space="1" w:color="DDD7C8"/>
        </w:pBdr>
      </w:pPr>
    </w:p>
    <w:tbl>
      <w:tblPr>
        <w:tblW w:type="auto" w:w="0"/>
        <w:jc w:val="center"/>
        <w:tblLook w:firstColumn="1" w:firstRow="1" w:lastColumn="0" w:lastRow="0" w:noHBand="0" w:noVBand="1" w:val="04A0"/>
      </w:tblPr>
      <w:tblGrid>
        <w:gridCol w:w="2160"/>
        <w:gridCol w:w="2160"/>
        <w:gridCol w:w="2160"/>
        <w:gridCol w:w="2160"/>
      </w:tblGrid>
      <w:tr>
        <w:tc>
          <w:tcPr>
            <w:tcW w:type="dxa" w:w="2160"/>
            <w:shd w:val="clear" w:fill="12181F"/>
          </w:tcPr>
          <w:p>
            <w:pPr>
              <w:jc w:val="center"/>
            </w:pPr>
            <w:r>
              <w:rPr>
                <w:b/>
                <w:color w:val="ECE7DA"/>
                <w:sz w:val="40"/>
              </w:rPr>
              <w:t>92%</w:t>
            </w:r>
          </w:p>
        </w:tc>
        <w:tc>
          <w:tcPr>
            <w:tcW w:type="dxa" w:w="2160"/>
            <w:shd w:val="clear" w:fill="12181F"/>
          </w:tcPr>
          <w:p>
            <w:pPr>
              <w:jc w:val="center"/>
            </w:pPr>
            <w:r>
              <w:rPr>
                <w:b/>
                <w:color w:val="ECE7DA"/>
                <w:sz w:val="40"/>
              </w:rPr>
              <w:t>3.4×</w:t>
            </w:r>
          </w:p>
        </w:tc>
        <w:tc>
          <w:tcPr>
            <w:tcW w:type="dxa" w:w="2160"/>
            <w:shd w:val="clear" w:fill="12181F"/>
          </w:tcPr>
          <w:p>
            <w:pPr>
              <w:jc w:val="center"/>
            </w:pPr>
            <w:r>
              <w:rPr>
                <w:b/>
                <w:color w:val="ECE7DA"/>
                <w:sz w:val="40"/>
              </w:rPr>
              <w:t>&lt;500ms</w:t>
            </w:r>
          </w:p>
        </w:tc>
        <w:tc>
          <w:tcPr>
            <w:tcW w:type="dxa" w:w="2160"/>
            <w:shd w:val="clear" w:fill="12181F"/>
          </w:tcPr>
          <w:p>
            <w:pPr>
              <w:jc w:val="center"/>
            </w:pPr>
            <w:r>
              <w:rPr>
                <w:b/>
                <w:color w:val="ECE7DA"/>
                <w:sz w:val="40"/>
              </w:rPr>
              <w:t>0</w:t>
            </w:r>
          </w:p>
        </w:tc>
      </w:tr>
      <w:tr>
        <w:tc>
          <w:tcPr>
            <w:tcW w:type="dxa" w:w="2160"/>
            <w:shd w:val="clear" w:fill="12181F"/>
          </w:tcPr>
          <w:p>
            <w:pPr>
              <w:jc w:val="center"/>
            </w:pPr>
            <w:r>
              <w:rPr>
                <w:color w:val="C9C3B4"/>
                <w:sz w:val="17"/>
              </w:rPr>
              <w:t>Faster time-to-alert on abnormal vitals</w:t>
            </w:r>
          </w:p>
        </w:tc>
        <w:tc>
          <w:tcPr>
            <w:tcW w:type="dxa" w:w="2160"/>
            <w:shd w:val="clear" w:fill="12181F"/>
          </w:tcPr>
          <w:p>
            <w:pPr>
              <w:jc w:val="center"/>
            </w:pPr>
            <w:r>
              <w:rPr>
                <w:color w:val="C9C3B4"/>
                <w:sz w:val="17"/>
              </w:rPr>
              <w:t>More patients monitored, same staffing</w:t>
            </w:r>
          </w:p>
        </w:tc>
        <w:tc>
          <w:tcPr>
            <w:tcW w:type="dxa" w:w="2160"/>
            <w:shd w:val="clear" w:fill="12181F"/>
          </w:tcPr>
          <w:p>
            <w:pPr>
              <w:jc w:val="center"/>
            </w:pPr>
            <w:r>
              <w:rPr>
                <w:color w:val="C9C3B4"/>
                <w:sz w:val="17"/>
              </w:rPr>
              <w:t>Median reading-to-dashboard latency</w:t>
            </w:r>
          </w:p>
        </w:tc>
        <w:tc>
          <w:tcPr>
            <w:tcW w:type="dxa" w:w="2160"/>
            <w:shd w:val="clear" w:fill="12181F"/>
          </w:tcPr>
          <w:p>
            <w:pPr>
              <w:jc w:val="center"/>
            </w:pPr>
            <w:r>
              <w:rPr>
                <w:color w:val="C9C3B4"/>
                <w:sz w:val="17"/>
              </w:rPr>
              <w:t>Missed critical alerts since go-live</w:t>
            </w:r>
          </w:p>
        </w:tc>
      </w:tr>
    </w:tbl>
    <w:p>
      <w:pPr>
        <w:spacing w:before="120" w:after="120"/>
        <w:pBdr>
          <w:bottom w:val="single" w:sz="6" w:space="1" w:color="DDD7C8"/>
        </w:pBdr>
      </w:pPr>
    </w:p>
    <w:p>
      <w:pPr>
        <w:spacing w:after="40"/>
      </w:pPr>
      <w:r>
        <w:rPr>
          <w:b/>
          <w:color w:val="146B62"/>
          <w:sz w:val="18"/>
        </w:rPr>
        <w:t>01 — THE PROBLEM</w:t>
      </w:r>
    </w:p>
    <w:p>
      <w:pPr>
        <w:spacing w:before="280" w:after="120"/>
      </w:pPr>
      <w:r>
        <w:rPr>
          <w:rFonts w:ascii="Calibri" w:hAnsi="Calibri"/>
          <w:b/>
          <w:color w:val="12181F"/>
          <w:sz w:val="32"/>
        </w:rPr>
        <w:t>Visibility that arrived too late to matter</w:t>
      </w:r>
    </w:p>
    <w:p>
      <w:pPr>
        <w:spacing w:after="160"/>
      </w:pPr>
      <w:r>
        <w:rPr>
          <w:i w:val="0"/>
          <w:color w:val="12181F"/>
          <w:sz w:val="22"/>
        </w:rPr>
        <w:t>Before the switch, the care team's picture of what was actually happening with their patients came from disconnected monitors, paper charting, and handoffs passed between shifts by memory more than by record.</w:t>
      </w:r>
    </w:p>
    <w:p>
      <w:pPr>
        <w:spacing w:after="160"/>
      </w:pPr>
      <w:r>
        <w:rPr>
          <w:i w:val="0"/>
          <w:color w:val="5B6470"/>
          <w:sz w:val="22"/>
        </w:rPr>
        <w:t>Vitals landed on a bedside screen and stayed there. Escalation thresholds lived in a binder someone updated by hand. Ward reports took a full shift to compile and were out of date before anyone read them. By the time a change in condition surfaced on a chart, the clinical cost had usually already been paid.</w:t>
      </w:r>
    </w:p>
    <w:p>
      <w:pPr>
        <w:pStyle w:val="ListBullet"/>
        <w:spacing w:after="80"/>
      </w:pPr>
      <w:r>
        <w:rPr>
          <w:color w:val="12181F"/>
          <w:sz w:val="22"/>
        </w:rPr>
        <w:t>Deterioration in a patient's condition lagged real-world change by hours, not minutes.</w:t>
      </w:r>
    </w:p>
    <w:p>
      <w:pPr>
        <w:pStyle w:val="ListBullet"/>
        <w:spacing w:after="80"/>
      </w:pPr>
      <w:r>
        <w:rPr>
          <w:color w:val="12181F"/>
          <w:sz w:val="22"/>
        </w:rPr>
        <w:t>No single source of truth for patient and ward assignment — coverage gaps went unnoticed.</w:t>
      </w:r>
    </w:p>
    <w:p>
      <w:pPr>
        <w:pStyle w:val="ListBullet"/>
        <w:spacing w:after="80"/>
      </w:pPr>
      <w:r>
        <w:rPr>
          <w:color w:val="12181F"/>
          <w:sz w:val="22"/>
        </w:rPr>
        <w:t>Adding a ward or facility meant adding the manual work required to watch it.</w:t>
      </w:r>
    </w:p>
    <w:p>
      <w:pPr>
        <w:spacing w:after="40"/>
      </w:pPr>
      <w:r>
        <w:rPr>
          <w:b/>
          <w:color w:val="146B62"/>
          <w:sz w:val="18"/>
        </w:rPr>
        <w:t>02 — THE SHIFT</w:t>
      </w:r>
    </w:p>
    <w:p>
      <w:pPr>
        <w:spacing w:before="280" w:after="120"/>
      </w:pPr>
      <w:r>
        <w:rPr>
          <w:rFonts w:ascii="Calibri" w:hAnsi="Calibri"/>
          <w:b/>
          <w:color w:val="12181F"/>
          <w:sz w:val="32"/>
        </w:rPr>
        <w:t>One platform, one live picture</w:t>
      </w:r>
    </w:p>
    <w:p>
      <w:pPr>
        <w:spacing w:after="160"/>
      </w:pPr>
      <w:r>
        <w:rPr>
          <w:i w:val="0"/>
          <w:color w:val="12181F"/>
          <w:sz w:val="22"/>
        </w:rPr>
        <w:t>The team consolidated everything — vitals ingestion, ward and patient hierarchy, escalation rules, alerting, and reporting — onto one platform. Not as a bolt-on dashboard, but as the clinical backbone underneath how the care team actually works.</w:t>
      </w:r>
    </w:p>
    <w:p>
      <w:pPr>
        <w:spacing w:after="160"/>
      </w:pPr>
      <w:r>
        <w:rPr>
          <w:i w:val="0"/>
          <w:color w:val="5B6470"/>
          <w:sz w:val="22"/>
        </w:rPr>
        <w:t>What used to be an end-of-shift handoff became a live stream. What used to require a nurse cross-referencing a binder became a rule that fires the moment a vital sign crosses a threshold — routed automatically to the right clinician, on the right ward, for the right patient.</w:t>
      </w:r>
    </w:p>
    <w:tbl>
      <w:tblPr>
        <w:tblW w:type="auto" w:w="0"/>
        <w:jc w:val="left"/>
        <w:tblLook w:firstColumn="1" w:firstRow="1" w:lastColumn="0" w:lastRow="0" w:noHBand="0" w:noVBand="1" w:val="04A0"/>
      </w:tblPr>
      <w:tblGrid>
        <w:gridCol w:w="4320"/>
        <w:gridCol w:w="4320"/>
      </w:tblGrid>
      <w:tr>
        <w:tc>
          <w:tcPr>
            <w:tcW w:type="dxa" w:w="4320"/>
          </w:tcPr>
          <w:p>
            <w:r>
              <w:rPr>
                <w:b/>
                <w:color w:val="5B6470"/>
                <w:sz w:val="19"/>
              </w:rPr>
              <w:t>BEFORE</w:t>
            </w:r>
          </w:p>
        </w:tc>
        <w:tc>
          <w:tcPr>
            <w:tcW w:type="dxa" w:w="4320"/>
          </w:tcPr>
          <w:p>
            <w:r>
              <w:rPr>
                <w:b/>
                <w:color w:val="5B6470"/>
                <w:sz w:val="19"/>
              </w:rPr>
              <w:t>WITH THE PLATFORM</w:t>
            </w:r>
          </w:p>
        </w:tc>
      </w:tr>
      <w:tr>
        <w:tc>
          <w:tcPr>
            <w:tcW w:type="dxa" w:w="4320"/>
          </w:tcPr>
          <w:p>
            <w:r>
              <w:rPr>
                <w:sz w:val="20"/>
              </w:rPr>
              <w:t>Manual shift reporting, hours stale</w:t>
            </w:r>
          </w:p>
        </w:tc>
        <w:tc>
          <w:tcPr>
            <w:tcW w:type="dxa" w:w="4320"/>
          </w:tcPr>
          <w:p>
            <w:r>
              <w:rPr>
                <w:b w:val="0"/>
                <w:color w:val="12181F"/>
                <w:sz w:val="20"/>
              </w:rPr>
              <w:t>Live reporting, generated on demand</w:t>
            </w:r>
          </w:p>
        </w:tc>
      </w:tr>
      <w:tr>
        <w:tc>
          <w:tcPr>
            <w:tcW w:type="dxa" w:w="4320"/>
          </w:tcPr>
          <w:p>
            <w:r>
              <w:rPr>
                <w:sz w:val="20"/>
              </w:rPr>
              <w:t>Escalation thresholds maintained by hand, prone to drift</w:t>
            </w:r>
          </w:p>
        </w:tc>
        <w:tc>
          <w:tcPr>
            <w:tcW w:type="dxa" w:w="4320"/>
          </w:tcPr>
          <w:p>
            <w:r>
              <w:rPr>
                <w:b w:val="0"/>
                <w:color w:val="12181F"/>
                <w:sz w:val="20"/>
              </w:rPr>
              <w:t>Thresholds evaluated continuously, in real time</w:t>
            </w:r>
          </w:p>
        </w:tc>
      </w:tr>
      <w:tr>
        <w:tc>
          <w:tcPr>
            <w:tcW w:type="dxa" w:w="4320"/>
          </w:tcPr>
          <w:p>
            <w:r>
              <w:rPr>
                <w:sz w:val="20"/>
              </w:rPr>
              <w:t>Patient-to-ward assignment tracked on paper</w:t>
            </w:r>
          </w:p>
        </w:tc>
        <w:tc>
          <w:tcPr>
            <w:tcW w:type="dxa" w:w="4320"/>
          </w:tcPr>
          <w:p>
            <w:r>
              <w:rPr>
                <w:b w:val="0"/>
                <w:color w:val="12181F"/>
                <w:sz w:val="20"/>
              </w:rPr>
              <w:t>Hierarchy-aware routing, always current</w:t>
            </w:r>
          </w:p>
        </w:tc>
      </w:tr>
      <w:tr>
        <w:tc>
          <w:tcPr>
            <w:tcW w:type="dxa" w:w="4320"/>
          </w:tcPr>
          <w:p>
            <w:r>
              <w:rPr>
                <w:sz w:val="20"/>
              </w:rPr>
              <w:t>Adding a ward meant adding headcount</w:t>
            </w:r>
          </w:p>
        </w:tc>
        <w:tc>
          <w:tcPr>
            <w:tcW w:type="dxa" w:w="4320"/>
          </w:tcPr>
          <w:p>
            <w:r>
              <w:rPr>
                <w:b w:val="0"/>
                <w:color w:val="12181F"/>
                <w:sz w:val="20"/>
              </w:rPr>
              <w:t>Adding a ward is a configuration, not a project</w:t>
            </w:r>
          </w:p>
        </w:tc>
      </w:tr>
    </w:tbl>
    <w:p>
      <w:pPr>
        <w:spacing w:after="40"/>
      </w:pPr>
      <w:r>
        <w:rPr>
          <w:b/>
          <w:color w:val="146B62"/>
          <w:sz w:val="18"/>
        </w:rPr>
        <w:t>03 — UNDERNEATH</w:t>
      </w:r>
    </w:p>
    <w:p>
      <w:pPr>
        <w:spacing w:before="320" w:after="120"/>
      </w:pPr>
      <w:r>
        <w:rPr>
          <w:rFonts w:ascii="Calibri" w:hAnsi="Calibri"/>
          <w:b/>
          <w:color w:val="12181F"/>
          <w:sz w:val="32"/>
        </w:rPr>
        <w:t>Built from scratch for clinical, real-time, and compliant by design</w:t>
      </w:r>
    </w:p>
    <w:p>
      <w:pPr>
        <w:spacing w:after="160"/>
      </w:pPr>
      <w:r>
        <w:rPr>
          <w:i w:val="0"/>
          <w:color w:val="12181F"/>
          <w:sz w:val="22"/>
        </w:rPr>
        <w:t>This wasn't a generic monitoring tool with a healthcare skin applied. It was engineered from the ground up for the way care teams actually need data to move — instantly, accurately, and under the regulatory weight that patient data carries.</w:t>
      </w:r>
    </w:p>
    <w:p>
      <w:pPr>
        <w:spacing w:before="160" w:after="40"/>
      </w:pPr>
      <w:r>
        <w:rPr>
          <w:b/>
          <w:color w:val="146B62"/>
          <w:sz w:val="18"/>
        </w:rPr>
        <w:t xml:space="preserve">01  </w:t>
      </w:r>
      <w:r>
        <w:rPr>
          <w:b/>
          <w:color w:val="12181F"/>
          <w:sz w:val="23"/>
        </w:rPr>
        <w:t>Real-time by architecture, not by polling</w:t>
      </w:r>
    </w:p>
    <w:p>
      <w:pPr>
        <w:spacing w:after="80"/>
      </w:pPr>
      <w:r>
        <w:rPr>
          <w:i w:val="0"/>
          <w:color w:val="5B6470"/>
          <w:sz w:val="20"/>
        </w:rPr>
        <w:t>Vitals and device readings stream in continuously and reach a dashboard or an alert in under half a second — not on a refresh cycle, not on a batch job.</w:t>
      </w:r>
    </w:p>
    <w:p>
      <w:pPr>
        <w:spacing w:before="160" w:after="40"/>
      </w:pPr>
      <w:r>
        <w:rPr>
          <w:b/>
          <w:color w:val="146B62"/>
          <w:sz w:val="18"/>
        </w:rPr>
        <w:t xml:space="preserve">02  </w:t>
      </w:r>
      <w:r>
        <w:rPr>
          <w:b/>
          <w:color w:val="12181F"/>
          <w:sz w:val="23"/>
        </w:rPr>
        <w:t>Built in-house, end to end</w:t>
      </w:r>
    </w:p>
    <w:p>
      <w:pPr>
        <w:spacing w:after="80"/>
      </w:pPr>
      <w:r>
        <w:rPr>
          <w:i w:val="0"/>
          <w:color w:val="5B6470"/>
          <w:sz w:val="20"/>
        </w:rPr>
        <w:t>Ingestion, hierarchy, rules engine, alerting, and reporting were all built as one system from the start, so nothing is stitched together from third-party dashboards.</w:t>
      </w:r>
    </w:p>
    <w:p>
      <w:pPr>
        <w:spacing w:before="160" w:after="40"/>
      </w:pPr>
      <w:r>
        <w:rPr>
          <w:b/>
          <w:color w:val="146B62"/>
          <w:sz w:val="18"/>
        </w:rPr>
        <w:t xml:space="preserve">03  </w:t>
      </w:r>
      <w:r>
        <w:rPr>
          <w:b/>
          <w:color w:val="12181F"/>
          <w:sz w:val="23"/>
        </w:rPr>
        <w:t>Compliant by design</w:t>
      </w:r>
    </w:p>
    <w:p>
      <w:pPr>
        <w:spacing w:after="80"/>
      </w:pPr>
      <w:r>
        <w:rPr>
          <w:i w:val="0"/>
          <w:color w:val="5B6470"/>
          <w:sz w:val="20"/>
        </w:rPr>
        <w:t>Encryption in transit and at rest, full audit trails on every reading and every access, and access controls aligned with healthcare data protection standards from day one.</w:t>
      </w:r>
    </w:p>
    <w:p>
      <w:pPr>
        <w:spacing w:before="160" w:after="40"/>
      </w:pPr>
      <w:r>
        <w:rPr>
          <w:b/>
          <w:color w:val="146B62"/>
          <w:sz w:val="18"/>
        </w:rPr>
        <w:t xml:space="preserve">04  </w:t>
      </w:r>
      <w:r>
        <w:rPr>
          <w:b/>
          <w:color w:val="12181F"/>
          <w:sz w:val="23"/>
        </w:rPr>
        <w:t>Hierarchy-aware routing</w:t>
      </w:r>
    </w:p>
    <w:p>
      <w:pPr>
        <w:spacing w:after="80"/>
      </w:pPr>
      <w:r>
        <w:rPr>
          <w:i w:val="0"/>
          <w:color w:val="5B6470"/>
          <w:sz w:val="20"/>
        </w:rPr>
        <w:t>Every patient, ward, and facility lives in a single structure, so an alert always reaches the right clinician without manual reassignment.</w:t>
      </w:r>
    </w:p>
    <w:p>
      <w:pPr>
        <w:spacing w:before="160" w:after="40"/>
      </w:pPr>
      <w:r>
        <w:rPr>
          <w:b/>
          <w:color w:val="146B62"/>
          <w:sz w:val="18"/>
        </w:rPr>
        <w:t xml:space="preserve">05  </w:t>
      </w:r>
      <w:r>
        <w:rPr>
          <w:b/>
          <w:color w:val="12181F"/>
          <w:sz w:val="23"/>
        </w:rPr>
        <w:t>Configurable clinical rules</w:t>
      </w:r>
    </w:p>
    <w:p>
      <w:pPr>
        <w:spacing w:after="80"/>
      </w:pPr>
      <w:r>
        <w:rPr>
          <w:i w:val="0"/>
          <w:color w:val="5B6470"/>
          <w:sz w:val="20"/>
        </w:rPr>
        <w:t>Thresholds and escalation logic are set per patient or ward and evaluated continuously — no spreadsheet or binder to keep in sync.</w:t>
      </w:r>
    </w:p>
    <w:p>
      <w:pPr>
        <w:spacing w:before="160" w:after="40"/>
      </w:pPr>
      <w:r>
        <w:rPr>
          <w:b/>
          <w:color w:val="146B62"/>
          <w:sz w:val="18"/>
        </w:rPr>
        <w:t xml:space="preserve">06  </w:t>
      </w:r>
      <w:r>
        <w:rPr>
          <w:b/>
          <w:color w:val="12181F"/>
          <w:sz w:val="23"/>
        </w:rPr>
        <w:t>Scales without adding headcount</w:t>
      </w:r>
    </w:p>
    <w:p>
      <w:pPr>
        <w:spacing w:after="80"/>
      </w:pPr>
      <w:r>
        <w:rPr>
          <w:i w:val="0"/>
          <w:color w:val="5B6470"/>
          <w:sz w:val="20"/>
        </w:rPr>
        <w:t>Onboarding a new ward or facility is configuration, not integration work — the platform was built to grow with the care network, not slow it down.</w:t>
      </w:r>
    </w:p>
    <w:p>
      <w:pPr>
        <w:spacing w:after="40"/>
      </w:pPr>
      <w:r>
        <w:rPr>
          <w:b/>
          <w:color w:val="146B62"/>
          <w:sz w:val="18"/>
        </w:rPr>
        <w:t>04 — ROLLOUT</w:t>
      </w:r>
    </w:p>
    <w:p>
      <w:pPr>
        <w:spacing w:before="320" w:after="120"/>
      </w:pPr>
      <w:r>
        <w:rPr>
          <w:rFonts w:ascii="Calibri" w:hAnsi="Calibri"/>
          <w:b/>
          <w:color w:val="12181F"/>
          <w:sz w:val="32"/>
        </w:rPr>
        <w:t>Six weeks, no disruption to live operations</w:t>
      </w:r>
    </w:p>
    <w:p>
      <w:pPr>
        <w:spacing w:after="160"/>
      </w:pPr>
      <w:r>
        <w:rPr>
          <w:i w:val="0"/>
          <w:color w:val="5B6470"/>
          <w:sz w:val="22"/>
        </w:rPr>
        <w:t>Migration ran alongside the legacy setup rather than replacing it outright — every reading, every patient record, every ward assignment was carried across and validated before a single clinician's workflow changed.</w:t>
      </w:r>
    </w:p>
    <w:p>
      <w:pPr>
        <w:spacing w:before="120" w:after="0"/>
      </w:pPr>
      <w:r>
        <w:rPr>
          <w:b/>
          <w:color w:val="146B62"/>
          <w:sz w:val="19"/>
        </w:rPr>
        <w:t xml:space="preserve">Wk 1–2   </w:t>
      </w:r>
      <w:r>
        <w:rPr>
          <w:b/>
          <w:color w:val="12181F"/>
          <w:sz w:val="22"/>
        </w:rPr>
        <w:t>Ward &amp; patient hierarchy migration</w:t>
      </w:r>
    </w:p>
    <w:p>
      <w:pPr>
        <w:spacing w:after="80"/>
      </w:pPr>
      <w:r>
        <w:rPr>
          <w:i w:val="0"/>
          <w:color w:val="5B6470"/>
          <w:sz w:val="20"/>
        </w:rPr>
        <w:t>Facilities, wards, and patient assignments moved and reconciled against existing records.</w:t>
      </w:r>
    </w:p>
    <w:p>
      <w:pPr>
        <w:spacing w:before="120" w:after="0"/>
      </w:pPr>
      <w:r>
        <w:rPr>
          <w:b/>
          <w:color w:val="146B62"/>
          <w:sz w:val="19"/>
        </w:rPr>
        <w:t xml:space="preserve">Wk 3–4   </w:t>
      </w:r>
      <w:r>
        <w:rPr>
          <w:b/>
          <w:color w:val="12181F"/>
          <w:sz w:val="22"/>
        </w:rPr>
        <w:t>Parallel-run monitoring</w:t>
      </w:r>
    </w:p>
    <w:p>
      <w:pPr>
        <w:spacing w:after="80"/>
      </w:pPr>
      <w:r>
        <w:rPr>
          <w:i w:val="0"/>
          <w:color w:val="5B6470"/>
          <w:sz w:val="20"/>
        </w:rPr>
        <w:t>Live vitals flowed into both systems simultaneously; discrepancies were caught, not guessed at.</w:t>
      </w:r>
    </w:p>
    <w:p>
      <w:pPr>
        <w:spacing w:before="120" w:after="0"/>
      </w:pPr>
      <w:r>
        <w:rPr>
          <w:b/>
          <w:color w:val="146B62"/>
          <w:sz w:val="19"/>
        </w:rPr>
        <w:t xml:space="preserve">Wk 5   </w:t>
      </w:r>
      <w:r>
        <w:rPr>
          <w:b/>
          <w:color w:val="12181F"/>
          <w:sz w:val="22"/>
        </w:rPr>
        <w:t>Escalation &amp; routing cutover</w:t>
      </w:r>
    </w:p>
    <w:p>
      <w:pPr>
        <w:spacing w:after="80"/>
      </w:pPr>
      <w:r>
        <w:rPr>
          <w:i w:val="0"/>
          <w:color w:val="5B6470"/>
          <w:sz w:val="20"/>
        </w:rPr>
        <w:t>Clinical alert logic rebuilt natively on the platform and validated against a full incident history.</w:t>
      </w:r>
    </w:p>
    <w:p>
      <w:pPr>
        <w:spacing w:before="120" w:after="0"/>
      </w:pPr>
      <w:r>
        <w:rPr>
          <w:b/>
          <w:color w:val="146B62"/>
          <w:sz w:val="19"/>
        </w:rPr>
        <w:t xml:space="preserve">Wk 6   </w:t>
      </w:r>
      <w:r>
        <w:rPr>
          <w:b/>
          <w:color w:val="12181F"/>
          <w:sz w:val="22"/>
        </w:rPr>
        <w:t>Legacy retirement</w:t>
      </w:r>
    </w:p>
    <w:p>
      <w:pPr>
        <w:spacing w:after="80"/>
      </w:pPr>
      <w:r>
        <w:rPr>
          <w:i w:val="0"/>
          <w:color w:val="5B6470"/>
          <w:sz w:val="20"/>
        </w:rPr>
        <w:t>Old monitors and paper rounds retired. One system of record remained.</w:t>
      </w:r>
    </w:p>
    <w:p>
      <w:pPr>
        <w:spacing w:after="40"/>
      </w:pPr>
      <w:r>
        <w:rPr>
          <w:b/>
          <w:color w:val="146B62"/>
          <w:sz w:val="18"/>
        </w:rPr>
        <w:t>05 — IN THEIR WORDS</w:t>
      </w:r>
    </w:p>
    <w:p>
      <w:pPr>
        <w:spacing w:before="200" w:after="80"/>
      </w:pPr>
      <w:r>
        <w:rPr>
          <w:i/>
          <w:color w:val="12181F"/>
          <w:sz w:val="26"/>
        </w:rPr>
        <w:t>“We stopped finding out about a change in a patient's condition from a call to the nursing station. Now we find out from the system, before it becomes a call. That's the whole difference — it's not that we have more data, it's that we finally trust the data we have.”</w:t>
      </w:r>
    </w:p>
    <w:p>
      <w:pPr>
        <w:spacing w:after="160"/>
      </w:pPr>
      <w:r>
        <w:rPr>
          <w:i w:val="0"/>
          <w:color w:val="5B6470"/>
          <w:sz w:val="18"/>
        </w:rPr>
        <w:t>DIRECTOR OF NURSING — Composite account, patient monitoring deployment</w:t>
      </w:r>
    </w:p>
    <w:p>
      <w:pPr>
        <w:spacing w:before="120" w:after="120"/>
        <w:pBdr>
          <w:bottom w:val="single" w:sz="6" w:space="1" w:color="DDD7C8"/>
        </w:pBdr>
      </w:pPr>
    </w:p>
    <w:p>
      <w:pPr>
        <w:spacing w:before="280" w:after="120"/>
      </w:pPr>
      <w:r>
        <w:rPr>
          <w:rFonts w:ascii="Calibri" w:hAnsi="Calibri"/>
          <w:b/>
          <w:color w:val="12181F"/>
          <w:sz w:val="30"/>
        </w:rPr>
        <w:t>Built for the teams who can't afford to find out late.</w:t>
      </w:r>
    </w:p>
    <w:p>
      <w:pPr>
        <w:spacing w:after="160"/>
      </w:pPr>
      <w:r>
        <w:rPr>
          <w:i w:val="0"/>
          <w:color w:val="5B6470"/>
          <w:sz w:val="22"/>
        </w:rPr>
        <w:t>This case study reflects a composite of outcomes typical across deployments of the platform. If your care team is still stitching visibility together from disconnected monitors and paper rounds, let's talk about what one system, run in real time, looks like for you.</w:t>
      </w:r>
    </w:p>
    <w:p>
      <w:pPr>
        <w:spacing w:before="280"/>
      </w:pPr>
      <w:r>
        <w:rPr>
          <w:i/>
          <w:color w:val="5B6470"/>
          <w:sz w:val="17"/>
        </w:rPr>
        <w:t>Figures presented are illustrative, based on aggregated patterns observed across deployments of comparable scale, and are provided to represent typical impact rather than a single verified client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218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