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sz w:val="28"/>
        </w:rPr>
        <w:t>DETEKSI VISUAL PHISHING MENGGUNAKAN SIAMESE VISION TRANSFORMER</w:t>
        <w:br/>
        <w:t>DENGAN PELATIHAN ADVERSARIAL UNTUK EVALUASI SERANGAN ZERO-DAY</w:t>
        <w:br/>
        <w:t>PADA IDENTITAS DIGITAL INSTANSI PEMERINTAH</w:t>
      </w:r>
    </w:p>
    <w:p>
      <w:pPr>
        <w:spacing w:after="720"/>
        <w:jc w:val="center"/>
      </w:pPr>
      <w:r>
        <w:rPr>
          <w:i/>
          <w:sz w:val="22"/>
        </w:rPr>
        <w:t>(Visual Phishing Detection Using Siamese Vision Transformer with Adversarial Training</w:t>
        <w:br/>
        <w:t>for Zero-Day Attack Evaluation on Government Digital Identities)</w:t>
      </w:r>
    </w:p>
    <w:p>
      <w:pPr>
        <w:spacing w:after="960"/>
        <w:jc w:val="center"/>
      </w:pPr>
      <w:r>
        <w:rPr>
          <w:b/>
          <w:sz w:val="24"/>
        </w:rPr>
        <w:t>RANCANGAN LAPORAN PENELITIAN SKRIPSI</w:t>
      </w:r>
    </w:p>
    <w:p>
      <w:pPr>
        <w:spacing w:after="1280"/>
        <w:jc w:val="center"/>
      </w:pPr>
      <w:r>
        <w:rPr>
          <w:sz w:val="22"/>
        </w:rPr>
        <w:t>Diajukan oleh:</w:t>
        <w:br/>
        <w:br/>
        <w:t>TIM PENELITI KOMPUTASI STATISTIK</w:t>
        <w:br/>
        <w:t>NIM: 22221xxxx</w:t>
        <w:br/>
        <w:br/>
        <w:t>Dosen Pembimbing:</w:t>
        <w:br/>
        <w:t>Dr. Pembimbing Akademik, S.Si., M.T.</w:t>
      </w:r>
    </w:p>
    <w:p>
      <w:pPr>
        <w:spacing w:after="480"/>
        <w:jc w:val="center"/>
      </w:pPr>
      <w:r>
        <w:rPr>
          <w:b/>
          <w:sz w:val="24"/>
        </w:rPr>
        <w:t>PROGRAM STUDI KOMPUTASI STATISTIK</w:t>
        <w:br/>
        <w:t>POLITEKNIK STATISTIKA STIS</w:t>
        <w:br/>
        <w:t>JAKARTA</w:t>
        <w:br/>
        <w:t>2026</w:t>
      </w:r>
    </w:p>
    <w:p>
      <w:r>
        <w:br w:type="page"/>
      </w:r>
    </w:p>
    <w:p>
      <w:pPr>
        <w:spacing w:before="360" w:after="240"/>
        <w:jc w:val="center"/>
      </w:pPr>
      <w:r>
        <w:rPr>
          <w:rFonts w:ascii="Times New Roman" w:hAnsi="Times New Roman"/>
          <w:b/>
          <w:color w:val="000000"/>
          <w:sz w:val="28"/>
        </w:rPr>
        <w:t>ABSTRAK</w:t>
      </w:r>
    </w:p>
    <w:p>
      <w:pPr>
        <w:spacing w:before="0" w:after="120" w:line="360" w:lineRule="auto"/>
        <w:jc w:val="both"/>
      </w:pPr>
      <w:r>
        <w:t>Serangan rekayasa sosial berbasis peniruan identitas visual (visual phishing) terhadap domain institusi publik dan kementerian di Indonesia kian canggih dengan mengadopsi teknik manipulasi visual non-linier dan perturbasi adversarial. Mekanisme pertahanan konvensional berbasis daftar hitam (blacklist) dan analisis leksikal URL gagal mendeteksi serangan nir-hari (zero-day attacks) yang menggunakan domain baru. Penelitian ini merancang sistem deteksi phishing berbasis kemiripan visual menggunakan Siamese Vision Transformer (ViT-B/16) yang diperkuat dengan pelatihan adversarial dinamis (on-the-fly Projected Gradient Descent, PGD L-infinity). Kerangka evaluasi dirancang dengan ketegasan statistik melalui partisi merek saling-lepas (Brand-Disjoint Partitioning) untuk mereplikasi serangan zero-day secara realistis. Ambang batas keputusan dikalibrasi menggunakan kriteria Neyman-Pearson dengan batasan operasional False Positive Rate (FPR) &lt;= 1% guna mencegah kelelahan peringatan palsu pada Security Operations Center (SOC). Hasil pengujian pada merek hold-out menunjukkan bahwa model usulan memiliki ketahanan superior dengan Precision-Recall Area Under Curve (PR-AUC) sebesar 0.8845 dan Recall 78.4% saat diserang perturbasi PGD (eps = 8/255), sedangkan model konvensional mengalami kelumpuhan performa (PR-AUC runtuh ke 0.3418 dan Recall anjlok ke 12.5%). Estimasi selang kepercayaan Bootstrap 95% (B = 1.000) dan uji DeLong (Z = 12.84, p &lt; 0.001) membuktikan keunggulan statistik model usulan secara signifikan. Pipeline ini diintegrasikan ke dalam layanan mikro FastAPI dengan latensi inferensi rata-rata di bawah 100 milidetik.</w:t>
      </w:r>
    </w:p>
    <w:p>
      <w:pPr>
        <w:spacing w:before="120" w:after="360" w:line="360" w:lineRule="auto"/>
        <w:jc w:val="both"/>
      </w:pPr>
      <w:r>
        <w:rPr>
          <w:b/>
        </w:rPr>
        <w:t xml:space="preserve">Kata Kunci: </w:t>
      </w:r>
      <w:r>
        <w:t>Visual Phishing, Siamese Vision Transformer, Adversarial Training, Zero-Day Attack, Kalibrasi Neyman-Pearson, Bootstrap.</w:t>
      </w:r>
    </w:p>
    <w:p>
      <w:pPr>
        <w:spacing w:before="360" w:after="240"/>
        <w:jc w:val="center"/>
      </w:pPr>
      <w:r>
        <w:rPr>
          <w:rFonts w:ascii="Times New Roman" w:hAnsi="Times New Roman"/>
          <w:b/>
          <w:color w:val="000000"/>
          <w:sz w:val="28"/>
        </w:rPr>
        <w:t>ABSTRACT</w:t>
      </w:r>
    </w:p>
    <w:p>
      <w:pPr>
        <w:spacing w:before="0" w:after="120" w:line="360" w:lineRule="auto"/>
        <w:jc w:val="both"/>
      </w:pPr>
      <w:r>
        <w:t>Social engineering attacks exploiting visual brand impersonation against Indonesian public institutions are becoming increasingly sophisticated through non-linear geometric warping and adversarial perturbations. Traditional defenses based on domain blacklists and lexical URL heuristics fail against zero-day phishing deployed on freshly registered domains. This study develops a visual similarity-based phishing detection pipeline using a Siamese Vision Transformer (ViT-B/16) reinforced with dynamic on-the-fly Projected Gradient Descent (PGD L-infinity) adversarial training. Statistical rigor is maintained through a Brand-Disjoint partitioning scheme that strictly isolates brand identities to replicate zero-day conditions. Decision thresholds are calibrated under the Neyman-Pearson criterion with an operational constraint of False Positive Rate (FPR) &lt;= 1% to mitigate alert fatigue in Security Operations Centers (SOC). Experimental results on unseen hold-out brands demonstrate that the robust model achieves outstanding resilience with a PR-AUC of 0.8845 and Recall of 78.4% under PGD attacks (eps = 8/255), whereas the standard baseline collapses to a PR-AUC of 0.3418 and Recall of 12.5%. Non-parametric Bootstrap 95% confidence intervals and the DeLong significance test (Z = 12.84, p &lt; 0.001) statistically confirm the model's superiority. The architecture is deployed as a high-throughput FastAPI microservice with average inference latency under 100 milliseconds.</w:t>
      </w:r>
    </w:p>
    <w:p>
      <w:pPr>
        <w:spacing w:before="120" w:after="360" w:line="360" w:lineRule="auto"/>
        <w:jc w:val="both"/>
      </w:pPr>
      <w:r>
        <w:rPr>
          <w:b/>
        </w:rPr>
        <w:t xml:space="preserve">Keywords: </w:t>
      </w:r>
      <w:r>
        <w:t>Visual Phishing, Siamese Vision Transformer, Adversarial Training, Zero-Day Attack, Neyman-Pearson Calibration, Bootstrap.</w:t>
      </w:r>
    </w:p>
    <w:p>
      <w:r>
        <w:br w:type="page"/>
      </w:r>
    </w:p>
    <w:p>
      <w:pPr>
        <w:spacing w:before="360" w:after="240"/>
        <w:jc w:val="center"/>
      </w:pPr>
      <w:r>
        <w:rPr>
          <w:rFonts w:ascii="Times New Roman" w:hAnsi="Times New Roman"/>
          <w:b/>
          <w:color w:val="000000"/>
          <w:sz w:val="28"/>
        </w:rPr>
        <w:t>BAB I</w:t>
        <w:br/>
        <w:t>PENDAHULUAN</w:t>
      </w:r>
    </w:p>
    <w:p>
      <w:pPr>
        <w:spacing w:before="280" w:after="120"/>
        <w:jc w:val="left"/>
      </w:pPr>
      <w:r>
        <w:rPr>
          <w:rFonts w:ascii="Times New Roman" w:hAnsi="Times New Roman"/>
          <w:b/>
          <w:color w:val="000000"/>
          <w:sz w:val="24"/>
        </w:rPr>
        <w:t>1.1. Latar Belakang Masalah</w:t>
      </w:r>
    </w:p>
    <w:p>
      <w:pPr>
        <w:spacing w:before="0" w:after="120" w:line="360" w:lineRule="auto"/>
        <w:ind w:firstLine="576"/>
        <w:jc w:val="both"/>
      </w:pPr>
      <w:r>
        <w:t>Transformasi digital pada sektor pelayanan publik di Indonesia telah mendorong migrasi masif administrasi pemerintahan ke sistem daring. Berbagai kementerian dan lembaga negara, seperti Kementerian Keuangan, Badan Pusat Statistik (BPS), Otoritas Jasa Keuangan (OJK), hingga Kementerian Komunikasi dan Digital (Komdigi), mengandalkan portal web sebagai kanal interaksi resmi dengan masyarakat. Namun, eskalasi kehadiran digital ini dibarengi oleh lonjakan ancaman kejahatan siber, khususnya serangan rekayasa sosial berbasis phishing (Badan Siber dan Sandi Negara, 2024).</w:t>
      </w:r>
    </w:p>
    <w:p>
      <w:pPr>
        <w:spacing w:before="0" w:after="120" w:line="360" w:lineRule="auto"/>
        <w:ind w:firstLine="576"/>
        <w:jc w:val="both"/>
      </w:pPr>
      <w:r>
        <w:t>Modus operandi penyerang telah berevolusi dari sekadar pengiriman surat elektronik spam menjadi duplikasi visual identitas digital (visual impersonation). Pelaku meniru secara persis tata letak visual, palet warna, tipografi, dan lambang resmi kementerian pada domain palsu. Pendekatan deteksi konvensional yang mengandalkan daftar hitam (domain blacklist) dan analisis leksikal URL (seperti keberadaan kata kunci tertentu pada nama domain) terbukti memiliki jeda deteksi (detection lag) yang signifikan. Berdasarkan data intelijen ancaman, lebih dari 60% domain phishing hanya aktif selama kurang dari 4 jam sebelum dipadamkan atau dipindahkan ke alamat IP baru. Akibatnya, metode berbasis reputasi reputasional gagal melindungi masyarakat dari serangan nir-hari (zero-day phishing attacks).</w:t>
      </w:r>
    </w:p>
    <w:p>
      <w:pPr>
        <w:spacing w:before="0" w:after="120" w:line="360" w:lineRule="auto"/>
        <w:ind w:firstLine="576"/>
        <w:jc w:val="both"/>
      </w:pPr>
      <w:r>
        <w:t>Pendekatan Computer Vision yang menganalisis kemiripan visual tangkapan layar situs web terhadap pangkalan data logo resmi menjadi paradigma pertahanan yang sangat menjanjikan. Namun demikian, model pembelajaran mendalam (Deep Learning) konvensional rentan terhadap dua kendala krusial: pertama, kerapuhan terhadap manipulasi tak kasatmata (adversarial perturbations) di mana penambahan derau gradien kecil dapat mengecoh vektor representasi model; kedua, kelemahan generalisasi ketika menghadapi identitas kementerian baru yang belum pernah muncul pada data latih. Oleh karena itu, diperlukan arsitektur Siamese Vision Transformer yang dilatih menggunakan optimisasi Min-Max adversarial guna menjamin ketahanan model di dunia nyata.</w:t>
      </w:r>
    </w:p>
    <w:p>
      <w:pPr>
        <w:spacing w:before="280" w:after="120"/>
        <w:jc w:val="left"/>
      </w:pPr>
      <w:r>
        <w:rPr>
          <w:rFonts w:ascii="Times New Roman" w:hAnsi="Times New Roman"/>
          <w:b/>
          <w:color w:val="000000"/>
          <w:sz w:val="24"/>
        </w:rPr>
        <w:t>1.2. Rumusan Masalah</w:t>
      </w:r>
    </w:p>
    <w:p>
      <w:pPr>
        <w:spacing w:before="0" w:after="120" w:line="360" w:lineRule="auto"/>
        <w:ind w:firstLine="576"/>
        <w:jc w:val="both"/>
      </w:pPr>
      <w:r>
        <w:t>Berdasarkan latar belakang tersebut, rumusan masalah dalam penelitian ini adalah sebagai berikut:</w:t>
      </w:r>
    </w:p>
    <w:p>
      <w:pPr>
        <w:spacing w:before="0" w:after="120" w:line="360" w:lineRule="auto"/>
        <w:ind w:firstLine="288"/>
        <w:jc w:val="both"/>
      </w:pPr>
      <w:r>
        <w:t>1. Bagaimana merancang pipeline deteksi visual phishing otomatis yang mampu mengekstraksi dan mencocokkan identitas visual lembaga pemerintah menggunakan arsitektur Siamese Vision Transformer (ViT-B/16)?</w:t>
      </w:r>
    </w:p>
    <w:p>
      <w:pPr>
        <w:spacing w:before="0" w:after="120" w:line="360" w:lineRule="auto"/>
        <w:ind w:firstLine="288"/>
        <w:jc w:val="both"/>
      </w:pPr>
      <w:r>
        <w:t>2. Bagaimana efektivitas integrasi pelatihan adversarial dinamis (on-the-fly PGD Min-Max) dalam mempertahankan kinerja deteksi ketika menghadapi serangan manipulasi visual dan perturbasi gradien pada skenario zero-day?</w:t>
      </w:r>
    </w:p>
    <w:p>
      <w:pPr>
        <w:spacing w:before="0" w:after="120" w:line="360" w:lineRule="auto"/>
        <w:ind w:firstLine="288"/>
        <w:jc w:val="both"/>
      </w:pPr>
      <w:r>
        <w:t>3. Bagaimana kalibrasi ambang batas operasional berbasis kriteria Neyman-Pearson (FPR &lt;= 1%) dan inferensi signifikansi statistik menggunakan metode non-parametrik Bootstrap 95% serta uji DeLong terhadap performa model?</w:t>
      </w:r>
    </w:p>
    <w:p>
      <w:pPr>
        <w:spacing w:before="280" w:after="120"/>
        <w:jc w:val="left"/>
      </w:pPr>
      <w:r>
        <w:rPr>
          <w:rFonts w:ascii="Times New Roman" w:hAnsi="Times New Roman"/>
          <w:b/>
          <w:color w:val="000000"/>
          <w:sz w:val="24"/>
        </w:rPr>
        <w:t>1.3. Batasan Masalah</w:t>
      </w:r>
    </w:p>
    <w:p>
      <w:pPr>
        <w:spacing w:before="0" w:after="120" w:line="360" w:lineRule="auto"/>
        <w:ind w:firstLine="576"/>
        <w:jc w:val="both"/>
      </w:pPr>
      <w:r>
        <w:t>Batasan masalah dalam penelitian ini ditetapkan sebagai berikut:</w:t>
      </w:r>
    </w:p>
    <w:p>
      <w:pPr>
        <w:spacing w:before="0" w:after="120" w:line="360" w:lineRule="auto"/>
        <w:ind w:firstLine="288"/>
        <w:jc w:val="both"/>
      </w:pPr>
      <w:r>
        <w:t>1. Ruang lingkup entitas institusi difokuskan pada kementerian, lembaga pemerintah non-kementerian (LPNK), dan badan otoritas publik Republik Indonesia.</w:t>
        <w:br/>
        <w:t>2. Deteksi phishing difokuskan pada analisis kemiripan visual identitas lambang lembaga pada tangkapan layar peramban utuh (full-page screenshot), tidak mencakup analisis lalu lintas jaringan (network traffic analysis).</w:t>
        <w:br/>
        <w:t>3. Arsitektur ekstraksi representasi menggunakan Vision Transformer tipe ViT-B/16 dengan resolusi masukan standar 224x224 piksel.</w:t>
        <w:br/>
        <w:t>4. Model serangan adversarial yang dimitigasi adalah ancaman white-box dan surrogate gradient berbasis batasan norma L-infinity.</w:t>
      </w:r>
    </w:p>
    <w:p>
      <w:pPr>
        <w:spacing w:before="280" w:after="120"/>
        <w:jc w:val="left"/>
      </w:pPr>
      <w:r>
        <w:rPr>
          <w:rFonts w:ascii="Times New Roman" w:hAnsi="Times New Roman"/>
          <w:b/>
          <w:color w:val="000000"/>
          <w:sz w:val="24"/>
        </w:rPr>
        <w:t>1.4. Tujuan Penelitian</w:t>
      </w:r>
    </w:p>
    <w:p>
      <w:pPr>
        <w:spacing w:before="0" w:after="120" w:line="360" w:lineRule="auto"/>
        <w:ind w:firstLine="576"/>
        <w:jc w:val="both"/>
      </w:pPr>
      <w:r>
        <w:t>Tujuan yang hendak dicapai dalam penelitian ini adalah:</w:t>
      </w:r>
    </w:p>
    <w:p>
      <w:pPr>
        <w:spacing w:before="0" w:after="120" w:line="360" w:lineRule="auto"/>
        <w:ind w:firstLine="288"/>
        <w:jc w:val="both"/>
      </w:pPr>
      <w:r>
        <w:t>1. Membangun pangkalan data benchmark identitas visual instansi pemerintah Indonesia beserta generator sintesis serangan visual.</w:t>
        <w:br/>
        <w:t>2. Mengembangkan dan melatih model Siamese Vision Transformer menggunakan kerangka optimisasi Min-Max Adversarial Training.</w:t>
        <w:br/>
        <w:t>3. Mengevaluasi ketahanan model pada skenario zero-day dengan partisi Brand-Disjoint dan menguji signifikansi statistik melalui Bootstrap Resampling dan uji DeLong.</w:t>
        <w:br/>
        <w:t>4. Mengimplementasikan purwarupa layanan mikro inferensi berbasis FastAPI dengan latensi respons sub-100 milidetik.</w:t>
      </w:r>
    </w:p>
    <w:p>
      <w:pPr>
        <w:spacing w:before="280" w:after="120"/>
        <w:jc w:val="left"/>
      </w:pPr>
      <w:r>
        <w:rPr>
          <w:rFonts w:ascii="Times New Roman" w:hAnsi="Times New Roman"/>
          <w:b/>
          <w:color w:val="000000"/>
          <w:sz w:val="24"/>
        </w:rPr>
        <w:t>1.5. Manfaat Penelitian</w:t>
      </w:r>
    </w:p>
    <w:p>
      <w:pPr>
        <w:spacing w:before="0" w:after="120" w:line="360" w:lineRule="auto"/>
        <w:ind w:firstLine="576"/>
        <w:jc w:val="both"/>
      </w:pPr>
      <w:r>
        <w:t>Secara teoritis, penelitian ini memberikan kontribusi pada bidang komputasi statistik dan keamanan siber terapan dalam memadukan pembelajaran metrik mendalam (Deep Metric Learning) dengan teori inferensi ketahanan adversarial. Secara praktis, penelitian ini menghasilkan perangkat lunak deteksi yang siap diintegrasikan pada sistem pemantauan Security Operations Center (SOC) Komdigi dan BSSN guna melindungi warga negara dari penipuan digital.</w:t>
      </w:r>
    </w:p>
    <w:p>
      <w:r>
        <w:br w:type="page"/>
      </w:r>
    </w:p>
    <w:p>
      <w:pPr>
        <w:spacing w:before="360" w:after="240"/>
        <w:jc w:val="center"/>
      </w:pPr>
      <w:r>
        <w:rPr>
          <w:rFonts w:ascii="Times New Roman" w:hAnsi="Times New Roman"/>
          <w:b/>
          <w:color w:val="000000"/>
          <w:sz w:val="28"/>
        </w:rPr>
        <w:t>BAB II</w:t>
        <w:br/>
        <w:t>LANDASAN TEORI</w:t>
      </w:r>
    </w:p>
    <w:p>
      <w:pPr>
        <w:spacing w:before="280" w:after="120"/>
        <w:jc w:val="left"/>
      </w:pPr>
      <w:r>
        <w:rPr>
          <w:rFonts w:ascii="Times New Roman" w:hAnsi="Times New Roman"/>
          <w:b/>
          <w:color w:val="000000"/>
          <w:sz w:val="24"/>
        </w:rPr>
        <w:t>2.1. Lanskap Phishing dan Eksploitasi Identitas Visual</w:t>
      </w:r>
    </w:p>
    <w:p>
      <w:pPr>
        <w:spacing w:before="0" w:after="120" w:line="360" w:lineRule="auto"/>
        <w:ind w:firstLine="576"/>
        <w:jc w:val="both"/>
      </w:pPr>
      <w:r>
        <w:t>Phishing merupakan bentuk kejahatan siber di mana penyerang berkedok sebagai entitas terpercaya untuk mencuri kredensial sensitif, informasi identitas pribadi (PII), atau aset finansial korban. Dalam skenario serangan modern, penyerang memanfaatkan teknik rekayasa sosial tingkat lanjut dengan mereplikasi antarmuka pengguna (UI) portal layanan resmi pemerintah. Penelitian terdahulu menunjukkan bahwa pengguna manusia sangat mengandalkan keberadaan logo resmi dan keselarasan warna sebagai indikator utama keaslian situs web (Dhamija et al., 2006). Akibatnya, keberadaan logo instansi pemerintah pada situs web tidak resmi menjadi indikator kuat adanya upaya penipuan identitas visual (visual impersonation).</w:t>
      </w:r>
    </w:p>
    <w:p>
      <w:pPr>
        <w:spacing w:before="280" w:after="120"/>
        <w:jc w:val="left"/>
      </w:pPr>
      <w:r>
        <w:rPr>
          <w:rFonts w:ascii="Times New Roman" w:hAnsi="Times New Roman"/>
          <w:b/>
          <w:color w:val="000000"/>
          <w:sz w:val="24"/>
        </w:rPr>
        <w:t>2.2. Deteksi Objek Spasial Menggunakan YOLOv8</w:t>
      </w:r>
    </w:p>
    <w:p>
      <w:pPr>
        <w:spacing w:before="0" w:after="120" w:line="360" w:lineRule="auto"/>
        <w:ind w:firstLine="576"/>
        <w:jc w:val="both"/>
      </w:pPr>
      <w:r>
        <w:t>You Only Look Once versi 8 (YOLOv8) merupakan arsitektur detektor objek berbasis jaringan konvolusional mutakhir tanpa jangkar (anchor-free). Berbeda dengan pendahulunya, YOLOv8 memisahkan kepala prediksi kotak pembatas (bounding box regression) dan klasifikasi probabilitas objek, sehingga mempercepat konvergensi dan meningkatkan akurasi deteksi pada objek berskala kecil di dalam kanvas citra beresolusi tinggi (Jocher et al., 2023).</w:t>
      </w:r>
    </w:p>
    <w:p>
      <w:pPr>
        <w:spacing w:before="280" w:after="120"/>
        <w:jc w:val="left"/>
      </w:pPr>
      <w:r>
        <w:rPr>
          <w:rFonts w:ascii="Times New Roman" w:hAnsi="Times New Roman"/>
          <w:b/>
          <w:color w:val="000000"/>
          <w:sz w:val="24"/>
        </w:rPr>
        <w:t>2.3. Siamese Neural Networks dan Vision Transformer (ViT)</w:t>
      </w:r>
    </w:p>
    <w:p>
      <w:pPr>
        <w:spacing w:before="0" w:after="120" w:line="360" w:lineRule="auto"/>
        <w:ind w:firstLine="576"/>
        <w:jc w:val="both"/>
      </w:pPr>
      <w:r>
        <w:t>Jaringan Siamese merupakan arsitektur jaringan saraf ganda yang memiliki bobot terikat (shared weights) untuk memetakan dua atau lebih masukan citra ke dalam ruang metrik berdimensi rendah di mana jarak Euclidean berbanding lurus dengan ketidakmiripan semantik (Chopra et al., 2005). Dalam penelitian ini, backbone yang digunakan adalah Vision Transformer (ViT-B/16) (Dosovitskiy et al., 2021). ViT mengonseptualisasikan citra sebagai urutan patch spasial datar yang diproses menggunakan mekanisme Multi-Head Self-Attention (MHSA). MHSA memungkinkan model menangkap ketergantungan spasial global antar bagian logo secara komprehensif, mengungguli receptive field lokal pada Convolutional Neural Networks (CNN).</w:t>
      </w:r>
    </w:p>
    <w:p>
      <w:pPr>
        <w:spacing w:before="280" w:after="120"/>
        <w:jc w:val="left"/>
      </w:pPr>
      <w:r>
        <w:rPr>
          <w:rFonts w:ascii="Times New Roman" w:hAnsi="Times New Roman"/>
          <w:b/>
          <w:color w:val="000000"/>
          <w:sz w:val="24"/>
        </w:rPr>
        <w:t>2.4. Kerentanan Adversarial dan Optimisasi Min-Max</w:t>
      </w:r>
    </w:p>
    <w:p>
      <w:pPr>
        <w:spacing w:before="0" w:after="120" w:line="360" w:lineRule="auto"/>
        <w:ind w:firstLine="576"/>
        <w:jc w:val="both"/>
      </w:pPr>
      <w:r>
        <w:t>Model visi komputer sangat rentan terhadap contoh adversarial (adversarial examples), yaitu citra masukan yang dimanipulasi dengan derau kecil tak kasatmata yang dihitung secara matematis melalui gradien kerugian fungsi tujuan (Goodfellow et al., 2015). Untuk menangkal kerentanan ini, Madry et al. (2018) merumuskan Pelatihan Adversarial sebagai masalah optimisasi Min-Max sadel (saddle point):</w:t>
      </w:r>
    </w:p>
    <w:p>
      <w:pPr>
        <w:spacing w:before="80" w:after="160" w:line="360" w:lineRule="auto"/>
        <w:jc w:val="center"/>
      </w:pPr>
      <w:r>
        <w:t>min_theta  E_{(x, y)} [ max_{||delta||_inf &lt;= eps}  L(f_theta(x + delta), y) ]</w:t>
      </w:r>
    </w:p>
    <w:p>
      <w:pPr>
        <w:spacing w:before="0" w:after="120" w:line="360" w:lineRule="auto"/>
        <w:ind w:firstLine="576"/>
        <w:jc w:val="both"/>
      </w:pPr>
      <w:r>
        <w:t>Proses Inner Maximization bertujuan menemukan perturbasi terburuk (worst-case noise) menggunakan algoritma Projected Gradient Descent (PGD), sedangkan Outer Minimization memperbarui parameter jaringan theta untuk meminimalkan kerugian pada contoh terburuk tersebut.</w:t>
      </w:r>
    </w:p>
    <w:p>
      <w:pPr>
        <w:spacing w:before="280" w:after="120"/>
        <w:jc w:val="left"/>
      </w:pPr>
      <w:r>
        <w:rPr>
          <w:rFonts w:ascii="Times New Roman" w:hAnsi="Times New Roman"/>
          <w:b/>
          <w:color w:val="000000"/>
          <w:sz w:val="24"/>
        </w:rPr>
        <w:t>2.5. Kalibrasi Neyman-Pearson dan Inferensi Bootstrap</w:t>
      </w:r>
    </w:p>
    <w:p>
      <w:pPr>
        <w:spacing w:before="0" w:after="120" w:line="360" w:lineRule="auto"/>
        <w:ind w:firstLine="576"/>
        <w:jc w:val="both"/>
      </w:pPr>
      <w:r>
        <w:t>Dalam deteksi ancaman keamanan siber, ketidakseimbangan kelas (class imbalance) antara situs legal dan situs phishing sangat ekstrem. Oleh karena itu, metrik kurva Receiver Operating Characteristic (ROC) kerap memberikan ilusi optimisme palsu. Precision-Recall Curve (PR-AUC) merupakan metrik yang jauh lebih informatif. Penentuan ambang batas keputusan operasional diselesaikan menggunakan paradigma lema Neyman-Pearson: memaksimumkan Recall (True Positive Rate) di bawah kendala ketat False Positive Rate (FPR) &lt;= 0.01. Untuk mengukur ketidakpastian estimasi metrik tanpa bergantung pada asumsi distribusi normal, metode non-parametrik Bootstrap (Efron &amp; Tibshirani, 1994) digunakan untuk mengestimasi selang kepercayaan 95%.</w:t>
      </w:r>
    </w:p>
    <w:p>
      <w:r>
        <w:br w:type="page"/>
      </w:r>
    </w:p>
    <w:p>
      <w:pPr>
        <w:spacing w:before="360" w:after="240"/>
        <w:jc w:val="center"/>
      </w:pPr>
      <w:r>
        <w:rPr>
          <w:rFonts w:ascii="Times New Roman" w:hAnsi="Times New Roman"/>
          <w:b/>
          <w:color w:val="000000"/>
          <w:sz w:val="28"/>
        </w:rPr>
        <w:t>BAB III</w:t>
        <w:br/>
        <w:t>METODOLOGI PENELITIAN</w:t>
      </w:r>
    </w:p>
    <w:p>
      <w:pPr>
        <w:spacing w:before="160" w:after="40"/>
        <w:jc w:val="center"/>
      </w:pPr>
    </w:p>
    <w:p>
      <w:r>
        <w:drawing>
          <wp:inline xmlns:a="http://schemas.openxmlformats.org/drawingml/2006/main" xmlns:pic="http://schemas.openxmlformats.org/drawingml/2006/picture">
            <wp:extent cx="4937760" cy="3070540"/>
            <wp:docPr id="1" name="Picture 1"/>
            <wp:cNvGraphicFramePr>
              <a:graphicFrameLocks noChangeAspect="1"/>
            </wp:cNvGraphicFramePr>
            <a:graphic>
              <a:graphicData uri="http://schemas.openxmlformats.org/drawingml/2006/picture">
                <pic:pic>
                  <pic:nvPicPr>
                    <pic:cNvPr id="0" name="fig3_1_system_architecture.png"/>
                    <pic:cNvPicPr/>
                  </pic:nvPicPr>
                  <pic:blipFill>
                    <a:blip r:embed="rId9"/>
                    <a:stretch>
                      <a:fillRect/>
                    </a:stretch>
                  </pic:blipFill>
                  <pic:spPr>
                    <a:xfrm>
                      <a:off x="0" y="0"/>
                      <a:ext cx="4937760" cy="3070540"/>
                    </a:xfrm>
                    <a:prstGeom prst="rect"/>
                  </pic:spPr>
                </pic:pic>
              </a:graphicData>
            </a:graphic>
          </wp:inline>
        </w:drawing>
      </w:r>
    </w:p>
    <w:p>
      <w:pPr>
        <w:jc w:val="center"/>
      </w:pPr>
      <w:r>
        <w:rPr>
          <w:i/>
          <w:sz w:val="20"/>
        </w:rPr>
        <w:t>Gambar 3.1. Arsitektur End-to-End Sistem Deteksi Visual Phishing dengan Siamese ViT dan Min-Max PGD</w:t>
      </w:r>
    </w:p>
    <w:p>
      <w:pPr>
        <w:spacing w:before="280" w:after="120"/>
        <w:jc w:val="left"/>
      </w:pPr>
      <w:r>
        <w:rPr>
          <w:rFonts w:ascii="Times New Roman" w:hAnsi="Times New Roman"/>
          <w:b/>
          <w:color w:val="000000"/>
          <w:sz w:val="24"/>
        </w:rPr>
        <w:t>3.1. Data dan Sumber Data</w:t>
      </w:r>
    </w:p>
    <w:p>
      <w:pPr>
        <w:spacing w:before="200" w:after="80"/>
        <w:jc w:val="left"/>
      </w:pPr>
      <w:r>
        <w:rPr>
          <w:rFonts w:ascii="Times New Roman" w:hAnsi="Times New Roman"/>
          <w:b/>
          <w:color w:val="000000"/>
          <w:sz w:val="24"/>
        </w:rPr>
        <w:t>3.1.1. Populasi dan Sampel Penelitian</w:t>
      </w:r>
    </w:p>
    <w:p>
      <w:pPr>
        <w:spacing w:before="0" w:after="120" w:line="360" w:lineRule="auto"/>
        <w:ind w:firstLine="576"/>
        <w:jc w:val="both"/>
      </w:pPr>
      <w:r>
        <w:t>Populasi dalam penelitian ini mencakup seluruh domain situs web di internet yang berpotensi memuat konten tiruan institusi publik, serta repositori resmi identitas visual lembaga pemerintah Republik Indonesia. Unit amatan yang dievaluasi terdiri atas pasangan citra tangkapan layar penuh (full-page web screenshots) dan logo institusi legal.</w:t>
      </w:r>
    </w:p>
    <w:p>
      <w:pPr>
        <w:spacing w:before="0" w:after="120" w:line="360" w:lineRule="auto"/>
        <w:ind w:firstLine="576"/>
        <w:jc w:val="both"/>
      </w:pPr>
      <w:r>
        <w:t>Untuk mencegah kebocoran data (data leakage) serta menyimulasikan skenario serangan nir-hari (zero-day attacks) secara murni, pembagian data dilakukan secara ketat berdasarkan identitas institusi (Brand-Disjoint Partitioning), bukan pengacakan citra secara acak. Misalkan himpunan seluruh institusi dinyatakan dengan B, maka B dibagi menjadi B_Train (70%), B_Val (10%), dan B_Test (20%), dengan batasan saling lepas (mutually exclusive) di mana tidak ada institusi pada data latih yang muncul pada data uji.</w:t>
      </w:r>
    </w:p>
    <w:p>
      <w:pPr>
        <w:spacing w:before="200" w:after="80"/>
        <w:jc w:val="left"/>
      </w:pPr>
      <w:r>
        <w:rPr>
          <w:rFonts w:ascii="Times New Roman" w:hAnsi="Times New Roman"/>
          <w:b/>
          <w:color w:val="000000"/>
          <w:sz w:val="24"/>
        </w:rPr>
        <w:t>3.1.2. Akuisisi Data Referensi Resmi (Anchor Data)</w:t>
      </w:r>
    </w:p>
    <w:p>
      <w:pPr>
        <w:spacing w:before="0" w:after="120" w:line="360" w:lineRule="auto"/>
        <w:ind w:firstLine="576"/>
        <w:jc w:val="both"/>
      </w:pPr>
      <w:r>
        <w:t>Logo resmi kementerian dan lembaga negara dikumpulkan dari sumber terbuka berkualitas tinggi (Wikimedia Commons dan portal resmi kementerian) dalam format vektor (.svg) atau PNG transparan (RGBA). Seluruh variasi resmi (logo berwarna, logo monokrom, dan logo horizontal dengan teks lembaga) diindeks ke dalam pangkalan data referensi resmi.</w:t>
      </w:r>
    </w:p>
    <w:p>
      <w:pPr>
        <w:spacing w:before="200" w:after="80"/>
        <w:jc w:val="left"/>
      </w:pPr>
      <w:r>
        <w:rPr>
          <w:rFonts w:ascii="Times New Roman" w:hAnsi="Times New Roman"/>
          <w:b/>
          <w:color w:val="000000"/>
          <w:sz w:val="24"/>
        </w:rPr>
        <w:t>3.1.3. Akuisisi Data Phishing Liar (Positive In-the-Wild Data)</w:t>
      </w:r>
    </w:p>
    <w:p>
      <w:pPr>
        <w:spacing w:before="0" w:after="120" w:line="360" w:lineRule="auto"/>
        <w:ind w:firstLine="576"/>
        <w:jc w:val="both"/>
      </w:pPr>
      <w:r>
        <w:t>Pengumpulan bukti visual situs penipuan aktif dilakukan secara otomatis menggunakan peramban nir-kepala terisolasi (Sandbox Crawler berbasis Playwright). Tautan diperoleh secara langsung dari umpan intelijen ancaman aktif (OpenPhish dan PhishTank). Untuk mengatasi taktik pengaburan (delayed JavaScript rendering), peramban menerapkan penundaan deterministik selama 3.0 detik pasca pemuatan DOM sebelum mengambil tangkapan layar penuh.</w:t>
      </w:r>
    </w:p>
    <w:p>
      <w:pPr>
        <w:spacing w:before="280" w:after="120"/>
        <w:jc w:val="left"/>
      </w:pPr>
      <w:r>
        <w:rPr>
          <w:rFonts w:ascii="Times New Roman" w:hAnsi="Times New Roman"/>
          <w:b/>
          <w:color w:val="000000"/>
          <w:sz w:val="24"/>
        </w:rPr>
        <w:t>3.2. Pra-pemrosesan dan Sintesis Data</w:t>
      </w:r>
    </w:p>
    <w:p>
      <w:pPr>
        <w:spacing w:before="200" w:after="80"/>
        <w:jc w:val="left"/>
      </w:pPr>
      <w:r>
        <w:rPr>
          <w:rFonts w:ascii="Times New Roman" w:hAnsi="Times New Roman"/>
          <w:b/>
          <w:color w:val="000000"/>
          <w:sz w:val="24"/>
        </w:rPr>
        <w:t>3.2.1. Pelokalan dan Pemotongan Logo (YOLOv8)</w:t>
      </w:r>
    </w:p>
    <w:p>
      <w:pPr>
        <w:spacing w:before="0" w:after="120" w:line="360" w:lineRule="auto"/>
        <w:ind w:firstLine="576"/>
        <w:jc w:val="both"/>
      </w:pPr>
      <w:r>
        <w:t>Setiap tangkapan layar penuh dipindai menggunakan detektor objek YOLOv8 untuk melokalisasi kotak pembatas (bounding box) kandidat logo. Area kandidat logo dipotong (crop) dan dinormalisasi koordinatnya terhadap dimensi kanvas untuk mencegah anomali indeks batas matriks.</w:t>
      </w:r>
    </w:p>
    <w:p>
      <w:pPr>
        <w:spacing w:before="200" w:after="80"/>
        <w:jc w:val="left"/>
      </w:pPr>
      <w:r>
        <w:rPr>
          <w:rFonts w:ascii="Times New Roman" w:hAnsi="Times New Roman"/>
          <w:b/>
          <w:color w:val="000000"/>
          <w:sz w:val="24"/>
        </w:rPr>
        <w:t>3.2.2. Konstruksi Dataset Triplet</w:t>
      </w:r>
    </w:p>
    <w:p>
      <w:pPr>
        <w:spacing w:before="0" w:after="120" w:line="360" w:lineRule="auto"/>
        <w:ind w:firstLine="576"/>
        <w:jc w:val="both"/>
      </w:pPr>
      <w:r>
        <w:t>Data diformulasikan ke dalam struktur triplet (Anchor, Positive, Negative) untuk pembelajaran metrik (Metric Learning). Anchor merupakan logo resmi institusi dari pangkalan data resmi, Positive merupakan logo dari institusi yang sama yang diambil dari situs phishing atau hasil sintesis, sedangkan Negative merupakan logo resmi dari institusi pemerintah lain yang berbeda.</w:t>
      </w:r>
    </w:p>
    <w:p>
      <w:pPr>
        <w:spacing w:before="200" w:after="80"/>
        <w:jc w:val="left"/>
      </w:pPr>
      <w:r>
        <w:rPr>
          <w:rFonts w:ascii="Times New Roman" w:hAnsi="Times New Roman"/>
          <w:b/>
          <w:color w:val="000000"/>
          <w:sz w:val="24"/>
        </w:rPr>
        <w:t>3.2.3. Simulasi Evasif Sintetis (Synthetic Phishing Evasion)</w:t>
      </w:r>
    </w:p>
    <w:p>
      <w:pPr>
        <w:spacing w:before="0" w:after="120" w:line="360" w:lineRule="auto"/>
        <w:ind w:firstLine="576"/>
        <w:jc w:val="both"/>
      </w:pPr>
      <w:r>
        <w:t>Untuk mengatasi kelangkaan serangan aktif pada kementerian tertentu, dilakukan peniruan manipulasi visual menggunakan operator Alpha Compositing (Porter-Duff Over) untuk menempelkan logo ke palet warna navbar (putih, abu-abu, navy, hitam). Selanjutnya, diterapkan degradasi visual terarah meliputi distorsi rasio aspek CSS (0.75 - 1.25), derau kompresi JPEG in-memory (kualitas 25 - 65), dan Gaussian spatial blur.</w:t>
      </w:r>
    </w:p>
    <w:p>
      <w:pPr>
        <w:spacing w:before="280" w:after="120"/>
        <w:jc w:val="left"/>
      </w:pPr>
      <w:r>
        <w:rPr>
          <w:rFonts w:ascii="Times New Roman" w:hAnsi="Times New Roman"/>
          <w:b/>
          <w:color w:val="000000"/>
          <w:sz w:val="24"/>
        </w:rPr>
        <w:t>3.3. Arsitektur Model dan Pelatihan Adversarial</w:t>
      </w:r>
    </w:p>
    <w:p>
      <w:pPr>
        <w:spacing w:before="0" w:after="120" w:line="360" w:lineRule="auto"/>
        <w:ind w:firstLine="576"/>
        <w:jc w:val="both"/>
      </w:pPr>
      <w:r>
        <w:t>Arsitektur utama menggunakan Siamese Vision Transformer (ViT-B/16) dengan bobot terikat (weight-tied backbone). Citra masukan berukuran 224x224 piksel diproyeksikan melalui mekanisme Multi-Head Self-Attention dan kepala proyeksi linier menghasilkan vektor embedding 128 dimensi yang dinormalisasi L2 ke hipersfer satuan (||z||_2 = 1). Fungsi kerugian dirumuskan menggunakan Triplet Margin Loss dengan margin m = 0.3.</w:t>
      </w:r>
    </w:p>
    <w:p>
      <w:pPr>
        <w:spacing w:before="0" w:after="120" w:line="360" w:lineRule="auto"/>
        <w:ind w:firstLine="576"/>
        <w:jc w:val="both"/>
      </w:pPr>
      <w:r>
        <w:t>Pelatihan dilakukan menggunakan kerangka optimisasi Min-Max (Madry et al., 2018). Pada tahap Inner Maximization, algoritma Projected Gradient Descent (PGD L-infinity, eps = 8/255, alpha = 2/255, steps = 3) membangkitkan gangguan tak kasatmata secara dinamis pada citra Positive untuk memaksimalkan Triplet Loss. Pada tahap Outer Minimization, bobot model diperbarui via AdamW untuk meminimalkan kerugian pada pasangan yang telah diserang tersebut.</w:t>
      </w:r>
    </w:p>
    <w:p>
      <w:pPr>
        <w:spacing w:before="280" w:after="120"/>
        <w:jc w:val="left"/>
      </w:pPr>
      <w:r>
        <w:rPr>
          <w:rFonts w:ascii="Times New Roman" w:hAnsi="Times New Roman"/>
          <w:b/>
          <w:color w:val="000000"/>
          <w:sz w:val="24"/>
        </w:rPr>
        <w:t>3.4. Desain Eksperimen dan Evaluasi Kinerja</w:t>
      </w:r>
    </w:p>
    <w:p>
      <w:pPr>
        <w:spacing w:before="0" w:after="120" w:line="360" w:lineRule="auto"/>
        <w:ind w:firstLine="576"/>
        <w:jc w:val="both"/>
      </w:pPr>
      <w:r>
        <w:t>Evaluasi kinerja model menerapkan pembagian Brand-Disjoint secara ketat. Ambang batas jarak kosinus (tau*) dikalibrasi eksklusif pada set Validasi menggunakan kriteria Neyman-Pearson: memaksimumkan F1-Score dengan batasan operasional FPR &lt;= 1% guna memitigasi kelelahan alarm palsu (alert fatigue) pada analis SOC. Nilai ambang batas tersebut dikunci sebelum diterapkan pada set Pengujian Hold-out.</w:t>
      </w:r>
    </w:p>
    <w:p>
      <w:pPr>
        <w:spacing w:before="0" w:after="120" w:line="360" w:lineRule="auto"/>
        <w:ind w:firstLine="576"/>
        <w:jc w:val="both"/>
      </w:pPr>
      <w:r>
        <w:t>Metrik evaluasi primer adalah Precision-Recall Area Under Curve (PR-AUC) dan Recall pada target FPR &lt;= 1%. Untuk menjamin signifikansi statistik, dihitung Interval Kepercayaan 95% menggunakan metode Bootstrap non-parametrik (1.000 iterasi) serta uji signifikansi komparasi kurva DeLong.</w:t>
      </w:r>
    </w:p>
    <w:p>
      <w:pPr>
        <w:spacing w:before="280" w:after="120"/>
        <w:jc w:val="left"/>
      </w:pPr>
      <w:r>
        <w:rPr>
          <w:rFonts w:ascii="Times New Roman" w:hAnsi="Times New Roman"/>
          <w:b/>
          <w:color w:val="000000"/>
          <w:sz w:val="24"/>
        </w:rPr>
        <w:t>3.5. Arsitektur Implementasi Sistem (Inference Service)</w:t>
      </w:r>
    </w:p>
    <w:p>
      <w:pPr>
        <w:spacing w:before="0" w:after="120" w:line="360" w:lineRule="auto"/>
        <w:ind w:firstLine="576"/>
        <w:jc w:val="both"/>
      </w:pPr>
      <w:r>
        <w:t>Luaran penelitian diwujudkan ke dalam layanan mikro (microservice) berbasis FastAPI. Seluruh logo kementerian resmi diproyeksikan ke memori RAM sekali saat inisialisasi startup (pre-computed vector cache). Setiap permintaan tangkapan layar yang masuk diproses melalui deteksi YOLOv8, inferensi ViT 128-D, perhitungan jarak kosinus terdekat, dan klasifikasi vonis keamanan dengan waktu respons rata-rata di bawah 100 milidetik.</w:t>
      </w:r>
    </w:p>
    <w:p>
      <w:r>
        <w:br w:type="page"/>
      </w:r>
    </w:p>
    <w:p>
      <w:pPr>
        <w:spacing w:before="360" w:after="240"/>
        <w:jc w:val="center"/>
      </w:pPr>
      <w:r>
        <w:rPr>
          <w:rFonts w:ascii="Times New Roman" w:hAnsi="Times New Roman"/>
          <w:b/>
          <w:color w:val="000000"/>
          <w:sz w:val="28"/>
        </w:rPr>
        <w:t>BAB IV</w:t>
        <w:br/>
        <w:t>HASIL DAN PEMBAHASAN</w:t>
      </w:r>
    </w:p>
    <w:p>
      <w:pPr>
        <w:spacing w:before="280" w:after="120"/>
        <w:jc w:val="left"/>
      </w:pPr>
      <w:r>
        <w:rPr>
          <w:rFonts w:ascii="Times New Roman" w:hAnsi="Times New Roman"/>
          <w:b/>
          <w:color w:val="000000"/>
          <w:sz w:val="24"/>
        </w:rPr>
        <w:t>4.1. Deskripsi dan Profil Data Penelitian</w:t>
      </w:r>
    </w:p>
    <w:p>
      <w:pPr>
        <w:spacing w:before="0" w:after="120" w:line="360" w:lineRule="auto"/>
        <w:ind w:firstLine="576"/>
        <w:jc w:val="both"/>
      </w:pPr>
      <w:r>
        <w:t>Pangkalan data yang berhasil dibangun terdiri atas 1.480 sampel citra terstandardisasi. Pembagian dataset berdasarkan identitas institusi (Brand-Disjoint) dirangkum pada Tabel 4.1.</w:t>
      </w:r>
    </w:p>
    <w:p>
      <w:pPr>
        <w:spacing w:before="120" w:after="40" w:line="360" w:lineRule="auto"/>
        <w:jc w:val="center"/>
      </w:pPr>
      <w:r>
        <w:rPr>
          <w:b/>
        </w:rPr>
        <w:t>Tabel 4.1. Distribusi Partisi Brand-Disjoint Dataset Penelitian</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2070"/>
        <w:gridCol w:w="2070"/>
        <w:gridCol w:w="2070"/>
        <w:gridCol w:w="2070"/>
      </w:tblGrid>
      <w:tr>
        <w:tc>
          <w:tcPr>
            <w:tcW w:type="dxa" w:w="2070"/>
            <w:shd w:fill="F2F2F2"/>
          </w:tcPr>
          <w:p>
            <w:r>
              <w:rPr>
                <w:b/>
              </w:rPr>
              <w:t>Partisi Dataset</w:t>
            </w:r>
          </w:p>
        </w:tc>
        <w:tc>
          <w:tcPr>
            <w:tcW w:type="dxa" w:w="2070"/>
            <w:shd w:fill="F2F2F2"/>
          </w:tcPr>
          <w:p>
            <w:r>
              <w:rPr>
                <w:b/>
              </w:rPr>
              <w:t>Proporsi</w:t>
            </w:r>
          </w:p>
        </w:tc>
        <w:tc>
          <w:tcPr>
            <w:tcW w:type="dxa" w:w="2070"/>
            <w:shd w:fill="F2F2F2"/>
          </w:tcPr>
          <w:p>
            <w:r>
              <w:rPr>
                <w:b/>
              </w:rPr>
              <w:t>Jumlah Merek</w:t>
            </w:r>
          </w:p>
        </w:tc>
        <w:tc>
          <w:tcPr>
            <w:tcW w:type="dxa" w:w="2070"/>
            <w:shd w:fill="F2F2F2"/>
          </w:tcPr>
          <w:p>
            <w:r>
              <w:rPr>
                <w:b/>
              </w:rPr>
              <w:t>Daftar Entitas Institusi</w:t>
            </w:r>
          </w:p>
        </w:tc>
      </w:tr>
      <w:tr>
        <w:tc>
          <w:tcPr>
            <w:tcW w:type="dxa" w:w="2070"/>
          </w:tcPr>
          <w:p>
            <w:r>
              <w:t>Pelatihan (Train)</w:t>
            </w:r>
          </w:p>
        </w:tc>
        <w:tc>
          <w:tcPr>
            <w:tcW w:type="dxa" w:w="2070"/>
          </w:tcPr>
          <w:p>
            <w:r>
              <w:t>70%</w:t>
            </w:r>
          </w:p>
        </w:tc>
        <w:tc>
          <w:tcPr>
            <w:tcW w:type="dxa" w:w="2070"/>
          </w:tcPr>
          <w:p>
            <w:r>
              <w:t>14</w:t>
            </w:r>
          </w:p>
        </w:tc>
        <w:tc>
          <w:tcPr>
            <w:tcW w:type="dxa" w:w="2070"/>
          </w:tcPr>
          <w:p>
            <w:r>
              <w:t>Kemenkeu, Komdigi, Pajak, Kemdikbud, Kemenkes, BPJS, PLN, Pertamina, dll.</w:t>
            </w:r>
          </w:p>
        </w:tc>
      </w:tr>
      <w:tr>
        <w:tc>
          <w:tcPr>
            <w:tcW w:type="dxa" w:w="2070"/>
          </w:tcPr>
          <w:p>
            <w:r>
              <w:t>Validasi (Val)</w:t>
            </w:r>
          </w:p>
        </w:tc>
        <w:tc>
          <w:tcPr>
            <w:tcW w:type="dxa" w:w="2070"/>
          </w:tcPr>
          <w:p>
            <w:r>
              <w:t>10%</w:t>
            </w:r>
          </w:p>
        </w:tc>
        <w:tc>
          <w:tcPr>
            <w:tcW w:type="dxa" w:w="2070"/>
          </w:tcPr>
          <w:p>
            <w:r>
              <w:t>2</w:t>
            </w:r>
          </w:p>
        </w:tc>
        <w:tc>
          <w:tcPr>
            <w:tcW w:type="dxa" w:w="2070"/>
          </w:tcPr>
          <w:p>
            <w:r>
              <w:t>ATR/BPN, BMKG (Penyetelan hyperparameter &amp; kalibrasi threshold)</w:t>
            </w:r>
          </w:p>
        </w:tc>
      </w:tr>
      <w:tr>
        <w:tc>
          <w:tcPr>
            <w:tcW w:type="dxa" w:w="2070"/>
          </w:tcPr>
          <w:p>
            <w:r>
              <w:t>Pengujian (Hold-out)</w:t>
            </w:r>
          </w:p>
        </w:tc>
        <w:tc>
          <w:tcPr>
            <w:tcW w:type="dxa" w:w="2070"/>
          </w:tcPr>
          <w:p>
            <w:r>
              <w:t>20%</w:t>
            </w:r>
          </w:p>
        </w:tc>
        <w:tc>
          <w:tcPr>
            <w:tcW w:type="dxa" w:w="2070"/>
          </w:tcPr>
          <w:p>
            <w:r>
              <w:t>4</w:t>
            </w:r>
          </w:p>
        </w:tc>
        <w:tc>
          <w:tcPr>
            <w:tcW w:type="dxa" w:w="2070"/>
          </w:tcPr>
          <w:p>
            <w:r>
              <w:t>Badan Pusat Statistik (BPS), OJK, BSSN, Kejaksaan RI (Zero-Day Test)</w:t>
            </w:r>
          </w:p>
        </w:tc>
      </w:tr>
    </w:tbl>
    <w:p>
      <w:pPr>
        <w:spacing w:before="0" w:after="160" w:line="360" w:lineRule="auto"/>
        <w:jc w:val="both"/>
      </w:pPr>
    </w:p>
    <w:p>
      <w:pPr>
        <w:spacing w:before="280" w:after="120"/>
        <w:jc w:val="left"/>
      </w:pPr>
      <w:r>
        <w:rPr>
          <w:rFonts w:ascii="Times New Roman" w:hAnsi="Times New Roman"/>
          <w:b/>
          <w:color w:val="000000"/>
          <w:sz w:val="24"/>
        </w:rPr>
        <w:t>4.2. Dinamika Pelatihan dan Kalibrasi Ambang Batas</w:t>
      </w:r>
    </w:p>
    <w:p>
      <w:pPr>
        <w:spacing w:before="0" w:after="120" w:line="360" w:lineRule="auto"/>
        <w:ind w:firstLine="576"/>
        <w:jc w:val="both"/>
      </w:pPr>
      <w:r>
        <w:t>Pelatihan Adversarial Siamese ViT berhasil mencapai konvergensi dengan penurunan kerugian Triplet Loss dari 0.2104 menjadi 0.0594. Nilai ambang batas kosinus optimal dikalibrasi murni pada set Validasi. Berdasarkan Kurva Precision-Recall pada Gambar 4.1, diperoleh titik operasional tau* = 0.3850 yang menghasilkan F1-Score sebesar 0.902 dengan False Positive Rate sebesar 0.8% (memenuhi syarat operasional FPR &lt;= 1%).</w:t>
      </w:r>
    </w:p>
    <w:p>
      <w:pPr>
        <w:spacing w:before="120" w:after="40"/>
        <w:jc w:val="center"/>
      </w:pPr>
    </w:p>
    <w:p>
      <w:r>
        <w:drawing>
          <wp:inline xmlns:a="http://schemas.openxmlformats.org/drawingml/2006/main" xmlns:pic="http://schemas.openxmlformats.org/drawingml/2006/picture">
            <wp:extent cx="4754880" cy="3024574"/>
            <wp:docPr id="2" name="Picture 2"/>
            <wp:cNvGraphicFramePr>
              <a:graphicFrameLocks noChangeAspect="1"/>
            </wp:cNvGraphicFramePr>
            <a:graphic>
              <a:graphicData uri="http://schemas.openxmlformats.org/drawingml/2006/picture">
                <pic:pic>
                  <pic:nvPicPr>
                    <pic:cNvPr id="0" name="fig4_1_threshold_calibration.png"/>
                    <pic:cNvPicPr/>
                  </pic:nvPicPr>
                  <pic:blipFill>
                    <a:blip r:embed="rId10"/>
                    <a:stretch>
                      <a:fillRect/>
                    </a:stretch>
                  </pic:blipFill>
                  <pic:spPr>
                    <a:xfrm>
                      <a:off x="0" y="0"/>
                      <a:ext cx="4754880" cy="3024574"/>
                    </a:xfrm>
                    <a:prstGeom prst="rect"/>
                  </pic:spPr>
                </pic:pic>
              </a:graphicData>
            </a:graphic>
          </wp:inline>
        </w:drawing>
      </w:r>
    </w:p>
    <w:p>
      <w:pPr>
        <w:jc w:val="center"/>
      </w:pPr>
      <w:r>
        <w:rPr>
          <w:i/>
          <w:sz w:val="20"/>
        </w:rPr>
        <w:t>Gambar 4.1. Kurva Precision-Recall dan Kalibrasi Ambang Batas Neyman-Pearson pada Set Validasi</w:t>
      </w:r>
    </w:p>
    <w:p>
      <w:pPr>
        <w:spacing w:before="280" w:after="120"/>
        <w:jc w:val="left"/>
      </w:pPr>
      <w:r>
        <w:rPr>
          <w:rFonts w:ascii="Times New Roman" w:hAnsi="Times New Roman"/>
          <w:b/>
          <w:color w:val="000000"/>
          <w:sz w:val="24"/>
        </w:rPr>
        <w:t>4.3. Evaluasi Kinerja Model: Eksperimen Zero-Day</w:t>
      </w:r>
    </w:p>
    <w:p>
      <w:pPr>
        <w:spacing w:before="0" w:after="120" w:line="360" w:lineRule="auto"/>
        <w:ind w:firstLine="576"/>
        <w:jc w:val="both"/>
      </w:pPr>
      <w:r>
        <w:t>Evaluasi komparasi dilakukan pada set pengujian Hold-out yang memuat institusi yang sama sekali belum pernah dilihat oleh model (BPS, OJK, BSSN, Kejaksaan RI). Pengujian dilakukan pada dua skenario masukan: citra bersih (clean) dan citra yang diserang menggunakan manipulasi tak kasatmata PGD (eps = 8/255). Hasil disajikan pada Tabel 4.2 dan divisualisasikan pada Gambar 4.2.</w:t>
      </w:r>
    </w:p>
    <w:p>
      <w:pPr>
        <w:spacing w:before="120" w:after="40" w:line="360" w:lineRule="auto"/>
        <w:jc w:val="center"/>
      </w:pPr>
      <w:r>
        <w:rPr>
          <w:b/>
        </w:rPr>
        <w:t>Tabel 4.2. Matriks Evaluasi Kinerja Zero-Day pada Hold-out Test Set</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1656"/>
        <w:gridCol w:w="1656"/>
        <w:gridCol w:w="1656"/>
        <w:gridCol w:w="1656"/>
        <w:gridCol w:w="1656"/>
      </w:tblGrid>
      <w:tr>
        <w:tc>
          <w:tcPr>
            <w:tcW w:type="dxa" w:w="1656"/>
            <w:shd w:fill="F2F2F2"/>
          </w:tcPr>
          <w:p>
            <w:r>
              <w:rPr>
                <w:b/>
              </w:rPr>
              <w:t>Arsitektur Model</w:t>
            </w:r>
          </w:p>
        </w:tc>
        <w:tc>
          <w:tcPr>
            <w:tcW w:type="dxa" w:w="1656"/>
            <w:shd w:fill="F2F2F2"/>
          </w:tcPr>
          <w:p>
            <w:r>
              <w:rPr>
                <w:b/>
              </w:rPr>
              <w:t>Kondisi Citra Masukan</w:t>
            </w:r>
          </w:p>
        </w:tc>
        <w:tc>
          <w:tcPr>
            <w:tcW w:type="dxa" w:w="1656"/>
            <w:shd w:fill="F2F2F2"/>
          </w:tcPr>
          <w:p>
            <w:r>
              <w:rPr>
                <w:b/>
              </w:rPr>
              <w:t>PR-AUC (Primer)</w:t>
            </w:r>
          </w:p>
        </w:tc>
        <w:tc>
          <w:tcPr>
            <w:tcW w:type="dxa" w:w="1656"/>
            <w:shd w:fill="F2F2F2"/>
          </w:tcPr>
          <w:p>
            <w:r>
              <w:rPr>
                <w:b/>
              </w:rPr>
              <w:t>Recall @ FPR &lt;= 1%</w:t>
            </w:r>
          </w:p>
        </w:tc>
        <w:tc>
          <w:tcPr>
            <w:tcW w:type="dxa" w:w="1656"/>
            <w:shd w:fill="F2F2F2"/>
          </w:tcPr>
          <w:p>
            <w:r>
              <w:rPr>
                <w:b/>
              </w:rPr>
              <w:t>F1-Score</w:t>
            </w:r>
          </w:p>
        </w:tc>
      </w:tr>
      <w:tr>
        <w:tc>
          <w:tcPr>
            <w:tcW w:type="dxa" w:w="1656"/>
          </w:tcPr>
          <w:p>
            <w:r>
              <w:t>Model Standar (Baseline)</w:t>
            </w:r>
          </w:p>
        </w:tc>
        <w:tc>
          <w:tcPr>
            <w:tcW w:type="dxa" w:w="1656"/>
          </w:tcPr>
          <w:p>
            <w:r>
              <w:t>Citra Bersih (Clean)</w:t>
            </w:r>
          </w:p>
        </w:tc>
        <w:tc>
          <w:tcPr>
            <w:tcW w:type="dxa" w:w="1656"/>
          </w:tcPr>
          <w:p>
            <w:r>
              <w:t>0.9462</w:t>
            </w:r>
          </w:p>
        </w:tc>
        <w:tc>
          <w:tcPr>
            <w:tcW w:type="dxa" w:w="1656"/>
          </w:tcPr>
          <w:p>
            <w:r>
              <w:t>0.8640</w:t>
            </w:r>
          </w:p>
        </w:tc>
        <w:tc>
          <w:tcPr>
            <w:tcW w:type="dxa" w:w="1656"/>
          </w:tcPr>
          <w:p>
            <w:r>
              <w:t>0.9024</w:t>
            </w:r>
          </w:p>
        </w:tc>
      </w:tr>
      <w:tr>
        <w:tc>
          <w:tcPr>
            <w:tcW w:type="dxa" w:w="1656"/>
          </w:tcPr>
          <w:p>
            <w:r>
              <w:t>Model Standar (Baseline)</w:t>
            </w:r>
          </w:p>
        </w:tc>
        <w:tc>
          <w:tcPr>
            <w:tcW w:type="dxa" w:w="1656"/>
          </w:tcPr>
          <w:p>
            <w:r>
              <w:t>Serangan PGD (eps=8/255)</w:t>
            </w:r>
          </w:p>
        </w:tc>
        <w:tc>
          <w:tcPr>
            <w:tcW w:type="dxa" w:w="1656"/>
          </w:tcPr>
          <w:p>
            <w:r>
              <w:t>0.3418 (Anjlok)</w:t>
            </w:r>
          </w:p>
        </w:tc>
        <w:tc>
          <w:tcPr>
            <w:tcW w:type="dxa" w:w="1656"/>
          </w:tcPr>
          <w:p>
            <w:r>
              <w:t>0.1250 (Lumpuh)</w:t>
            </w:r>
          </w:p>
        </w:tc>
        <w:tc>
          <w:tcPr>
            <w:tcW w:type="dxa" w:w="1656"/>
          </w:tcPr>
          <w:p>
            <w:r>
              <w:t>0.2840</w:t>
            </w:r>
          </w:p>
        </w:tc>
      </w:tr>
      <w:tr>
        <w:tc>
          <w:tcPr>
            <w:tcW w:type="dxa" w:w="1656"/>
          </w:tcPr>
          <w:p>
            <w:r>
              <w:t>Model Adversarial (Usulan)</w:t>
            </w:r>
          </w:p>
        </w:tc>
        <w:tc>
          <w:tcPr>
            <w:tcW w:type="dxa" w:w="1656"/>
          </w:tcPr>
          <w:p>
            <w:r>
              <w:t>Citra Bersih (Clean)</w:t>
            </w:r>
          </w:p>
        </w:tc>
        <w:tc>
          <w:tcPr>
            <w:tcW w:type="dxa" w:w="1656"/>
          </w:tcPr>
          <w:p>
            <w:r>
              <w:t>0.9180 (Pajak 2.8%)</w:t>
            </w:r>
          </w:p>
        </w:tc>
        <w:tc>
          <w:tcPr>
            <w:tcW w:type="dxa" w:w="1656"/>
          </w:tcPr>
          <w:p>
            <w:r>
              <w:t>0.8210</w:t>
            </w:r>
          </w:p>
        </w:tc>
        <w:tc>
          <w:tcPr>
            <w:tcW w:type="dxa" w:w="1656"/>
          </w:tcPr>
          <w:p>
            <w:r>
              <w:t>0.8756</w:t>
            </w:r>
          </w:p>
        </w:tc>
      </w:tr>
      <w:tr>
        <w:tc>
          <w:tcPr>
            <w:tcW w:type="dxa" w:w="1656"/>
          </w:tcPr>
          <w:p>
            <w:r>
              <w:t>Model Adversarial (Usulan)</w:t>
            </w:r>
          </w:p>
        </w:tc>
        <w:tc>
          <w:tcPr>
            <w:tcW w:type="dxa" w:w="1656"/>
          </w:tcPr>
          <w:p>
            <w:r>
              <w:t>Serangan PGD (eps=8/255)</w:t>
            </w:r>
          </w:p>
        </w:tc>
        <w:tc>
          <w:tcPr>
            <w:tcW w:type="dxa" w:w="1656"/>
          </w:tcPr>
          <w:p>
            <w:r>
              <w:t>0.8845 (Kebal)</w:t>
            </w:r>
          </w:p>
        </w:tc>
        <w:tc>
          <w:tcPr>
            <w:tcW w:type="dxa" w:w="1656"/>
          </w:tcPr>
          <w:p>
            <w:r>
              <w:t>0.7840</w:t>
            </w:r>
          </w:p>
        </w:tc>
        <w:tc>
          <w:tcPr>
            <w:tcW w:type="dxa" w:w="1656"/>
          </w:tcPr>
          <w:p>
            <w:r>
              <w:t>0.8490</w:t>
            </w:r>
          </w:p>
        </w:tc>
      </w:tr>
    </w:tbl>
    <w:p>
      <w:pPr>
        <w:spacing w:before="160" w:after="40"/>
        <w:jc w:val="center"/>
      </w:pPr>
    </w:p>
    <w:p>
      <w:r>
        <w:drawing>
          <wp:inline xmlns:a="http://schemas.openxmlformats.org/drawingml/2006/main" xmlns:pic="http://schemas.openxmlformats.org/drawingml/2006/picture">
            <wp:extent cx="4754880" cy="3024574"/>
            <wp:docPr id="3" name="Picture 3"/>
            <wp:cNvGraphicFramePr>
              <a:graphicFrameLocks noChangeAspect="1"/>
            </wp:cNvGraphicFramePr>
            <a:graphic>
              <a:graphicData uri="http://schemas.openxmlformats.org/drawingml/2006/picture">
                <pic:pic>
                  <pic:nvPicPr>
                    <pic:cNvPr id="0" name="fig4_2_robustness_tradeoff.png"/>
                    <pic:cNvPicPr/>
                  </pic:nvPicPr>
                  <pic:blipFill>
                    <a:blip r:embed="rId11"/>
                    <a:stretch>
                      <a:fillRect/>
                    </a:stretch>
                  </pic:blipFill>
                  <pic:spPr>
                    <a:xfrm>
                      <a:off x="0" y="0"/>
                      <a:ext cx="4754880" cy="3024574"/>
                    </a:xfrm>
                    <a:prstGeom prst="rect"/>
                  </pic:spPr>
                </pic:pic>
              </a:graphicData>
            </a:graphic>
          </wp:inline>
        </w:drawing>
      </w:r>
    </w:p>
    <w:p>
      <w:pPr>
        <w:jc w:val="center"/>
      </w:pPr>
      <w:r>
        <w:rPr>
          <w:i/>
          <w:sz w:val="20"/>
        </w:rPr>
        <w:t>Gambar 4.2. Komparasi Ketahanan Model Standar vs Model Adversarial (Robustness Trade-off)</w:t>
      </w:r>
    </w:p>
    <w:p>
      <w:pPr>
        <w:spacing w:before="0" w:after="120" w:line="360" w:lineRule="auto"/>
        <w:ind w:firstLine="576"/>
        <w:jc w:val="both"/>
      </w:pPr>
      <w:r>
        <w:t>Hasil di atas mengonfirmasi fenomena 'Pajak Keamanan' (The Robustness-Accuracy Trade-off). Model yang dilatih secara adversarial mengalami sedikit penurunan PR-AUC sebesar 2.8% pada citra bersih (dari 0.9462 menjadi 0.9180). Namun, ketahanannya melonjak secara masif saat menghadapi manipulasi gradien: Model Standar mengalami kelumpuhan (PR-AUC anjlok ke 0.3418 dan Recall runtuh ke 12.5%), sedangkan Model Adversarial mempertahankan PR-AUC sebesar 0.8845 dan Recall sebesar 78.4%. Hal ini membuktikan efektivitas pertahanan Min-Max dalam skenario serangan zero-day.</w:t>
      </w:r>
    </w:p>
    <w:p>
      <w:pPr>
        <w:spacing w:before="280" w:after="120"/>
        <w:jc w:val="left"/>
      </w:pPr>
      <w:r>
        <w:rPr>
          <w:rFonts w:ascii="Times New Roman" w:hAnsi="Times New Roman"/>
          <w:b/>
          <w:color w:val="000000"/>
          <w:sz w:val="24"/>
        </w:rPr>
        <w:t>4.4. Uji Signifikansi Statistik</w:t>
      </w:r>
    </w:p>
    <w:p>
      <w:pPr>
        <w:spacing w:before="0" w:after="120" w:line="360" w:lineRule="auto"/>
        <w:ind w:firstLine="576"/>
        <w:jc w:val="both"/>
      </w:pPr>
      <w:r>
        <w:t>Untuk memastikan bahwa keunggulan Model Adversarial bukan merupakan kebetulan sampel, dilakukan pengujian parameter menggunakan metode Bootstrap non-parametrik (B = 1.000 iterasi resample) untuk menghitung selang kepercayaan 95%. Hasil estimasi divisualisasikan pada Gambar 4.3 dan dirangkum pada Tabel 4.3.</w:t>
      </w:r>
    </w:p>
    <w:p>
      <w:pPr>
        <w:spacing w:before="120" w:after="40" w:line="360" w:lineRule="auto"/>
        <w:jc w:val="center"/>
      </w:pPr>
      <w:r>
        <w:rPr>
          <w:b/>
        </w:rPr>
        <w:t>Tabel 4.3. Estimasi Parameter PR-AUC dengan Interval Kepercayaan Bootstrap 95%</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3D3D3"/>
          <w:insideV w:val="none"/>
          <w:left w:val="none"/>
          <w:right w:val="none"/>
        </w:tblBorders>
      </w:tblPr>
      <w:tblGrid>
        <w:gridCol w:w="2070"/>
        <w:gridCol w:w="2070"/>
        <w:gridCol w:w="2070"/>
        <w:gridCol w:w="2070"/>
      </w:tblGrid>
      <w:tr>
        <w:tc>
          <w:tcPr>
            <w:tcW w:type="dxa" w:w="2070"/>
            <w:shd w:fill="F2F2F2"/>
          </w:tcPr>
          <w:p>
            <w:r>
              <w:rPr>
                <w:b/>
              </w:rPr>
              <w:t>Skenario Pengujian</w:t>
            </w:r>
          </w:p>
        </w:tc>
        <w:tc>
          <w:tcPr>
            <w:tcW w:type="dxa" w:w="2070"/>
            <w:shd w:fill="F2F2F2"/>
          </w:tcPr>
          <w:p>
            <w:r>
              <w:rPr>
                <w:b/>
              </w:rPr>
              <w:t>Estimasi Titik (PR-AUC)</w:t>
            </w:r>
          </w:p>
        </w:tc>
        <w:tc>
          <w:tcPr>
            <w:tcW w:type="dxa" w:w="2070"/>
            <w:shd w:fill="F2F2F2"/>
          </w:tcPr>
          <w:p>
            <w:r>
              <w:rPr>
                <w:b/>
              </w:rPr>
              <w:t>95% Bootstrap CI</w:t>
            </w:r>
          </w:p>
        </w:tc>
        <w:tc>
          <w:tcPr>
            <w:tcW w:type="dxa" w:w="2070"/>
            <w:shd w:fill="F2F2F2"/>
          </w:tcPr>
          <w:p>
            <w:r>
              <w:rPr>
                <w:b/>
              </w:rPr>
              <w:t>Margin of Error</w:t>
            </w:r>
          </w:p>
        </w:tc>
      </w:tr>
      <w:tr>
        <w:tc>
          <w:tcPr>
            <w:tcW w:type="dxa" w:w="2070"/>
          </w:tcPr>
          <w:p>
            <w:r>
              <w:t>Model Standar (Citra Bersih)</w:t>
            </w:r>
          </w:p>
        </w:tc>
        <w:tc>
          <w:tcPr>
            <w:tcW w:type="dxa" w:w="2070"/>
          </w:tcPr>
          <w:p>
            <w:r>
              <w:t>0.9462</w:t>
            </w:r>
          </w:p>
        </w:tc>
        <w:tc>
          <w:tcPr>
            <w:tcW w:type="dxa" w:w="2070"/>
          </w:tcPr>
          <w:p>
            <w:r>
              <w:t>[0.9140, 0.9715]</w:t>
            </w:r>
          </w:p>
        </w:tc>
        <w:tc>
          <w:tcPr>
            <w:tcW w:type="dxa" w:w="2070"/>
          </w:tcPr>
          <w:p>
            <w:r>
              <w:t>+- 0.0287</w:t>
            </w:r>
          </w:p>
        </w:tc>
      </w:tr>
      <w:tr>
        <w:tc>
          <w:tcPr>
            <w:tcW w:type="dxa" w:w="2070"/>
          </w:tcPr>
          <w:p>
            <w:r>
              <w:t>Model Standar (Serangan PGD)</w:t>
            </w:r>
          </w:p>
        </w:tc>
        <w:tc>
          <w:tcPr>
            <w:tcW w:type="dxa" w:w="2070"/>
          </w:tcPr>
          <w:p>
            <w:r>
              <w:t>0.3418</w:t>
            </w:r>
          </w:p>
        </w:tc>
        <w:tc>
          <w:tcPr>
            <w:tcW w:type="dxa" w:w="2070"/>
          </w:tcPr>
          <w:p>
            <w:r>
              <w:t>[0.2812, 0.4085]</w:t>
            </w:r>
          </w:p>
        </w:tc>
        <w:tc>
          <w:tcPr>
            <w:tcW w:type="dxa" w:w="2070"/>
          </w:tcPr>
          <w:p>
            <w:r>
              <w:t>+- 0.0636</w:t>
            </w:r>
          </w:p>
        </w:tc>
      </w:tr>
      <w:tr>
        <w:tc>
          <w:tcPr>
            <w:tcW w:type="dxa" w:w="2070"/>
          </w:tcPr>
          <w:p>
            <w:r>
              <w:t>Model Adversarial (Citra Bersih)</w:t>
            </w:r>
          </w:p>
        </w:tc>
        <w:tc>
          <w:tcPr>
            <w:tcW w:type="dxa" w:w="2070"/>
          </w:tcPr>
          <w:p>
            <w:r>
              <w:t>0.9180</w:t>
            </w:r>
          </w:p>
        </w:tc>
        <w:tc>
          <w:tcPr>
            <w:tcW w:type="dxa" w:w="2070"/>
          </w:tcPr>
          <w:p>
            <w:r>
              <w:t>[0.8825, 0.9460]</w:t>
            </w:r>
          </w:p>
        </w:tc>
        <w:tc>
          <w:tcPr>
            <w:tcW w:type="dxa" w:w="2070"/>
          </w:tcPr>
          <w:p>
            <w:r>
              <w:t>+- 0.0317</w:t>
            </w:r>
          </w:p>
        </w:tc>
      </w:tr>
      <w:tr>
        <w:tc>
          <w:tcPr>
            <w:tcW w:type="dxa" w:w="2070"/>
          </w:tcPr>
          <w:p>
            <w:r>
              <w:t>Model Adversarial (Serangan PGD)</w:t>
            </w:r>
          </w:p>
        </w:tc>
        <w:tc>
          <w:tcPr>
            <w:tcW w:type="dxa" w:w="2070"/>
          </w:tcPr>
          <w:p>
            <w:r>
              <w:t>0.8845</w:t>
            </w:r>
          </w:p>
        </w:tc>
        <w:tc>
          <w:tcPr>
            <w:tcW w:type="dxa" w:w="2070"/>
          </w:tcPr>
          <w:p>
            <w:r>
              <w:t>[0.8490, 0.9152]</w:t>
            </w:r>
          </w:p>
        </w:tc>
        <w:tc>
          <w:tcPr>
            <w:tcW w:type="dxa" w:w="2070"/>
          </w:tcPr>
          <w:p>
            <w:r>
              <w:t>+- 0.0331</w:t>
            </w:r>
          </w:p>
        </w:tc>
      </w:tr>
    </w:tbl>
    <w:p>
      <w:pPr>
        <w:spacing w:before="160" w:after="40"/>
        <w:jc w:val="center"/>
      </w:pPr>
    </w:p>
    <w:p>
      <w:r>
        <w:drawing>
          <wp:inline xmlns:a="http://schemas.openxmlformats.org/drawingml/2006/main" xmlns:pic="http://schemas.openxmlformats.org/drawingml/2006/picture">
            <wp:extent cx="4754880" cy="2304013"/>
            <wp:docPr id="4" name="Picture 4"/>
            <wp:cNvGraphicFramePr>
              <a:graphicFrameLocks noChangeAspect="1"/>
            </wp:cNvGraphicFramePr>
            <a:graphic>
              <a:graphicData uri="http://schemas.openxmlformats.org/drawingml/2006/picture">
                <pic:pic>
                  <pic:nvPicPr>
                    <pic:cNvPr id="0" name="fig4_3_bootstrap_ci.png"/>
                    <pic:cNvPicPr/>
                  </pic:nvPicPr>
                  <pic:blipFill>
                    <a:blip r:embed="rId12"/>
                    <a:stretch>
                      <a:fillRect/>
                    </a:stretch>
                  </pic:blipFill>
                  <pic:spPr>
                    <a:xfrm>
                      <a:off x="0" y="0"/>
                      <a:ext cx="4754880" cy="2304013"/>
                    </a:xfrm>
                    <a:prstGeom prst="rect"/>
                  </pic:spPr>
                </pic:pic>
              </a:graphicData>
            </a:graphic>
          </wp:inline>
        </w:drawing>
      </w:r>
    </w:p>
    <w:p>
      <w:pPr>
        <w:jc w:val="center"/>
      </w:pPr>
      <w:r>
        <w:rPr>
          <w:i/>
          <w:sz w:val="20"/>
        </w:rPr>
        <w:t>Gambar 4.3. Interval Kepercayaan Bootstrap 95% (Non-Overlapping Intervals)</w:t>
      </w:r>
    </w:p>
    <w:p>
      <w:pPr>
        <w:spacing w:before="0" w:after="120" w:line="360" w:lineRule="auto"/>
        <w:ind w:firstLine="576"/>
        <w:jc w:val="both"/>
      </w:pPr>
      <w:r>
        <w:t>Sebagaimana ditunjukkan pada Gambar 4.3, interval kepercayaan Model Adversarial saat diserang [0.8490, 0.9152] sama sekali tidak bertumpukan (strictly non-overlapping) dengan interval kepercayaan Model Standar [0.2812, 0.4085]. Uji hipotesis komparasi DeLong menghasilkan nilai uji Z = 12.84 dengan p-value = 1.42 x 10^-37 (p &lt; 0.001), sehingga menolak H0 secara meyakinkan dan membuktikan keunggulan pertahanan adversarial signifikan secara statistik.</w:t>
      </w:r>
    </w:p>
    <w:p>
      <w:pPr>
        <w:spacing w:before="280" w:after="120"/>
        <w:jc w:val="left"/>
      </w:pPr>
      <w:r>
        <w:rPr>
          <w:rFonts w:ascii="Times New Roman" w:hAnsi="Times New Roman"/>
          <w:b/>
          <w:color w:val="000000"/>
          <w:sz w:val="24"/>
        </w:rPr>
        <w:t>4.5. Analisis Kesalahan (Error Analysis)</w:t>
      </w:r>
    </w:p>
    <w:p>
      <w:pPr>
        <w:spacing w:before="0" w:after="120" w:line="360" w:lineRule="auto"/>
        <w:ind w:firstLine="576"/>
        <w:jc w:val="both"/>
      </w:pPr>
      <w:r>
        <w:t>Pemeriksaan kualitatif pada kasus salah klasifikasi menunjukkan dua temuan penting bagi pemangku kepentingan (Komdigi):</w:t>
        <w:br/>
        <w:t>1. False Positives: Muncul pada artikel berita daerah atau blog edukasi yang memasang logo resmi BPS atau OJK beresolusi tinggi di badan artikel. Meskipun secara visual mirip, domain bukan merupakan domain resmi pemerintah (.go.id). Rekomendasi teknis adalah menambahkan analisis tata letak DOM untuk memastikan apakah logo berada di area header/login form.</w:t>
        <w:br/>
        <w:t>2. False Negatives: Terjadi pada situs penipuan yang menyisipkan logo ke dalam animasi canvas HTML5 atau memotong lebih dari 50% area lambang logo. Rekomendasi mitigasi adalah penambahan multi-scale crop pooling pada prapemrosesan crawler.</w:t>
      </w:r>
    </w:p>
    <w:p>
      <w:r>
        <w:br w:type="page"/>
      </w:r>
    </w:p>
    <w:p>
      <w:pPr>
        <w:spacing w:before="360" w:after="240"/>
        <w:jc w:val="center"/>
      </w:pPr>
      <w:r>
        <w:rPr>
          <w:rFonts w:ascii="Times New Roman" w:hAnsi="Times New Roman"/>
          <w:b/>
          <w:color w:val="000000"/>
          <w:sz w:val="28"/>
        </w:rPr>
        <w:t>BAB V</w:t>
        <w:br/>
        <w:t>KESIMPULAN DAN SARAN</w:t>
      </w:r>
    </w:p>
    <w:p>
      <w:pPr>
        <w:spacing w:before="280" w:after="120"/>
        <w:jc w:val="left"/>
      </w:pPr>
      <w:r>
        <w:rPr>
          <w:rFonts w:ascii="Times New Roman" w:hAnsi="Times New Roman"/>
          <w:b/>
          <w:color w:val="000000"/>
          <w:sz w:val="24"/>
        </w:rPr>
        <w:t>5.1. Kesimpulan</w:t>
      </w:r>
    </w:p>
    <w:p>
      <w:pPr>
        <w:spacing w:before="0" w:after="120" w:line="360" w:lineRule="auto"/>
        <w:ind w:firstLine="576"/>
        <w:jc w:val="both"/>
      </w:pPr>
      <w:r>
        <w:t>Berdasarkan hasil perancangan, implementasi, dan pengujian yang telah dilakukan, dapat ditarik kesimpulan sebagai berikut:</w:t>
      </w:r>
    </w:p>
    <w:p>
      <w:pPr>
        <w:spacing w:before="0" w:after="120" w:line="360" w:lineRule="auto"/>
        <w:ind w:firstLine="288"/>
        <w:jc w:val="both"/>
      </w:pPr>
      <w:r>
        <w:t>1. Pipeline deteksi visual phishing berbasis Siamese Vision Transformer (ViT-B/16) berhasil dikembangkan secara terintegrasi dengan pelokalan YOLOv8 dan generator degradasi sintetis, menghasilkan representasi metrik 128 dimensi yang ternormalisasi pada hipersfer satuan.</w:t>
      </w:r>
    </w:p>
    <w:p>
      <w:pPr>
        <w:spacing w:before="0" w:after="120" w:line="360" w:lineRule="auto"/>
        <w:ind w:firstLine="288"/>
        <w:jc w:val="both"/>
      </w:pPr>
      <w:r>
        <w:t>2. Integrasi Pelatihan Adversarial dinamis (on-the-fly Min-Max PGD) terbukti secara empiris memberikan kekebalan superior terhadap manipulasi visual tak kasatmata pada skenario zero-day. Model usulan mampu mempertahankan PR-AUC sebesar 0.8845 dan Recall 78.4% (pada FPR &lt;= 1%), sementara model standar mengalami kelumpuhan total dengan PR-AUC anjlok ke 0.3418.</w:t>
      </w:r>
    </w:p>
    <w:p>
      <w:pPr>
        <w:spacing w:before="0" w:after="120" w:line="360" w:lineRule="auto"/>
        <w:ind w:firstLine="288"/>
        <w:jc w:val="both"/>
      </w:pPr>
      <w:r>
        <w:t>3. Kalibrasi operasional berbasis kriteria Neyman-Pearson berhasil mengunci ambang batas kosinus tau* = 0.3850 pada set Validasi. Uji signifikansi non-parametrik Bootstrap 95% (B = 1.000) dan uji DeLong (Z = 12.84, p &lt; 0.001) mengonfirmasi bahwa keunggulan ketahanan model usulan signifikan secara statistik dan bukan akibat variasi acak sampel.</w:t>
      </w:r>
    </w:p>
    <w:p>
      <w:pPr>
        <w:spacing w:before="280" w:after="120"/>
        <w:jc w:val="left"/>
      </w:pPr>
      <w:r>
        <w:rPr>
          <w:rFonts w:ascii="Times New Roman" w:hAnsi="Times New Roman"/>
          <w:b/>
          <w:color w:val="000000"/>
          <w:sz w:val="24"/>
        </w:rPr>
        <w:t>5.2. Implikasi Kebijakan dan Rekomendasi Praktis</w:t>
      </w:r>
    </w:p>
    <w:p>
      <w:pPr>
        <w:spacing w:before="0" w:after="120" w:line="360" w:lineRule="auto"/>
        <w:ind w:firstLine="576"/>
        <w:jc w:val="both"/>
      </w:pPr>
      <w:r>
        <w:t>Temuan penelitian ini memberikan implikasi strategis bagi instansi pengelola keamanan siber nasional (Komdigi dan BSSN):</w:t>
        <w:br/>
        <w:t>1. Pemanfaatan computer vision berbasis brand similarity harus dijadikan lapisan pertahanan lini depan (first line of defense) di samping sistem DNS blacklist konvensional untuk menangkal gelombang domain penipuan baru.</w:t>
        <w:br/>
        <w:t>2. Penegakan batasan operasional FPR &lt;= 1% terbukti krusial untuk mencegah kelelahan peringatan palsu (alert fatigue) pada operator Security Operations Center (SOC).</w:t>
      </w:r>
    </w:p>
    <w:p>
      <w:pPr>
        <w:spacing w:before="280" w:after="120"/>
        <w:jc w:val="left"/>
      </w:pPr>
      <w:r>
        <w:rPr>
          <w:rFonts w:ascii="Times New Roman" w:hAnsi="Times New Roman"/>
          <w:b/>
          <w:color w:val="000000"/>
          <w:sz w:val="24"/>
        </w:rPr>
        <w:t>5.3. Saran Penelitian Lanjutan</w:t>
      </w:r>
    </w:p>
    <w:p>
      <w:pPr>
        <w:spacing w:before="0" w:after="120" w:line="360" w:lineRule="auto"/>
        <w:ind w:firstLine="576"/>
        <w:jc w:val="both"/>
      </w:pPr>
      <w:r>
        <w:t>Untuk pengembangan penelitian lebih lanjut, beberapa saran yang direkomendasikan adalah:</w:t>
      </w:r>
    </w:p>
    <w:p>
      <w:pPr>
        <w:spacing w:before="0" w:after="120" w:line="360" w:lineRule="auto"/>
        <w:ind w:firstLine="288"/>
        <w:jc w:val="both"/>
      </w:pPr>
      <w:r>
        <w:t>1. Menggabungkan fitur visual Siamese ViT dengan representasi multimodal yang mengekstrak struktur pohon DOM (HTML Document Object Model) dan metadata sertifikat SSL/TLS untuk menekan False Positive pada situs blog berita edukasi.</w:t>
        <w:br/>
        <w:t>2. Mengembangkan mekanisme deteksi logo adaptif berbasis multi-scale spatial pooling untuk menangani logo yang terpotong sebagian besar (&gt; 50%).</w:t>
        <w:br/>
        <w:t>3. Memperluas pangkalan data referensi visual mencakup lambang pemerintah daerah (Pemda) kabupaten/kota dan BUMD di seluruh Indonesia.</w:t>
      </w:r>
    </w:p>
    <w:p>
      <w:r>
        <w:br w:type="page"/>
      </w:r>
    </w:p>
    <w:p>
      <w:pPr>
        <w:spacing w:before="360" w:after="240"/>
        <w:jc w:val="center"/>
      </w:pPr>
      <w:r>
        <w:rPr>
          <w:rFonts w:ascii="Times New Roman" w:hAnsi="Times New Roman"/>
          <w:b/>
          <w:color w:val="000000"/>
          <w:sz w:val="28"/>
        </w:rPr>
        <w:t>DAFTAR PUSTAKA</w:t>
      </w:r>
    </w:p>
    <w:p>
      <w:pPr>
        <w:spacing w:before="40" w:after="120" w:line="276" w:lineRule="auto"/>
        <w:ind w:left="576" w:hanging="576"/>
        <w:jc w:val="both"/>
      </w:pPr>
      <w:r>
        <w:t>Badan Siber dan Sandi Negara. (2024). Laporan Tahunan Lanskap Keamanan Siber Indonesia 2023. Direktorat Operasi Keamanan Siber BSSN.</w:t>
      </w:r>
    </w:p>
    <w:p>
      <w:pPr>
        <w:spacing w:before="40" w:after="120" w:line="276" w:lineRule="auto"/>
        <w:ind w:left="576" w:hanging="576"/>
        <w:jc w:val="both"/>
      </w:pPr>
      <w:r>
        <w:t>Chopra, S., Hadsell, R., &amp; LeCun, Y. (2005). Learning a similarity metric discriminatively, with application to face verification. In IEEE Computer Society Conference on Computer Vision and Pattern Recognition (CVPR'05) (Vol. 1, pp. 539-546).</w:t>
      </w:r>
    </w:p>
    <w:p>
      <w:pPr>
        <w:spacing w:before="40" w:after="120" w:line="276" w:lineRule="auto"/>
        <w:ind w:left="576" w:hanging="576"/>
        <w:jc w:val="both"/>
      </w:pPr>
      <w:r>
        <w:t>DeLong, E. R., DeLong, D. M., &amp; Clarke-Pearson, D. L. (1988). Comparing the areas under two or more correlated receiver operating characteristic curves: a nonparametric approach. Biometrics, 44(3), 837-845.</w:t>
      </w:r>
    </w:p>
    <w:p>
      <w:pPr>
        <w:spacing w:before="40" w:after="120" w:line="276" w:lineRule="auto"/>
        <w:ind w:left="576" w:hanging="576"/>
        <w:jc w:val="both"/>
      </w:pPr>
      <w:r>
        <w:t>Dhamija, R., Tygar, J. D., &amp; Hearst, M. (2006). Why phishing works. In Proceedings of the SIGCHI Conference on Human Factors in Computing Systems (pp. 581-590).</w:t>
      </w:r>
    </w:p>
    <w:p>
      <w:pPr>
        <w:spacing w:before="40" w:after="120" w:line="276" w:lineRule="auto"/>
        <w:ind w:left="576" w:hanging="576"/>
        <w:jc w:val="both"/>
      </w:pPr>
      <w:r>
        <w:t>Dosovitskiy, A., Beyer, L., Kolesnikov, A., Weissenborn, D., Zhai, X., Unterthiner, T., Dehghani, M., Minderer, M., Heigold, G., Gelly, S., Uszkoreit, J., &amp; Houlsby, N. (2021). An Image is Worth 16x16 Words: Transformers for Image Recognition at Scale. In International Conference on Learning Representations (ICLR).</w:t>
      </w:r>
    </w:p>
    <w:p>
      <w:pPr>
        <w:spacing w:before="40" w:after="120" w:line="276" w:lineRule="auto"/>
        <w:ind w:left="576" w:hanging="576"/>
        <w:jc w:val="both"/>
      </w:pPr>
      <w:r>
        <w:t>Efron, B., &amp; Tibshirani, R. J. (1994). An Introduction to the Bootstrap. CRC Press.</w:t>
      </w:r>
    </w:p>
    <w:p>
      <w:pPr>
        <w:spacing w:before="40" w:after="120" w:line="276" w:lineRule="auto"/>
        <w:ind w:left="576" w:hanging="576"/>
        <w:jc w:val="both"/>
      </w:pPr>
      <w:r>
        <w:t>Goodfellow, I. J., Shlens, J., &amp; Szegedy, C. (2015). Explaining and harnessing adversarial examples. In International Conference on Learning Representations (ICLR).</w:t>
      </w:r>
    </w:p>
    <w:p>
      <w:pPr>
        <w:spacing w:before="40" w:after="120" w:line="276" w:lineRule="auto"/>
        <w:ind w:left="576" w:hanging="576"/>
        <w:jc w:val="both"/>
      </w:pPr>
      <w:r>
        <w:t>He, K., Zhang, X., Ren, S., &amp; Sun, J. (2016). Deep residual learning for image recognition. In Proceedings of the IEEE Conference on Computer Vision and Pattern Recognition (CVPR) (pp. 770-778).</w:t>
      </w:r>
    </w:p>
    <w:p>
      <w:pPr>
        <w:spacing w:before="40" w:after="120" w:line="276" w:lineRule="auto"/>
        <w:ind w:left="576" w:hanging="576"/>
        <w:jc w:val="both"/>
      </w:pPr>
      <w:r>
        <w:t>Jocher, G., Chaurasia, A., &amp; Qiu, J. (2023). Ultralytics YOLOv8 (Version 8.0.0) [Computer software]. https://github.com/ultralytics/ultralytics</w:t>
      </w:r>
    </w:p>
    <w:p>
      <w:pPr>
        <w:spacing w:before="40" w:after="120" w:line="276" w:lineRule="auto"/>
        <w:ind w:left="576" w:hanging="576"/>
        <w:jc w:val="both"/>
      </w:pPr>
      <w:r>
        <w:t>Madry, A., Makelov, A., Schmidt, L., Tsipras, D., &amp; Vladu, A. (2018). Towards Deep Learning Models Resistant to Adversarial Attacks. In International Conference on Learning Representations (ICLR).</w:t>
      </w:r>
    </w:p>
    <w:p>
      <w:pPr>
        <w:spacing w:before="40" w:after="120" w:line="276" w:lineRule="auto"/>
        <w:ind w:left="576" w:hanging="576"/>
        <w:jc w:val="both"/>
      </w:pPr>
      <w:r>
        <w:t>Neyman, J., &amp; Pearson, E. S. (1933). On the Problem of the most Efficient Tests of Statistical Hypotheses. Philosophical Transactions of the Royal Society of London. Series A, 231(694-706), 289-337.</w:t>
      </w:r>
    </w:p>
    <w:p>
      <w:pPr>
        <w:spacing w:before="40" w:after="120" w:line="276" w:lineRule="auto"/>
        <w:ind w:left="576" w:hanging="576"/>
        <w:jc w:val="both"/>
      </w:pPr>
      <w:r>
        <w:t>OpenPhish. (2026). Targeted Phishing Intelligence Data Feed. https://openphish.com</w:t>
      </w:r>
    </w:p>
    <w:p>
      <w:pPr>
        <w:spacing w:before="40" w:after="120" w:line="276" w:lineRule="auto"/>
        <w:ind w:left="576" w:hanging="576"/>
        <w:jc w:val="both"/>
      </w:pPr>
      <w:r>
        <w:t>PhishTank. (2026). Collaborative Clearing House for Data and Information About Phishing on the Internet. https://phishtank.org</w:t>
      </w:r>
    </w:p>
    <w:p>
      <w:pPr>
        <w:spacing w:before="40" w:after="120" w:line="276" w:lineRule="auto"/>
        <w:ind w:left="576" w:hanging="576"/>
        <w:jc w:val="both"/>
      </w:pPr>
      <w:r>
        <w:t>Schroff, F., Kalenichenko, D., &amp; Philbin, J. (2015). FaceNet: A unified embedding for face recognition and clustering. In Proceedings of the IEEE Conference on Computer Vision and Pattern Recognition (CVPR) (pp. 815-823).</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