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0" w:line="240" w:lineRule="auto"/>
        <w:jc w:val="left"/>
      </w:pPr>
      <w:r>
        <w:rPr>
          <w:rFonts w:ascii="Times New Roman" w:hAnsi="Times New Roman" w:cs="Times New Roman" w:eastAsia="Times New Roman"/>
          <w:sz w:val="28"/>
          <w:szCs w:val="28"/>
        </w:rPr>
        <w:t xml:space="preserve">Vinzen Borja</w:t>
      </w:r>
    </w:p>
    <w:p>
      <w:pPr>
        <w:spacing w:before="0" w:after="0" w:line="240" w:lineRule="auto"/>
        <w:jc w:val="left"/>
      </w:pPr>
      <w:r>
        <w:rPr>
          <w:rFonts w:ascii="Times New Roman" w:hAnsi="Times New Roman" w:cs="Times New Roman" w:eastAsia="Times New Roman"/>
          <w:sz w:val="28"/>
          <w:szCs w:val="28"/>
        </w:rPr>
        <w:t xml:space="preserve">221027</w:t>
      </w:r>
    </w:p>
    <w:p>
      <w:pPr>
        <w:spacing w:before="0" w:after="0" w:line="240" w:lineRule="auto"/>
        <w:jc w:val="left"/>
      </w:pPr>
      <w:r>
        <w:rPr>
          <w:rFonts w:ascii="Times New Roman" w:hAnsi="Times New Roman" w:cs="Times New Roman" w:eastAsia="Times New Roman"/>
          <w:sz w:val="28"/>
          <w:szCs w:val="28"/>
        </w:rPr>
        <w:t xml:space="preserve">Law 99: Legal Bibliography — Assignment 2</w:t>
      </w:r>
    </w:p>
    <w:p>
      <w:pPr>
        <w:spacing w:before="0" w:after="120" w:line="240" w:lineRule="auto"/>
        <w:jc w:val="left"/>
      </w:pPr>
      <w:r>
        <w:rPr>
          <w:rFonts w:ascii="Times New Roman" w:hAnsi="Times New Roman" w:cs="Times New Roman" w:eastAsia="Times New Roman"/>
          <w:b/>
          <w:bCs/>
          <w:sz w:val="28"/>
          <w:szCs w:val="28"/>
        </w:rPr>
        <w:t xml:space="preserve">TOPIC: SAME-SEX MARRIAGE/PARTNERSHIP BETWEEN FILIPINOS</w:t>
      </w:r>
    </w:p>
    <w:tbl>
      <w:tblPr>
        <w:tblStyle w:val="TableGrid"/>
        <w:tblW w:w="0" w:type="auto"/>
        <w:tblLook w:val="04A0" w:firstRow="1" w:lastRow="0" w:firstColumn="1" w:lastColumn="0" w:noHBand="0" w:noVBand="1"/>
      </w:tblPr>
      <w:tblGrid>
        <w:gridCol w:w="760"/>
        <w:gridCol w:w="9800"/>
        <w:gridCol w:w="2400"/>
        <w:gridCol w:w="4225"/>
      </w:tblGrid>
      <w:tr w:rsidR="00C154F1" w14:paraId="23E5CF91" w14:textId="77777777" w:rsidTr="00962418">
        <w:tc>
          <w:tcPr>
            <w:tcW w:w="760" w:type="dxa"/>
          </w:tcPr>
          <w:p w14:paraId="3B5F3F9B" w14:textId="77777777" w:rsidR="00C154F1" w:rsidRDefault="00C154F1" w:rsidP="00C154F1">
            <w:pPr>
              <w:jc w:val="both"/>
              <w:rPr>
                <w:rFonts w:ascii="Times New Roman" w:hAnsi="Times New Roman" w:cs="Times New Roman" w:eastAsia="Times New Roman"/>
                <w:sz w:val="28"/>
                <w:szCs w:val="28"/>
              </w:rPr>
            </w:pPr>
          </w:p>
        </w:tc>
        <w:tc>
          <w:tcPr>
            <w:tcW w:w="9800" w:type="dxa"/>
          </w:tcPr>
          <w:p w14:paraId="67E8EEC6" w14:textId="786F3698" w:rsidR="00C154F1" w:rsidRDefault="00C154F1" w:rsidP="00C154F1">
            <w:pPr>
              <w:jc w:val="both"/>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Name </w:t>
            </w:r>
            <w:r w:rsidR="001C7518" w:rsidRPr="00962418">
              <w:rPr>
                <w:rFonts w:ascii="Times New Roman" w:hAnsi="Times New Roman" w:cs="Times New Roman" w:eastAsia="Times New Roman"/>
                <w:b/>
                <w:bCs/>
                <w:sz w:val="28"/>
                <w:szCs w:val="28"/>
              </w:rPr>
              <w:t xml:space="preserve">and details </w:t>
            </w:r>
            <w:r w:rsidRPr="00962418">
              <w:rPr>
                <w:rFonts w:ascii="Times New Roman" w:hAnsi="Times New Roman" w:cs="Times New Roman" w:eastAsia="Times New Roman"/>
                <w:b/>
                <w:bCs/>
                <w:sz w:val="28"/>
                <w:szCs w:val="28"/>
              </w:rPr>
              <w:t>of material</w:t>
            </w:r>
          </w:p>
          <w:p w14:paraId="36B671EB" w14:textId="0E7A5A94" w:rsidR="00962114" w:rsidRPr="00962114" w:rsidRDefault="00962114" w:rsidP="00C154F1">
            <w:pPr>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Include one-sentence remark on the relevance of the material to the chosen topic</w:t>
            </w:r>
          </w:p>
          <w:p w14:paraId="6B382C1D" w14:textId="77777777" w:rsidR="00C154F1" w:rsidRDefault="00C154F1" w:rsidP="00C154F1">
            <w:pPr>
              <w:jc w:val="both"/>
              <w:rPr>
                <w:rFonts w:ascii="Times New Roman" w:hAnsi="Times New Roman" w:cs="Times New Roman" w:eastAsia="Times New Roman"/>
                <w:sz w:val="28"/>
                <w:szCs w:val="28"/>
              </w:rPr>
            </w:pPr>
          </w:p>
          <w:p w14:paraId="0DEEBB52" w14:textId="2B3AB47E" w:rsidR="00C154F1" w:rsidRDefault="00C154F1" w:rsidP="00C154F1">
            <w:pPr>
              <w:jc w:val="both"/>
              <w:rPr>
                <w:rFonts w:ascii="Times New Roman" w:hAnsi="Times New Roman" w:cs="Times New Roman" w:eastAsia="Times New Roman"/>
                <w:i/>
                <w:iCs/>
                <w:sz w:val="28"/>
                <w:szCs w:val="28"/>
              </w:rPr>
            </w:pPr>
            <w:r>
              <w:rPr>
                <w:rFonts w:ascii="Times New Roman" w:hAnsi="Times New Roman" w:cs="Times New Roman" w:eastAsia="Times New Roman"/>
                <w:i/>
                <w:iCs/>
                <w:sz w:val="28"/>
                <w:szCs w:val="28"/>
              </w:rPr>
              <w:t xml:space="preserve">For </w:t>
            </w:r>
            <w:r w:rsidR="00E8425D">
              <w:rPr>
                <w:rFonts w:ascii="Times New Roman" w:hAnsi="Times New Roman" w:cs="Times New Roman" w:eastAsia="Times New Roman"/>
                <w:i/>
                <w:iCs/>
                <w:sz w:val="28"/>
                <w:szCs w:val="28"/>
              </w:rPr>
              <w:t xml:space="preserve">primary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List according to</w:t>
            </w:r>
            <w:r w:rsidR="001C7518">
              <w:rPr>
                <w:rFonts w:ascii="Times New Roman" w:hAnsi="Times New Roman" w:cs="Times New Roman" w:eastAsia="Times New Roman"/>
                <w:i/>
                <w:iCs/>
                <w:sz w:val="28"/>
                <w:szCs w:val="28"/>
              </w:rPr>
              <w:t xml:space="preserve"> the type of source, arranged according to</w:t>
            </w:r>
            <w:r>
              <w:rPr>
                <w:rFonts w:ascii="Times New Roman" w:hAnsi="Times New Roman" w:cs="Times New Roman" w:eastAsia="Times New Roman"/>
                <w:i/>
                <w:iCs/>
                <w:sz w:val="28"/>
                <w:szCs w:val="28"/>
              </w:rPr>
              <w:t xml:space="preserve"> hierarchy of laws</w:t>
            </w:r>
          </w:p>
          <w:p w14:paraId="5D2D6A67" w14:textId="77777777" w:rsidR="00C154F1" w:rsidRDefault="00C154F1" w:rsidP="00C154F1">
            <w:pPr>
              <w:jc w:val="both"/>
              <w:rPr>
                <w:rFonts w:ascii="Times New Roman" w:hAnsi="Times New Roman" w:cs="Times New Roman" w:eastAsia="Times New Roman"/>
                <w:i/>
                <w:iCs/>
                <w:sz w:val="28"/>
                <w:szCs w:val="28"/>
              </w:rPr>
            </w:pPr>
          </w:p>
          <w:p w14:paraId="5017FD24" w14:textId="107982B0" w:rsidR="00962114" w:rsidRPr="00962114" w:rsidRDefault="00E8425D" w:rsidP="00C154F1">
            <w:pPr>
              <w:jc w:val="both"/>
              <w:rPr>
                <w:rFonts w:ascii="Times New Roman" w:hAnsi="Times New Roman" w:cs="Times New Roman" w:eastAsia="Times New Roman"/>
                <w:sz w:val="28"/>
                <w:szCs w:val="28"/>
              </w:rPr>
            </w:pPr>
            <w:r>
              <w:rPr>
                <w:rFonts w:ascii="Times New Roman" w:hAnsi="Times New Roman" w:cs="Times New Roman" w:eastAsia="Times New Roman"/>
                <w:i/>
                <w:iCs/>
                <w:sz w:val="28"/>
                <w:szCs w:val="28"/>
              </w:rPr>
              <w:t xml:space="preserve">For secondary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List according to the type of </w:t>
            </w:r>
            <w:r w:rsidR="001C7518">
              <w:rPr>
                <w:rFonts w:ascii="Times New Roman" w:hAnsi="Times New Roman" w:cs="Times New Roman" w:eastAsia="Times New Roman"/>
                <w:i/>
                <w:iCs/>
                <w:sz w:val="28"/>
                <w:szCs w:val="28"/>
              </w:rPr>
              <w:t>source, arranged</w:t>
            </w:r>
            <w:r>
              <w:rPr>
                <w:rFonts w:ascii="Times New Roman" w:hAnsi="Times New Roman" w:cs="Times New Roman" w:eastAsia="Times New Roman"/>
                <w:i/>
                <w:iCs/>
                <w:sz w:val="28"/>
                <w:szCs w:val="28"/>
              </w:rPr>
              <w:t xml:space="preserve"> from most reliable to least reliable</w:t>
            </w:r>
          </w:p>
        </w:tc>
        <w:tc>
          <w:tcPr>
            <w:tcW w:w="2400" w:type="dxa"/>
          </w:tcPr>
          <w:p w14:paraId="1B11DFAF" w14:textId="3590CE56" w:rsidR="00C154F1" w:rsidRPr="00962418" w:rsidRDefault="00C154F1" w:rsidP="00C154F1">
            <w:pPr>
              <w:jc w:val="both"/>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Persuasive value</w:t>
            </w:r>
          </w:p>
          <w:p w14:paraId="123CFDB6" w14:textId="77777777" w:rsidR="00C9537E" w:rsidRDefault="00C9537E" w:rsidP="00C154F1">
            <w:pPr>
              <w:jc w:val="both"/>
              <w:rPr>
                <w:rFonts w:ascii="Times New Roman" w:hAnsi="Times New Roman" w:cs="Times New Roman" w:eastAsia="Times New Roman"/>
                <w:sz w:val="28"/>
                <w:szCs w:val="28"/>
              </w:rPr>
            </w:pPr>
          </w:p>
          <w:p w14:paraId="28CA428E" w14:textId="038108CC" w:rsidR="00C9537E" w:rsidRDefault="00C9537E" w:rsidP="00C154F1">
            <w:pPr>
              <w:jc w:val="both"/>
              <w:rPr>
                <w:rFonts w:ascii="Times New Roman" w:hAnsi="Times New Roman" w:cs="Times New Roman" w:eastAsia="Times New Roman"/>
                <w:sz w:val="28"/>
                <w:szCs w:val="28"/>
              </w:rPr>
            </w:pPr>
            <w:r w:rsidRPr="00C9537E">
              <w:rPr>
                <w:rFonts w:ascii="Times New Roman" w:hAnsi="Times New Roman" w:cs="Times New Roman" w:eastAsia="Times New Roman"/>
                <w:i/>
                <w:iCs/>
                <w:sz w:val="28"/>
                <w:szCs w:val="28"/>
              </w:rPr>
              <w:t xml:space="preserve">For primary </w:t>
            </w:r>
            <w:r w:rsidR="008C1B6A">
              <w:rPr>
                <w:rFonts w:ascii="Times New Roman" w:hAnsi="Times New Roman" w:cs="Times New Roman" w:eastAsia="Times New Roman"/>
                <w:i/>
                <w:iCs/>
                <w:sz w:val="28"/>
                <w:szCs w:val="28"/>
              </w:rPr>
              <w:t>sources</w:t>
            </w:r>
            <w:r w:rsidRPr="00C9537E">
              <w:rPr>
                <w:rFonts w:ascii="Times New Roman" w:hAnsi="Times New Roman" w:cs="Times New Roman" w:eastAsia="Times New Roman"/>
                <w:i/>
                <w:iCs/>
                <w:sz w:val="28"/>
                <w:szCs w:val="28"/>
              </w:rPr>
              <w:t>: Mandatory or Persuasive</w:t>
            </w:r>
          </w:p>
          <w:p w14:paraId="19FA6F6F" w14:textId="77777777" w:rsidR="00C9537E" w:rsidRDefault="00C9537E" w:rsidP="00C154F1">
            <w:pPr>
              <w:jc w:val="both"/>
              <w:rPr>
                <w:rFonts w:ascii="Times New Roman" w:hAnsi="Times New Roman" w:cs="Times New Roman" w:eastAsia="Times New Roman"/>
                <w:sz w:val="28"/>
                <w:szCs w:val="28"/>
              </w:rPr>
            </w:pPr>
          </w:p>
          <w:p w14:paraId="43573421" w14:textId="6ABC8F2A" w:rsidR="00C9537E" w:rsidRPr="001C7518" w:rsidRDefault="00C9537E" w:rsidP="00C154F1">
            <w:pPr>
              <w:jc w:val="both"/>
              <w:rPr>
                <w:rFonts w:ascii="Times New Roman" w:hAnsi="Times New Roman" w:cs="Times New Roman" w:eastAsia="Times New Roman"/>
                <w:sz w:val="28"/>
                <w:szCs w:val="28"/>
                <w:u w:val="single"/>
              </w:rPr>
            </w:pPr>
            <w:r>
              <w:rPr>
                <w:rFonts w:ascii="Times New Roman" w:hAnsi="Times New Roman" w:cs="Times New Roman" w:eastAsia="Times New Roman"/>
                <w:i/>
                <w:iCs/>
                <w:sz w:val="28"/>
                <w:szCs w:val="28"/>
              </w:rPr>
              <w:t xml:space="preserve">For secondary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w:t>
            </w:r>
            <w:r w:rsidR="001C7518">
              <w:rPr>
                <w:rFonts w:ascii="Times New Roman" w:hAnsi="Times New Roman" w:cs="Times New Roman" w:eastAsia="Times New Roman"/>
                <w:i/>
                <w:iCs/>
                <w:sz w:val="28"/>
                <w:szCs w:val="28"/>
              </w:rPr>
              <w:t xml:space="preserve">Persuasive </w:t>
            </w:r>
            <w:r w:rsidR="001C7518" w:rsidRPr="001C7518">
              <w:rPr>
                <w:rFonts w:ascii="Times New Roman" w:hAnsi="Times New Roman" w:cs="Times New Roman" w:eastAsia="Times New Roman"/>
                <w:b/>
                <w:bCs/>
                <w:i/>
                <w:iCs/>
                <w:sz w:val="28"/>
                <w:szCs w:val="28"/>
              </w:rPr>
              <w:t>only</w:t>
            </w:r>
          </w:p>
        </w:tc>
        <w:tc>
          <w:tcPr>
            <w:tcW w:w="4225" w:type="dxa"/>
          </w:tcPr>
          <w:p w14:paraId="6D362CCD" w14:textId="7E6A1554" w:rsidR="00C154F1" w:rsidRPr="00962418" w:rsidRDefault="008C1B6A" w:rsidP="00C154F1">
            <w:pPr>
              <w:jc w:val="both"/>
              <w:rPr>
                <w:rFonts w:ascii="Times New Roman" w:hAnsi="Times New Roman" w:cs="Times New Roman" w:eastAsia="Times New Roman"/>
                <w:b/>
                <w:bCs/>
                <w:sz w:val="28"/>
                <w:szCs w:val="28"/>
              </w:rPr>
            </w:pPr>
            <w:r>
              <w:rPr>
                <w:rFonts w:ascii="Times New Roman" w:hAnsi="Times New Roman" w:cs="Times New Roman" w:eastAsia="Times New Roman"/>
                <w:b/>
                <w:bCs/>
                <w:sz w:val="28"/>
                <w:szCs w:val="28"/>
              </w:rPr>
              <w:t>Repositories/Databases</w:t>
            </w:r>
          </w:p>
          <w:p w14:paraId="0799D6D4" w14:textId="77777777" w:rsidR="00E8425D" w:rsidRDefault="00E8425D" w:rsidP="00C154F1">
            <w:pPr>
              <w:jc w:val="both"/>
              <w:rPr>
                <w:rFonts w:ascii="Times New Roman" w:hAnsi="Times New Roman" w:cs="Times New Roman" w:eastAsia="Times New Roman"/>
                <w:sz w:val="28"/>
                <w:szCs w:val="28"/>
              </w:rPr>
            </w:pPr>
          </w:p>
          <w:p w14:paraId="6EB4015B" w14:textId="1EBABAE0" w:rsidR="00E8425D" w:rsidRDefault="00D169B5" w:rsidP="00C154F1">
            <w:pPr>
              <w:jc w:val="both"/>
              <w:rPr>
                <w:rFonts w:ascii="Times New Roman" w:hAnsi="Times New Roman" w:cs="Times New Roman" w:eastAsia="Times New Roman"/>
                <w:i/>
                <w:iCs/>
                <w:sz w:val="28"/>
                <w:szCs w:val="28"/>
              </w:rPr>
            </w:pPr>
            <w:r>
              <w:rPr>
                <w:rFonts w:ascii="Times New Roman" w:hAnsi="Times New Roman" w:cs="Times New Roman" w:eastAsia="Times New Roman"/>
                <w:i/>
                <w:iCs/>
                <w:sz w:val="28"/>
                <w:szCs w:val="28"/>
              </w:rPr>
              <w:t xml:space="preserve">For primary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List </w:t>
            </w:r>
            <w:r w:rsidR="00962418">
              <w:rPr>
                <w:rFonts w:ascii="Times New Roman" w:hAnsi="Times New Roman" w:cs="Times New Roman" w:eastAsia="Times New Roman"/>
                <w:i/>
                <w:iCs/>
                <w:sz w:val="28"/>
                <w:szCs w:val="28"/>
              </w:rPr>
              <w:t>the online and/or non-online legal database where the material may be found</w:t>
            </w:r>
          </w:p>
          <w:p w14:paraId="74FF936B" w14:textId="77777777" w:rsidR="001C7518" w:rsidRDefault="001C7518" w:rsidP="00C154F1">
            <w:pPr>
              <w:jc w:val="both"/>
              <w:rPr>
                <w:rFonts w:ascii="Times New Roman" w:hAnsi="Times New Roman" w:cs="Times New Roman" w:eastAsia="Times New Roman"/>
                <w:i/>
                <w:iCs/>
                <w:sz w:val="28"/>
                <w:szCs w:val="28"/>
              </w:rPr>
            </w:pPr>
          </w:p>
          <w:p w14:paraId="0377BEF8" w14:textId="581DF1CC" w:rsidR="001C7518" w:rsidRDefault="001C7518" w:rsidP="00C154F1">
            <w:pPr>
              <w:jc w:val="both"/>
              <w:rPr>
                <w:rFonts w:ascii="Times New Roman" w:hAnsi="Times New Roman" w:cs="Times New Roman" w:eastAsia="Times New Roman"/>
                <w:sz w:val="28"/>
                <w:szCs w:val="28"/>
              </w:rPr>
            </w:pPr>
            <w:r>
              <w:rPr>
                <w:rFonts w:ascii="Times New Roman" w:hAnsi="Times New Roman" w:cs="Times New Roman" w:eastAsia="Times New Roman"/>
                <w:i/>
                <w:iCs/>
                <w:sz w:val="28"/>
                <w:szCs w:val="28"/>
              </w:rPr>
              <w:t xml:space="preserve">For secondary </w:t>
            </w:r>
            <w:r w:rsidR="00FD0C30">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w:t>
            </w:r>
            <w:r w:rsidR="00962418">
              <w:rPr>
                <w:rFonts w:ascii="Times New Roman" w:hAnsi="Times New Roman" w:cs="Times New Roman" w:eastAsia="Times New Roman"/>
                <w:i/>
                <w:iCs/>
                <w:sz w:val="28"/>
                <w:szCs w:val="28"/>
              </w:rPr>
              <w:t>Leave blank</w:t>
            </w:r>
          </w:p>
        </w:tc>
      </w:tr>
      <w:tr w:rsidR="00C9537E" w:rsidRPr="00962418" w14:paraId="28E31327" w14:textId="77777777" w:rsidTr="00962418">
        <w:tc>
          <w:tcPr>
            <w:tcW w:w="760" w:type="dxa"/>
          </w:tcPr>
          <w:p w14:paraId="4258AC3E" w14:textId="77777777" w:rsidR="00C9537E" w:rsidRPr="00962418" w:rsidRDefault="00C9537E" w:rsidP="00C154F1">
            <w:pPr>
              <w:jc w:val="both"/>
              <w:rPr>
                <w:rFonts w:ascii="Times New Roman" w:hAnsi="Times New Roman" w:cs="Times New Roman" w:eastAsia="Times New Roman"/>
                <w:b/>
                <w:bCs/>
                <w:sz w:val="28"/>
                <w:szCs w:val="28"/>
              </w:rPr>
            </w:pPr>
          </w:p>
        </w:tc>
        <w:tc>
          <w:tcPr>
            <w:tcW w:w="16425" w:type="dxa"/>
            <w:gridSpan w:val="3"/>
          </w:tcPr>
          <w:p w14:paraId="6F12375E" w14:textId="510F22F3" w:rsidR="00C9537E" w:rsidRPr="00962418" w:rsidRDefault="00C9537E" w:rsidP="00C9537E">
            <w:pPr>
              <w:jc w:val="center"/>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PRIMARY </w:t>
            </w:r>
            <w:r w:rsidR="008C1B6A">
              <w:rPr>
                <w:rFonts w:ascii="Times New Roman" w:hAnsi="Times New Roman" w:cs="Times New Roman" w:eastAsia="Times New Roman"/>
                <w:b/>
                <w:bCs/>
                <w:sz w:val="28"/>
                <w:szCs w:val="28"/>
              </w:rPr>
              <w:t>SOURCES</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A.</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1987 CONSTITUTION OF THE REPUBLIC OF THE PHILIPPINES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2.</w:t>
            </w:r>
          </w:p>
          <w:p>
            <w:pPr>
              <w:spacing w:before="60" w:after="0" w:line="240" w:lineRule="auto"/>
              <w:jc w:val="both"/>
            </w:pPr>
            <w:r>
              <w:rPr>
                <w:rFonts w:ascii="Times New Roman" w:hAnsi="Times New Roman" w:cs="Times New Roman" w:eastAsia="Times New Roman"/>
                <w:sz w:val="28"/>
                <w:szCs w:val="28"/>
              </w:rPr>
              <w:t xml:space="preserve">By adopting the generally accepted principles of international law as part of the law of the land, this incorporation clause is the gateway through which international human rights norms on equality and family life are invoked in the same-sex marriage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6.</w:t>
            </w:r>
          </w:p>
          <w:p>
            <w:pPr>
              <w:spacing w:before="60" w:after="0" w:line="240" w:lineRule="auto"/>
              <w:jc w:val="both"/>
            </w:pPr>
            <w:r>
              <w:rPr>
                <w:rFonts w:ascii="Times New Roman" w:hAnsi="Times New Roman" w:cs="Times New Roman" w:eastAsia="Times New Roman"/>
                <w:sz w:val="28"/>
                <w:szCs w:val="28"/>
              </w:rPr>
              <w:t xml:space="preserve">Declares the separation of Church and State inviolable, a principle invoked by those who argue that religious conceptions of marriage cannot by themselves justify withholding civil recognition from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11.</w:t>
            </w:r>
          </w:p>
          <w:p>
            <w:pPr>
              <w:spacing w:before="60" w:after="0" w:line="240" w:lineRule="auto"/>
              <w:jc w:val="both"/>
            </w:pPr>
            <w:r>
              <w:rPr>
                <w:rFonts w:ascii="Times New Roman" w:hAnsi="Times New Roman" w:cs="Times New Roman" w:eastAsia="Times New Roman"/>
                <w:sz w:val="28"/>
                <w:szCs w:val="28"/>
              </w:rPr>
              <w:t xml:space="preserve">Commits the State to value the dignity of every human person and to guarantee full respect for human rights, a policy cited by advocates of legal recognition for same-sex partnerships.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12.</w:t>
            </w:r>
          </w:p>
          <w:p>
            <w:pPr>
              <w:spacing w:before="60" w:after="0" w:line="240" w:lineRule="auto"/>
              <w:jc w:val="both"/>
            </w:pPr>
            <w:r>
              <w:rPr>
                <w:rFonts w:ascii="Times New Roman" w:hAnsi="Times New Roman" w:cs="Times New Roman" w:eastAsia="Times New Roman"/>
                <w:sz w:val="28"/>
                <w:szCs w:val="28"/>
              </w:rPr>
              <w:t xml:space="preserve">Recognizes the sanctity of family life and protects the family as a basic autonomous social institution, framing the question of whether households formed by same-sex partners fall within the State’s protection of families.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III, sec. 1.</w:t>
            </w:r>
          </w:p>
          <w:p>
            <w:pPr>
              <w:spacing w:before="60" w:after="0" w:line="240" w:lineRule="auto"/>
              <w:jc w:val="both"/>
            </w:pPr>
            <w:r>
              <w:rPr>
                <w:rFonts w:ascii="Times New Roman" w:hAnsi="Times New Roman" w:cs="Times New Roman" w:eastAsia="Times New Roman"/>
                <w:sz w:val="28"/>
                <w:szCs w:val="28"/>
              </w:rPr>
              <w:t xml:space="preserve">The due process and equal protection clauses are the principal constitutional grounds invoked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against the Family Code’s restriction of marriage to a man and a woman, and were applied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to strike down discrimination against an LGBT group.</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III, sec. 5.</w:t>
            </w:r>
          </w:p>
          <w:p>
            <w:pPr>
              <w:spacing w:before="60" w:after="0" w:line="240" w:lineRule="auto"/>
              <w:jc w:val="both"/>
            </w:pPr>
            <w:r>
              <w:rPr>
                <w:rFonts w:ascii="Times New Roman" w:hAnsi="Times New Roman" w:cs="Times New Roman" w:eastAsia="Times New Roman"/>
                <w:sz w:val="28"/>
                <w:szCs w:val="28"/>
              </w:rPr>
              <w:t xml:space="preserve">Guarantees the free exercise of religion and prohibits its establishment, provisions relied upon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against religion-based exclusion and invoked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by a church that sought to solemnize same-sex unions.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XIII, sec. 18.</w:t>
            </w:r>
          </w:p>
          <w:p>
            <w:pPr>
              <w:spacing w:before="60" w:after="0" w:line="240" w:lineRule="auto"/>
              <w:jc w:val="both"/>
            </w:pPr>
            <w:r>
              <w:rPr>
                <w:rFonts w:ascii="Times New Roman" w:hAnsi="Times New Roman" w:cs="Times New Roman" w:eastAsia="Times New Roman"/>
                <w:sz w:val="28"/>
                <w:szCs w:val="28"/>
              </w:rPr>
              <w:t xml:space="preserve">Empowers the Commission on Human Rights to investigate human rights violations and to recommend measures to Congress, the constitutional basis of its advocacy for SOGIESC equality and civil partnership legislation.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1.</w:t>
            </w:r>
          </w:p>
          <w:p>
            <w:pPr>
              <w:spacing w:before="60" w:after="0" w:line="240" w:lineRule="auto"/>
              <w:jc w:val="both"/>
            </w:pPr>
            <w:r>
              <w:rPr>
                <w:rFonts w:ascii="Times New Roman" w:hAnsi="Times New Roman" w:cs="Times New Roman" w:eastAsia="Times New Roman"/>
                <w:sz w:val="28"/>
                <w:szCs w:val="28"/>
              </w:rPr>
              <w:t xml:space="preserve">Recognizes the Filipino family as the foundation of the nation without defining “family” by reference to the sex of its members.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2.</w:t>
            </w:r>
          </w:p>
          <w:p>
            <w:pPr>
              <w:spacing w:before="60" w:after="0" w:line="240" w:lineRule="auto"/>
              <w:jc w:val="both"/>
            </w:pPr>
            <w:r>
              <w:rPr>
                <w:rFonts w:ascii="Times New Roman" w:hAnsi="Times New Roman" w:cs="Times New Roman" w:eastAsia="Times New Roman"/>
                <w:sz w:val="28"/>
                <w:szCs w:val="28"/>
              </w:rPr>
              <w:t xml:space="preserve">Declares marriage an inviolable social institution and the foundation of the family; as the Supreme Court observed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the Constitution does not define or restrict marriage on the basis of sex, gender, sexual orientation, or gender identity or expression.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3, par. (1).</w:t>
            </w:r>
          </w:p>
          <w:p>
            <w:pPr>
              <w:spacing w:before="60" w:after="0" w:line="240" w:lineRule="auto"/>
              <w:jc w:val="both"/>
            </w:pPr>
            <w:r>
              <w:rPr>
                <w:rFonts w:ascii="Times New Roman" w:hAnsi="Times New Roman" w:cs="Times New Roman" w:eastAsia="Times New Roman"/>
                <w:sz w:val="28"/>
                <w:szCs w:val="28"/>
              </w:rPr>
              <w:t xml:space="preserve">Protects the right of spouses to found a family in accordance with their religious convictions, a right that presupposes a legally recognized marriage which same-sex couples presently cannot contract.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B.</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STATUTES AND INTERNATIONAL LAW</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1.</w:t>
            </w:r>
          </w:p>
          <w:p>
            <w:pPr>
              <w:spacing w:before="60" w:after="0" w:line="240" w:lineRule="auto"/>
              <w:jc w:val="both"/>
            </w:pPr>
            <w:r>
              <w:rPr>
                <w:rFonts w:ascii="Times New Roman" w:hAnsi="Times New Roman" w:cs="Times New Roman" w:eastAsia="Times New Roman"/>
                <w:sz w:val="28"/>
                <w:szCs w:val="28"/>
              </w:rPr>
              <w:t xml:space="preserve">Defines marriage as “a special contract of permanent union between a man and a woman,” the core statutory provision excluding same-sex couples from marriage and the main target of the petition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2 (1).</w:t>
            </w:r>
          </w:p>
          <w:p>
            <w:pPr>
              <w:spacing w:before="60" w:after="0" w:line="240" w:lineRule="auto"/>
              <w:jc w:val="both"/>
            </w:pPr>
            <w:r>
              <w:rPr>
                <w:rFonts w:ascii="Times New Roman" w:hAnsi="Times New Roman" w:cs="Times New Roman" w:eastAsia="Times New Roman"/>
                <w:sz w:val="28"/>
                <w:szCs w:val="28"/>
              </w:rPr>
              <w:t xml:space="preserve">Requires, as an essential requisite of marriage, the legal capacity of the contracting parties “who must be a male and a female,” the absence of which renders a marriage void </w:t>
            </w:r>
            <w:r>
              <w:rPr>
                <w:rFonts w:ascii="Times New Roman" w:hAnsi="Times New Roman" w:cs="Times New Roman" w:eastAsia="Times New Roman"/>
                <w:i/>
                <w:iCs/>
                <w:sz w:val="28"/>
                <w:szCs w:val="28"/>
              </w:rPr>
              <w:t xml:space="preserve">ab initio</w:t>
            </w:r>
            <w:r>
              <w:rPr>
                <w:rFonts w:ascii="Times New Roman" w:hAnsi="Times New Roman" w:cs="Times New Roman" w:eastAsia="Times New Roman"/>
                <w:sz w:val="28"/>
                <w:szCs w:val="28"/>
              </w:rPr>
              <w:t xml:space="preserve"> under Article 4.</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26, par. 1.</w:t>
            </w:r>
          </w:p>
          <w:p>
            <w:pPr>
              <w:spacing w:before="60" w:after="0" w:line="240" w:lineRule="auto"/>
              <w:jc w:val="both"/>
            </w:pPr>
            <w:r>
              <w:rPr>
                <w:rFonts w:ascii="Times New Roman" w:hAnsi="Times New Roman" w:cs="Times New Roman" w:eastAsia="Times New Roman"/>
                <w:sz w:val="28"/>
                <w:szCs w:val="28"/>
              </w:rPr>
              <w:t xml:space="preserve">Recognizes as valid in the Philippines marriages validly solemnized abroad, subject to listed exceptions, the provision on which arguments for recognizing same-sex marriages of Filipinos celebrated abroad are built.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45 (3), in relation to art. 46 (4).</w:t>
            </w:r>
          </w:p>
          <w:p>
            <w:pPr>
              <w:spacing w:before="60" w:after="0" w:line="240" w:lineRule="auto"/>
              <w:jc w:val="both"/>
            </w:pPr>
            <w:r>
              <w:rPr>
                <w:rFonts w:ascii="Times New Roman" w:hAnsi="Times New Roman" w:cs="Times New Roman" w:eastAsia="Times New Roman"/>
                <w:sz w:val="28"/>
                <w:szCs w:val="28"/>
              </w:rPr>
              <w:t xml:space="preserve">Treats the concealment of “homosexuality or lesbianism existing at the time of the marriage” as fraud that renders a marriage voidable, a provision assailed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and applied in </w:t>
            </w:r>
            <w:r>
              <w:rPr>
                <w:rFonts w:ascii="Times New Roman" w:hAnsi="Times New Roman" w:cs="Times New Roman" w:eastAsia="Times New Roman"/>
                <w:i/>
                <w:iCs/>
                <w:sz w:val="28"/>
                <w:szCs w:val="28"/>
              </w:rPr>
              <w:t xml:space="preserve">Salva-Roldan v. Roldan</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55 (6).</w:t>
            </w:r>
          </w:p>
          <w:p>
            <w:pPr>
              <w:spacing w:before="60" w:after="0" w:line="240" w:lineRule="auto"/>
              <w:jc w:val="both"/>
            </w:pPr>
            <w:r>
              <w:rPr>
                <w:rFonts w:ascii="Times New Roman" w:hAnsi="Times New Roman" w:cs="Times New Roman" w:eastAsia="Times New Roman"/>
                <w:sz w:val="28"/>
                <w:szCs w:val="28"/>
              </w:rPr>
              <w:t xml:space="preserve">Makes the “lesbianism or homosexuality of the respondent” a ground for legal separation, a provision likewise assailed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as discriminatory against LGBT persons.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148.</w:t>
            </w:r>
          </w:p>
          <w:p>
            <w:pPr>
              <w:spacing w:before="60" w:after="0" w:line="240" w:lineRule="auto"/>
              <w:jc w:val="both"/>
            </w:pPr>
            <w:r>
              <w:rPr>
                <w:rFonts w:ascii="Times New Roman" w:hAnsi="Times New Roman" w:cs="Times New Roman" w:eastAsia="Times New Roman"/>
                <w:sz w:val="28"/>
                <w:szCs w:val="28"/>
              </w:rPr>
              <w:t xml:space="preserve">Governs property relations in cohabitation not covered by Article 147, recognizing co-ownership only in proportion to actual joint contributions, the rule the Supreme Court applied to same-sex partners in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Civil Code</w:t>
            </w:r>
            <w:r>
              <w:rPr>
                <w:rFonts w:ascii="Times New Roman" w:hAnsi="Times New Roman" w:cs="Times New Roman" w:eastAsia="Times New Roman"/>
                <w:sz w:val="28"/>
                <w:szCs w:val="28"/>
              </w:rPr>
              <w:t xml:space="preserve">, art. 15.</w:t>
            </w:r>
          </w:p>
          <w:p>
            <w:pPr>
              <w:spacing w:before="60" w:after="0" w:line="240" w:lineRule="auto"/>
              <w:jc w:val="both"/>
            </w:pPr>
            <w:r>
              <w:rPr>
                <w:rFonts w:ascii="Times New Roman" w:hAnsi="Times New Roman" w:cs="Times New Roman" w:eastAsia="Times New Roman"/>
                <w:sz w:val="28"/>
                <w:szCs w:val="28"/>
              </w:rPr>
              <w:t xml:space="preserve">Under the nationality principle, laws on family rights and duties and on the status and legal capacity of persons bind Filipinos even abroad, which bears on whether a same-sex marriage contracted by Filipinos in another country is valid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Civil Code</w:t>
            </w:r>
            <w:r>
              <w:rPr>
                <w:rFonts w:ascii="Times New Roman" w:hAnsi="Times New Roman" w:cs="Times New Roman" w:eastAsia="Times New Roman"/>
                <w:sz w:val="28"/>
                <w:szCs w:val="28"/>
              </w:rPr>
              <w:t xml:space="preserve">, art. 17, par. 3.</w:t>
            </w:r>
          </w:p>
          <w:p>
            <w:pPr>
              <w:spacing w:before="60" w:after="0" w:line="240" w:lineRule="auto"/>
              <w:jc w:val="both"/>
            </w:pPr>
            <w:r>
              <w:rPr>
                <w:rFonts w:ascii="Times New Roman" w:hAnsi="Times New Roman" w:cs="Times New Roman" w:eastAsia="Times New Roman"/>
                <w:sz w:val="28"/>
                <w:szCs w:val="28"/>
              </w:rPr>
              <w:t xml:space="preserve">Provides that prohibitive laws concerning persons, and those involving public order, public policy, and good customs, are not rendered ineffective by foreign laws or judgments, a potential limit on recognizing foreign same-sex marriages of Filipinos.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Rev. Pen. Code</w:t>
            </w:r>
            <w:r>
              <w:rPr>
                <w:rFonts w:ascii="Times New Roman" w:hAnsi="Times New Roman" w:cs="Times New Roman" w:eastAsia="Times New Roman"/>
                <w:sz w:val="28"/>
                <w:szCs w:val="28"/>
              </w:rPr>
              <w:t xml:space="preserve">, art. 352.</w:t>
            </w:r>
          </w:p>
          <w:p>
            <w:pPr>
              <w:spacing w:before="60" w:after="0" w:line="240" w:lineRule="auto"/>
              <w:jc w:val="both"/>
            </w:pPr>
            <w:r>
              <w:rPr>
                <w:rFonts w:ascii="Times New Roman" w:hAnsi="Times New Roman" w:cs="Times New Roman" w:eastAsia="Times New Roman"/>
                <w:sz w:val="28"/>
                <w:szCs w:val="28"/>
              </w:rPr>
              <w:t xml:space="preserve">Penalizes priests, ministers, and civil authorities who perform or authorize any illegal marriage ceremony, exposing officiants of same-sex unions to possible criminal liability.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Muslim Code</w:t>
            </w:r>
            <w:r>
              <w:rPr>
                <w:rFonts w:ascii="Times New Roman" w:hAnsi="Times New Roman" w:cs="Times New Roman" w:eastAsia="Times New Roman"/>
                <w:sz w:val="28"/>
                <w:szCs w:val="28"/>
              </w:rPr>
              <w:t xml:space="preserve">, arts. 14, 16.</w:t>
            </w:r>
          </w:p>
          <w:p>
            <w:pPr>
              <w:spacing w:before="60" w:after="0" w:line="240" w:lineRule="auto"/>
              <w:jc w:val="both"/>
            </w:pPr>
            <w:r>
              <w:rPr>
                <w:rFonts w:ascii="Times New Roman" w:hAnsi="Times New Roman" w:cs="Times New Roman" w:eastAsia="Times New Roman"/>
                <w:sz w:val="28"/>
                <w:szCs w:val="28"/>
              </w:rPr>
              <w:t xml:space="preserve">Defines marriage under Muslim personal law as both a civil contract and a social institution governed by the Code and the Shari’a, and confers capacity to marry on “any Muslim male” and “any Muslim female,” excluding same-sex unions among Filipino Muslims.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9262 (2004), sec. 3 (a).</w:t>
            </w:r>
          </w:p>
          <w:p>
            <w:pPr>
              <w:spacing w:before="60" w:after="0" w:line="240" w:lineRule="auto"/>
              <w:jc w:val="both"/>
            </w:pPr>
            <w:r>
              <w:rPr>
                <w:rFonts w:ascii="Times New Roman" w:hAnsi="Times New Roman" w:cs="Times New Roman" w:eastAsia="Times New Roman"/>
                <w:sz w:val="28"/>
                <w:szCs w:val="28"/>
              </w:rPr>
              <w:t xml:space="preserve">Defines violence against women and their children as acts committed by “any person” against a woman with whom the person has or had a sexual or dating relationship, language the Supreme Court has read to cover lesbian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9710 (2009), sec. 19.</w:t>
            </w:r>
          </w:p>
          <w:p>
            <w:pPr>
              <w:spacing w:before="60" w:after="0" w:line="240" w:lineRule="auto"/>
              <w:jc w:val="both"/>
            </w:pPr>
            <w:r>
              <w:rPr>
                <w:rFonts w:ascii="Times New Roman" w:hAnsi="Times New Roman" w:cs="Times New Roman" w:eastAsia="Times New Roman"/>
                <w:sz w:val="28"/>
                <w:szCs w:val="28"/>
              </w:rPr>
              <w:t xml:space="preserve">The Magna Carta of Women directs the State to eliminate discrimination against women in all matters relating to marriage and family relations, framing marital rights in terms of equality between women and 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13.</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11313 (2019), sec. 4.</w:t>
            </w:r>
          </w:p>
          <w:p>
            <w:pPr>
              <w:spacing w:before="60" w:after="0" w:line="240" w:lineRule="auto"/>
              <w:jc w:val="both"/>
            </w:pPr>
            <w:r>
              <w:rPr>
                <w:rFonts w:ascii="Times New Roman" w:hAnsi="Times New Roman" w:cs="Times New Roman" w:eastAsia="Times New Roman"/>
                <w:sz w:val="28"/>
                <w:szCs w:val="28"/>
              </w:rPr>
              <w:t xml:space="preserve">The Safe Spaces Act penalizes gender-based sexual harassment in streets and public spaces, expressly including “transphobic, homophobic and sexist slurs,” thereby protecting LGBT persons, including same-sex couples, from harassment in public.</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14.</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11199 (2019), sec. 8 (e), (k).</w:t>
            </w:r>
          </w:p>
          <w:p>
            <w:pPr>
              <w:spacing w:before="60" w:after="0" w:line="240" w:lineRule="auto"/>
              <w:jc w:val="both"/>
            </w:pPr>
            <w:r>
              <w:rPr>
                <w:rFonts w:ascii="Times New Roman" w:hAnsi="Times New Roman" w:cs="Times New Roman" w:eastAsia="Times New Roman"/>
                <w:sz w:val="28"/>
                <w:szCs w:val="28"/>
              </w:rPr>
              <w:t xml:space="preserve">Limits a Social Security System member’s dependents and primary beneficiaries to the legal spouse and children, so that a same-sex partner may receive death benefits only as a designated beneficiary in the absence of all legal dependents.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15.</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8291 (1997), sec. 2 (f)-(h).</w:t>
            </w:r>
          </w:p>
          <w:p>
            <w:pPr>
              <w:spacing w:before="60" w:after="0" w:line="240" w:lineRule="auto"/>
              <w:jc w:val="both"/>
            </w:pPr>
            <w:r>
              <w:rPr>
                <w:rFonts w:ascii="Times New Roman" w:hAnsi="Times New Roman" w:cs="Times New Roman" w:eastAsia="Times New Roman"/>
                <w:sz w:val="28"/>
                <w:szCs w:val="28"/>
              </w:rPr>
              <w:t xml:space="preserve">Defines the dependents and beneficiaries of GSIS members by reference to the legitimate or legal spouse, leaving same-sex partners of government employees outside the survivorship benefits available to married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16.</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11642 (2022), sec. 21.</w:t>
            </w:r>
          </w:p>
          <w:p>
            <w:pPr>
              <w:spacing w:before="60" w:after="0" w:line="240" w:lineRule="auto"/>
              <w:jc w:val="both"/>
            </w:pPr>
            <w:r>
              <w:rPr>
                <w:rFonts w:ascii="Times New Roman" w:hAnsi="Times New Roman" w:cs="Times New Roman" w:eastAsia="Times New Roman"/>
                <w:sz w:val="28"/>
                <w:szCs w:val="28"/>
              </w:rPr>
              <w:t xml:space="preserve">Enumerates who may adopt under the administrative adoption process; because same-sex unions are not legally recognized, same-sex partners may adopt only as individual adopters and not jointly as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17.</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10172 (2012), sec. 1.</w:t>
            </w:r>
          </w:p>
          <w:p>
            <w:pPr>
              <w:spacing w:before="60" w:after="0" w:line="240" w:lineRule="auto"/>
              <w:jc w:val="both"/>
            </w:pPr>
            <w:r>
              <w:rPr>
                <w:rFonts w:ascii="Times New Roman" w:hAnsi="Times New Roman" w:cs="Times New Roman" w:eastAsia="Times New Roman"/>
                <w:sz w:val="28"/>
                <w:szCs w:val="28"/>
              </w:rPr>
              <w:t xml:space="preserve">Allows the administrative correction of clerical or typographical errors in the sex entry of a birth certificate but not a change of sex, leaving intact the rule in </w:t>
            </w:r>
            <w:r>
              <w:rPr>
                <w:rFonts w:ascii="Times New Roman" w:hAnsi="Times New Roman" w:cs="Times New Roman" w:eastAsia="Times New Roman"/>
                <w:i/>
                <w:iCs/>
                <w:sz w:val="28"/>
                <w:szCs w:val="28"/>
              </w:rPr>
              <w:t xml:space="preserve">Silverio</w:t>
            </w:r>
            <w:r>
              <w:rPr>
                <w:rFonts w:ascii="Times New Roman" w:hAnsi="Times New Roman" w:cs="Times New Roman" w:eastAsia="Times New Roman"/>
                <w:sz w:val="28"/>
                <w:szCs w:val="28"/>
              </w:rPr>
              <w:t xml:space="preserve"> that bears on a person’s sex-based capacity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18.</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Civil and Political Rights, December 19, 1966 (1976), 999 U.N.T.S. 171, art. 23.</w:t>
            </w:r>
          </w:p>
          <w:p>
            <w:pPr>
              <w:spacing w:before="60" w:after="0" w:line="240" w:lineRule="auto"/>
              <w:jc w:val="both"/>
            </w:pPr>
            <w:r>
              <w:rPr>
                <w:rFonts w:ascii="Times New Roman" w:hAnsi="Times New Roman" w:cs="Times New Roman" w:eastAsia="Times New Roman"/>
                <w:sz w:val="28"/>
                <w:szCs w:val="28"/>
              </w:rPr>
              <w:t xml:space="preserve">Protects the family and recognizes “the right of men and women of marriageable age to marry,” gendered wording that the Human Rights Committee in </w:t>
            </w:r>
            <w:r>
              <w:rPr>
                <w:rFonts w:ascii="Times New Roman" w:hAnsi="Times New Roman" w:cs="Times New Roman" w:eastAsia="Times New Roman"/>
                <w:i/>
                <w:iCs/>
                <w:sz w:val="28"/>
                <w:szCs w:val="28"/>
              </w:rPr>
              <w:t xml:space="preserve">Joslin</w:t>
            </w:r>
            <w:r>
              <w:rPr>
                <w:rFonts w:ascii="Times New Roman" w:hAnsi="Times New Roman" w:cs="Times New Roman" w:eastAsia="Times New Roman"/>
                <w:sz w:val="28"/>
                <w:szCs w:val="28"/>
              </w:rPr>
              <w:t xml:space="preserve"> read as not requiring States to open marriage to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19.</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Civil and Political Rights, December 19, 1966 (1976), 999 U.N.T.S. 171, arts. 2 (1), 17, 26.</w:t>
            </w:r>
          </w:p>
          <w:p>
            <w:pPr>
              <w:spacing w:before="60" w:after="0" w:line="240" w:lineRule="auto"/>
              <w:jc w:val="both"/>
            </w:pPr>
            <w:r>
              <w:rPr>
                <w:rFonts w:ascii="Times New Roman" w:hAnsi="Times New Roman" w:cs="Times New Roman" w:eastAsia="Times New Roman"/>
                <w:sz w:val="28"/>
                <w:szCs w:val="28"/>
              </w:rPr>
              <w:t xml:space="preserve">Guarantees non-discrimination, equality before the law, and protection against interference with privacy and family, which the Human Rights Committee has read to prohibit discrimination based on sexual orientation.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20.</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Economic, Social and Cultural Rights, December 19, 1966 (1976), 993 U.N.T.S. 3, art. 10 (1).</w:t>
            </w:r>
          </w:p>
          <w:p>
            <w:pPr>
              <w:spacing w:before="60" w:after="0" w:line="240" w:lineRule="auto"/>
              <w:jc w:val="both"/>
            </w:pPr>
            <w:r>
              <w:rPr>
                <w:rFonts w:ascii="Times New Roman" w:hAnsi="Times New Roman" w:cs="Times New Roman" w:eastAsia="Times New Roman"/>
                <w:sz w:val="28"/>
                <w:szCs w:val="28"/>
              </w:rPr>
              <w:t xml:space="preserve">Accords “the widest possible protection and assistance” to the family and requires that marriage be entered into with the free consent of the intending spouses, without specifying the sex of the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21.</w:t>
            </w:r>
          </w:p>
        </w:tc>
        <w:tc>
          <w:tcPr>
            <w:tcW w:w="9800" w:type="dxa"/>
          </w:tcPr>
          <w:p>
            <w:pPr>
              <w:spacing w:before="0" w:after="0" w:line="240" w:lineRule="auto"/>
              <w:jc w:val="left"/>
            </w:pPr>
            <w:r>
              <w:rPr>
                <w:rFonts w:ascii="Times New Roman" w:hAnsi="Times New Roman" w:cs="Times New Roman" w:eastAsia="Times New Roman"/>
                <w:sz w:val="28"/>
                <w:szCs w:val="28"/>
              </w:rPr>
              <w:t xml:space="preserve">Convention on the Elimination of All Forms of Discrimination against Women, July 15, 1980 (1981), 1249 U.N.T.S. 13, art. 16.</w:t>
            </w:r>
          </w:p>
          <w:p>
            <w:pPr>
              <w:spacing w:before="60" w:after="0" w:line="240" w:lineRule="auto"/>
              <w:jc w:val="both"/>
            </w:pPr>
            <w:r>
              <w:rPr>
                <w:rFonts w:ascii="Times New Roman" w:hAnsi="Times New Roman" w:cs="Times New Roman" w:eastAsia="Times New Roman"/>
                <w:sz w:val="28"/>
                <w:szCs w:val="28"/>
              </w:rPr>
              <w:t xml:space="preserve">Obliges States to eliminate discrimination against women in matters relating to marriage and family relations on a basis of equality of men and women, the source of the Magna Carta of Women’s marriage provisions.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22.</w:t>
            </w:r>
          </w:p>
        </w:tc>
        <w:tc>
          <w:tcPr>
            <w:tcW w:w="9800" w:type="dxa"/>
          </w:tcPr>
          <w:p>
            <w:pPr>
              <w:spacing w:before="0" w:after="0" w:line="240" w:lineRule="auto"/>
              <w:jc w:val="left"/>
            </w:pPr>
            <w:r>
              <w:rPr>
                <w:rFonts w:ascii="Times New Roman" w:hAnsi="Times New Roman" w:cs="Times New Roman" w:eastAsia="Times New Roman"/>
                <w:sz w:val="28"/>
                <w:szCs w:val="28"/>
              </w:rPr>
              <w:t xml:space="preserve">Universal Declaration of Human Rights, G.A. Res. 217 (III) A, U.N. Doc. A/RES/217(III), art. 16 (December 10, 1948).</w:t>
            </w:r>
          </w:p>
          <w:p>
            <w:pPr>
              <w:spacing w:before="60" w:after="0" w:line="240" w:lineRule="auto"/>
              <w:jc w:val="both"/>
            </w:pPr>
            <w:r>
              <w:rPr>
                <w:rFonts w:ascii="Times New Roman" w:hAnsi="Times New Roman" w:cs="Times New Roman" w:eastAsia="Times New Roman"/>
                <w:sz w:val="28"/>
                <w:szCs w:val="28"/>
              </w:rPr>
              <w:t xml:space="preserve">Declares that “men and women of full age” have the right to marry and to found a family, the model for the marriage provisions of later human rights treaties.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website (un.org); UN Digital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23.</w:t>
            </w:r>
          </w:p>
        </w:tc>
        <w:tc>
          <w:tcPr>
            <w:tcW w:w="9800" w:type="dxa"/>
          </w:tcPr>
          <w:p>
            <w:pPr>
              <w:spacing w:before="0" w:after="0" w:line="240" w:lineRule="auto"/>
              <w:jc w:val="left"/>
            </w:pPr>
            <w:r>
              <w:rPr>
                <w:rFonts w:ascii="Times New Roman" w:hAnsi="Times New Roman" w:cs="Times New Roman" w:eastAsia="Times New Roman"/>
                <w:sz w:val="28"/>
                <w:szCs w:val="28"/>
              </w:rPr>
              <w:t xml:space="preserve">Toonen v. Australia, Communication No. 488/1992, U.N. Doc. CCPR/C/50/D/488/1992 (Human Rights Comm., March 31, 1994).</w:t>
            </w:r>
          </w:p>
          <w:p>
            <w:pPr>
              <w:spacing w:before="60" w:after="0" w:line="240" w:lineRule="auto"/>
              <w:jc w:val="both"/>
            </w:pPr>
            <w:r>
              <w:rPr>
                <w:rFonts w:ascii="Times New Roman" w:hAnsi="Times New Roman" w:cs="Times New Roman" w:eastAsia="Times New Roman"/>
                <w:sz w:val="28"/>
                <w:szCs w:val="28"/>
              </w:rPr>
              <w:t xml:space="preserve">The Human Rights Committee held that the reference to “sex” in Articles 2 (1) and 26 of the ICCPR includes sexual orientation, laying the foundation for sexual-orientation equality claims under the Covenant.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24.</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Joslin v. New Zealand, Communication No. 902/1999, U.N. Doc. CCPR/C/75/D/902/1999 (Human Rights Comm., July 17, 2002).</w:t>
            </w:r>
          </w:p>
          <w:p>
            <w:pPr>
              <w:spacing w:before="60" w:after="0" w:line="240" w:lineRule="auto"/>
              <w:jc w:val="both"/>
            </w:pPr>
            <w:r>
              <w:rPr>
                <w:rFonts w:ascii="Times New Roman" w:hAnsi="Times New Roman" w:cs="Times New Roman" w:eastAsia="Times New Roman"/>
                <w:sz w:val="28"/>
                <w:szCs w:val="28"/>
              </w:rPr>
              <w:t xml:space="preserve">The Committee held that a State’s refusal to allow same-sex couples to marry does not violate the ICCPR because Article 23 (2) refers specifically to “men and women.”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25.</w:t>
            </w:r>
          </w:p>
        </w:tc>
        <w:tc>
          <w:tcPr>
            <w:tcW w:w="9800" w:type="dxa"/>
          </w:tcPr>
          <w:p>
            <w:pPr>
              <w:spacing w:before="0" w:after="0" w:line="240" w:lineRule="auto"/>
              <w:jc w:val="left"/>
            </w:pPr>
            <w:r>
              <w:rPr>
                <w:rFonts w:ascii="Times New Roman" w:hAnsi="Times New Roman" w:cs="Times New Roman" w:eastAsia="Times New Roman"/>
                <w:sz w:val="28"/>
                <w:szCs w:val="28"/>
              </w:rPr>
              <w:t xml:space="preserve">Young v. Australia, Communication No. 941/2000, U.N. Doc. CCPR/C/78/D/941/2000 (Human Rights Comm., August 6, 2003).</w:t>
            </w:r>
          </w:p>
          <w:p>
            <w:pPr>
              <w:spacing w:before="60" w:after="0" w:line="240" w:lineRule="auto"/>
              <w:jc w:val="both"/>
            </w:pPr>
            <w:r>
              <w:rPr>
                <w:rFonts w:ascii="Times New Roman" w:hAnsi="Times New Roman" w:cs="Times New Roman" w:eastAsia="Times New Roman"/>
                <w:sz w:val="28"/>
                <w:szCs w:val="28"/>
              </w:rPr>
              <w:t xml:space="preserve">The Committee found that denying a veterans’ pension to the surviving same-sex partner of a veteran violated the equality guarantee of Article 26.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26.</w:t>
            </w:r>
          </w:p>
        </w:tc>
        <w:tc>
          <w:tcPr>
            <w:tcW w:w="9800" w:type="dxa"/>
          </w:tcPr>
          <w:p>
            <w:pPr>
              <w:spacing w:before="0" w:after="0" w:line="240" w:lineRule="auto"/>
              <w:jc w:val="left"/>
            </w:pPr>
            <w:r>
              <w:rPr>
                <w:rFonts w:ascii="Times New Roman" w:hAnsi="Times New Roman" w:cs="Times New Roman" w:eastAsia="Times New Roman"/>
                <w:sz w:val="28"/>
                <w:szCs w:val="28"/>
              </w:rPr>
              <w:t xml:space="preserve">X v. Colombia, Communication No. 1361/2005, U.N. Doc. CCPR/C/89/D/1361/2005 (Human Rights Comm., March 30, 2007).</w:t>
            </w:r>
          </w:p>
          <w:p>
            <w:pPr>
              <w:spacing w:before="60" w:after="0" w:line="240" w:lineRule="auto"/>
              <w:jc w:val="both"/>
            </w:pPr>
            <w:r>
              <w:rPr>
                <w:rFonts w:ascii="Times New Roman" w:hAnsi="Times New Roman" w:cs="Times New Roman" w:eastAsia="Times New Roman"/>
                <w:sz w:val="28"/>
                <w:szCs w:val="28"/>
              </w:rPr>
              <w:t xml:space="preserve">The Committee held that denying a pension to the surviving partner of a same-sex union, where unmarried heterosexual partners were entitled, was discrimination based on sexual orientation under Article 26.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27.</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Comm., Concluding Observations: Philippines, U.N. Doc. CCPR/C/PHL/CO/4 (November 13, 2012).</w:t>
            </w:r>
          </w:p>
          <w:p>
            <w:pPr>
              <w:spacing w:before="60" w:after="0" w:line="240" w:lineRule="auto"/>
              <w:jc w:val="both"/>
            </w:pPr>
            <w:r>
              <w:rPr>
                <w:rFonts w:ascii="Times New Roman" w:hAnsi="Times New Roman" w:cs="Times New Roman" w:eastAsia="Times New Roman"/>
                <w:sz w:val="28"/>
                <w:szCs w:val="28"/>
              </w:rPr>
              <w:t xml:space="preserve">The Committee urged the Philippines to adopt a comprehensive anti-discrimination law that covers sexual orientation and gender identity, noting that the pending bill had not been passed.</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Treaty Body Database (tbinternet.ohchr.org); UN Digital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28.</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Council Res. 17/19, U.N. Doc. A/HRC/RES/17/19 (June 17, 2011).</w:t>
            </w:r>
          </w:p>
          <w:p>
            <w:pPr>
              <w:spacing w:before="60" w:after="0" w:line="240" w:lineRule="auto"/>
              <w:jc w:val="both"/>
            </w:pPr>
            <w:r>
              <w:rPr>
                <w:rFonts w:ascii="Times New Roman" w:hAnsi="Times New Roman" w:cs="Times New Roman" w:eastAsia="Times New Roman"/>
                <w:sz w:val="28"/>
                <w:szCs w:val="28"/>
              </w:rPr>
              <w:t xml:space="preserve">The first United Nations resolution on human rights, sexual orientation, and gender identity, expressing grave concern over violence and discrimination on these grounds.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Digital Library;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29.</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Council Res. 32/2, U.N. Doc. A/HRC/RES/32/2 (June 30, 2016).</w:t>
            </w:r>
          </w:p>
          <w:p>
            <w:pPr>
              <w:spacing w:before="60" w:after="0" w:line="240" w:lineRule="auto"/>
              <w:jc w:val="both"/>
            </w:pPr>
            <w:r>
              <w:rPr>
                <w:rFonts w:ascii="Times New Roman" w:hAnsi="Times New Roman" w:cs="Times New Roman" w:eastAsia="Times New Roman"/>
                <w:sz w:val="28"/>
                <w:szCs w:val="28"/>
              </w:rPr>
              <w:t xml:space="preserve">Created the mandate of the Independent Expert on protection against violence and discrimination based on sexual orientation and gender identity.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Digital Library; OHCHR website (ohchr.org)</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C.</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CONGRESSIONAL BILLS, RESOLUTIONS, AND COMMITTEE REPORTS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S. No. 1600, 19th Cong., 1st Sess. (2022).</w:t>
            </w:r>
          </w:p>
          <w:p>
            <w:pPr>
              <w:spacing w:before="60" w:after="0" w:line="240" w:lineRule="auto"/>
              <w:jc w:val="both"/>
            </w:pPr>
            <w:r>
              <w:rPr>
                <w:rFonts w:ascii="Times New Roman" w:hAnsi="Times New Roman" w:cs="Times New Roman" w:eastAsia="Times New Roman"/>
                <w:sz w:val="28"/>
                <w:szCs w:val="28"/>
              </w:rPr>
              <w:t xml:space="preserve">The Senate’s consolidated “SOGIESC Equality Act,” which would penalize discrimination on the basis of sexual orientation, gender identity or expression, and sex characteristics, but which was never approved in plenary.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 on Women, Children, Family Relations and Gender Equality &amp; Comm. on Finance, S. Rpt. 15, 19th Cong., 1st Sess. (2022).</w:t>
            </w:r>
          </w:p>
          <w:p>
            <w:pPr>
              <w:spacing w:before="60" w:after="0" w:line="240" w:lineRule="auto"/>
              <w:jc w:val="both"/>
            </w:pPr>
            <w:r>
              <w:rPr>
                <w:rFonts w:ascii="Times New Roman" w:hAnsi="Times New Roman" w:cs="Times New Roman" w:eastAsia="Times New Roman"/>
                <w:sz w:val="28"/>
                <w:szCs w:val="28"/>
              </w:rPr>
              <w:t xml:space="preserve">The joint committee report recommending approval of S. No. 1600, signed by a majority of senators but referred back to the Committee on Rules after opposition from religious groups.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S. No. 449, 19th Cong., 1st Sess. (2022).</w:t>
            </w:r>
          </w:p>
          <w:p>
            <w:pPr>
              <w:spacing w:before="60" w:after="0" w:line="240" w:lineRule="auto"/>
              <w:jc w:val="both"/>
            </w:pPr>
            <w:r>
              <w:rPr>
                <w:rFonts w:ascii="Times New Roman" w:hAnsi="Times New Roman" w:cs="Times New Roman" w:eastAsia="Times New Roman"/>
                <w:sz w:val="28"/>
                <w:szCs w:val="28"/>
              </w:rPr>
              <w:t xml:space="preserve">Senator Robinhood Padilla’s bill “Institutionalizing Civil Unions of Same Sex Couples, Establishing Their Rights and Obligations,” which would grant same-sex civil partners the benefits and protections enjoyed by married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1015, 19th Cong., 1st Sess. (2022).</w:t>
            </w:r>
          </w:p>
          <w:p>
            <w:pPr>
              <w:spacing w:before="60" w:after="0" w:line="240" w:lineRule="auto"/>
              <w:jc w:val="both"/>
            </w:pPr>
            <w:r>
              <w:rPr>
                <w:rFonts w:ascii="Times New Roman" w:hAnsi="Times New Roman" w:cs="Times New Roman" w:eastAsia="Times New Roman"/>
                <w:sz w:val="28"/>
                <w:szCs w:val="28"/>
              </w:rPr>
              <w:t xml:space="preserve">The “Civil Partnership Act,” which would allow couples of the same or opposite sex to enter into civil partnerships with rights such as designating partners as beneficiaries and inheriting from them by intestate succession.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2264, 18th Cong., 1st Sess. (2019).</w:t>
            </w:r>
          </w:p>
          <w:p>
            <w:pPr>
              <w:spacing w:before="60" w:after="0" w:line="240" w:lineRule="auto"/>
              <w:jc w:val="both"/>
            </w:pPr>
            <w:r>
              <w:rPr>
                <w:rFonts w:ascii="Times New Roman" w:hAnsi="Times New Roman" w:cs="Times New Roman" w:eastAsia="Times New Roman"/>
                <w:sz w:val="28"/>
                <w:szCs w:val="28"/>
              </w:rPr>
              <w:t xml:space="preserve">Representative Pantaleon Alvarez’s refiled Civil Partnership bill allowing couples of the same or opposite sex to form civil partnerships, which remained pending at the committee level.</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6595, 17th Cong., 2d Sess. (2017).</w:t>
            </w:r>
          </w:p>
          <w:p>
            <w:pPr>
              <w:spacing w:before="60" w:after="0" w:line="240" w:lineRule="auto"/>
              <w:jc w:val="both"/>
            </w:pPr>
            <w:r>
              <w:rPr>
                <w:rFonts w:ascii="Times New Roman" w:hAnsi="Times New Roman" w:cs="Times New Roman" w:eastAsia="Times New Roman"/>
                <w:sz w:val="28"/>
                <w:szCs w:val="28"/>
              </w:rPr>
              <w:t xml:space="preserve">The Civil Partnership Act filed by then Speaker Pantaleon Alvarez, proposing to extend the benefits and protections granted to spouses to same-sex and opposite-sex civil partners.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4982, 17th Cong., 1st Sess. (2017).</w:t>
            </w:r>
          </w:p>
          <w:p>
            <w:pPr>
              <w:spacing w:before="60" w:after="0" w:line="240" w:lineRule="auto"/>
              <w:jc w:val="both"/>
            </w:pPr>
            <w:r>
              <w:rPr>
                <w:rFonts w:ascii="Times New Roman" w:hAnsi="Times New Roman" w:cs="Times New Roman" w:eastAsia="Times New Roman"/>
                <w:sz w:val="28"/>
                <w:szCs w:val="28"/>
              </w:rPr>
              <w:t xml:space="preserve">The SOGIE Equality Act, approved by the House of Representatives on third reading on September 20, 2017 by a vote of 198–0, but never enacted after stalling in the Senate.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D.</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EXECUTIVE AND ADMINISTRATIVE ISSUANCES (QUASI-LEGISLATIVE)</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CSC Res. No. 01-0940 (2001).</w:t>
            </w:r>
          </w:p>
          <w:p>
            <w:pPr>
              <w:spacing w:before="60" w:after="0" w:line="240" w:lineRule="auto"/>
              <w:jc w:val="both"/>
            </w:pPr>
            <w:r>
              <w:rPr>
                <w:rFonts w:ascii="Times New Roman" w:hAnsi="Times New Roman" w:cs="Times New Roman" w:eastAsia="Times New Roman"/>
                <w:sz w:val="28"/>
                <w:szCs w:val="28"/>
              </w:rPr>
              <w:t xml:space="preserve">The Administrative Disciplinary Rules on Sexual Harassment Cases classify degrading remarks or innuendoes directed at a person’s sexual orientation as an offense, a rule applied by the Supreme Court in </w:t>
            </w:r>
            <w:r>
              <w:rPr>
                <w:rFonts w:ascii="Times New Roman" w:hAnsi="Times New Roman" w:cs="Times New Roman" w:eastAsia="Times New Roman"/>
                <w:i/>
                <w:iCs/>
                <w:sz w:val="28"/>
                <w:szCs w:val="28"/>
              </w:rPr>
              <w:t xml:space="preserve">Espejon v. Lorredo</w:t>
            </w:r>
            <w:r>
              <w:rPr>
                <w:rFonts w:ascii="Times New Roman" w:hAnsi="Times New Roman" w:cs="Times New Roman" w:eastAsia="Times New Roman"/>
                <w:sz w:val="28"/>
                <w:szCs w:val="28"/>
              </w:rPr>
              <w:t xml:space="preserve"> to a judge’s remarks against a same-sex couple.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Civil Service Commission (csc.gov.ph); Office of the National Administrative Register (ONAR), U.P. Law Center</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E.</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EXECUTIVE AND ADMINISTRATIVE DECISIONS (QUASI-JUDICIAL)</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In re</w:t>
            </w:r>
            <w:r>
              <w:rPr>
                <w:rFonts w:ascii="Times New Roman" w:hAnsi="Times New Roman" w:cs="Times New Roman" w:eastAsia="Times New Roman"/>
                <w:sz w:val="28"/>
                <w:szCs w:val="28"/>
              </w:rPr>
              <w:t xml:space="preserve"> Ang Ladlad LGBT Party, COMELEC SPP No. 09-228 (PL), November 11, 2009.</w:t>
            </w:r>
          </w:p>
          <w:p>
            <w:pPr>
              <w:spacing w:before="60" w:after="0" w:line="240" w:lineRule="auto"/>
              <w:jc w:val="both"/>
            </w:pPr>
            <w:r>
              <w:rPr>
                <w:rFonts w:ascii="Times New Roman" w:hAnsi="Times New Roman" w:cs="Times New Roman" w:eastAsia="Times New Roman"/>
                <w:sz w:val="28"/>
                <w:szCs w:val="28"/>
              </w:rPr>
              <w:t xml:space="preserve">The COMELEC Second Division denied an LGBT group’s petition for party-list registration on moral grounds, citing Biblical and Koranic passages, a ruling the Supreme Court later set aside.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Commission on Elections (deciding agency); quoted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In re</w:t>
            </w:r>
            <w:r>
              <w:rPr>
                <w:rFonts w:ascii="Times New Roman" w:hAnsi="Times New Roman" w:cs="Times New Roman" w:eastAsia="Times New Roman"/>
                <w:sz w:val="28"/>
                <w:szCs w:val="28"/>
              </w:rPr>
              <w:t xml:space="preserve"> Ang Ladlad LGBT Party, COMELEC SPP No. 09-228 (PL), December 16, 2009.</w:t>
            </w:r>
          </w:p>
          <w:p>
            <w:pPr>
              <w:spacing w:before="60" w:after="0" w:line="240" w:lineRule="auto"/>
              <w:jc w:val="both"/>
            </w:pPr>
            <w:r>
              <w:rPr>
                <w:rFonts w:ascii="Times New Roman" w:hAnsi="Times New Roman" w:cs="Times New Roman" w:eastAsia="Times New Roman"/>
                <w:sz w:val="28"/>
                <w:szCs w:val="28"/>
              </w:rPr>
              <w:t xml:space="preserve">The COMELEC En Banc, in a divided vote, denied reconsideration, prompting the certiorari petition that produced the Supreme Court’s leading decision on LGBT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Commission on Elections (deciding agency); quoted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F.</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JUDICIAL ISSUANCES (SUPREME COURT)</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Rules of Court</w:t>
            </w:r>
            <w:r>
              <w:rPr>
                <w:rFonts w:ascii="Times New Roman" w:hAnsi="Times New Roman" w:cs="Times New Roman" w:eastAsia="Times New Roman"/>
                <w:sz w:val="28"/>
                <w:szCs w:val="28"/>
              </w:rPr>
              <w:t xml:space="preserve">, Rule 108.</w:t>
            </w:r>
          </w:p>
          <w:p>
            <w:pPr>
              <w:spacing w:before="60" w:after="0" w:line="240" w:lineRule="auto"/>
              <w:jc w:val="both"/>
            </w:pPr>
            <w:r>
              <w:rPr>
                <w:rFonts w:ascii="Times New Roman" w:hAnsi="Times New Roman" w:cs="Times New Roman" w:eastAsia="Times New Roman"/>
                <w:sz w:val="28"/>
                <w:szCs w:val="28"/>
              </w:rPr>
              <w:t xml:space="preserve">Provides the judicial procedure for the cancellation or correction of entries in the civil register, the remedy invoked in </w:t>
            </w:r>
            <w:r>
              <w:rPr>
                <w:rFonts w:ascii="Times New Roman" w:hAnsi="Times New Roman" w:cs="Times New Roman" w:eastAsia="Times New Roman"/>
                <w:i/>
                <w:iCs/>
                <w:sz w:val="28"/>
                <w:szCs w:val="28"/>
              </w:rPr>
              <w:t xml:space="preserve">Silverio</w:t>
            </w:r>
            <w:r>
              <w:rPr>
                <w:rFonts w:ascii="Times New Roman" w:hAnsi="Times New Roman" w:cs="Times New Roman" w:eastAsia="Times New Roman"/>
                <w:sz w:val="28"/>
                <w:szCs w:val="28"/>
              </w:rPr>
              <w:t xml:space="preserve"> and </w:t>
            </w:r>
            <w:r>
              <w:rPr>
                <w:rFonts w:ascii="Times New Roman" w:hAnsi="Times New Roman" w:cs="Times New Roman" w:eastAsia="Times New Roman"/>
                <w:i/>
                <w:iCs/>
                <w:sz w:val="28"/>
                <w:szCs w:val="28"/>
              </w:rPr>
              <w:t xml:space="preserve">Cagandahan</w:t>
            </w:r>
            <w:r>
              <w:rPr>
                <w:rFonts w:ascii="Times New Roman" w:hAnsi="Times New Roman" w:cs="Times New Roman" w:eastAsia="Times New Roman"/>
                <w:sz w:val="28"/>
                <w:szCs w:val="28"/>
              </w:rPr>
              <w:t xml:space="preserve"> to change the sex entry that determines capacity to marry under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Void and Voidable Marriages Rule</w:t>
            </w:r>
            <w:r>
              <w:rPr>
                <w:rFonts w:ascii="Times New Roman" w:hAnsi="Times New Roman" w:cs="Times New Roman" w:eastAsia="Times New Roman"/>
                <w:sz w:val="28"/>
                <w:szCs w:val="28"/>
              </w:rPr>
              <w:t xml:space="preserve">, A.M. No. 02-11-10-SC, effective March 15, 2003.</w:t>
            </w:r>
          </w:p>
          <w:p>
            <w:pPr>
              <w:spacing w:before="60" w:after="0" w:line="240" w:lineRule="auto"/>
              <w:jc w:val="both"/>
            </w:pPr>
            <w:r>
              <w:rPr>
                <w:rFonts w:ascii="Times New Roman" w:hAnsi="Times New Roman" w:cs="Times New Roman" w:eastAsia="Times New Roman"/>
                <w:sz w:val="28"/>
                <w:szCs w:val="28"/>
              </w:rPr>
              <w:t xml:space="preserve">Governs the procedure in petitions for declaration of nullity and annulment of marriage, including annulment actions grounded on the fraudulent concealment of homosexuality under Article 46 (4) of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Legal Separation Rule</w:t>
            </w:r>
            <w:r>
              <w:rPr>
                <w:rFonts w:ascii="Times New Roman" w:hAnsi="Times New Roman" w:cs="Times New Roman" w:eastAsia="Times New Roman"/>
                <w:sz w:val="28"/>
                <w:szCs w:val="28"/>
              </w:rPr>
              <w:t xml:space="preserve">, A.M. No. 02-11-11-SC, effective March 15, 2003.</w:t>
            </w:r>
          </w:p>
          <w:p>
            <w:pPr>
              <w:spacing w:before="60" w:after="0" w:line="240" w:lineRule="auto"/>
              <w:jc w:val="both"/>
            </w:pPr>
            <w:r>
              <w:rPr>
                <w:rFonts w:ascii="Times New Roman" w:hAnsi="Times New Roman" w:cs="Times New Roman" w:eastAsia="Times New Roman"/>
                <w:sz w:val="28"/>
                <w:szCs w:val="28"/>
              </w:rPr>
              <w:t xml:space="preserve">Governs petitions for legal separation, including those grounded on the lesbianism or homosexuality of the respondent under Article 55 (6) of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New Code of Judicial Conduct for the Philippine Judiciary, A.M. No. 03-05-01-SC, Canon 5, secs. 1-2 (2004).</w:t>
            </w:r>
          </w:p>
          <w:p>
            <w:pPr>
              <w:spacing w:before="60" w:after="0" w:line="240" w:lineRule="auto"/>
              <w:jc w:val="both"/>
            </w:pPr>
            <w:r>
              <w:rPr>
                <w:rFonts w:ascii="Times New Roman" w:hAnsi="Times New Roman" w:cs="Times New Roman" w:eastAsia="Times New Roman"/>
                <w:sz w:val="28"/>
                <w:szCs w:val="28"/>
              </w:rPr>
              <w:t xml:space="preserve">Requires judges to understand diversity in society and not to manifest bias or prejudice on irrelevant grounds, standards the Supreme Court enforced in </w:t>
            </w:r>
            <w:r>
              <w:rPr>
                <w:rFonts w:ascii="Times New Roman" w:hAnsi="Times New Roman" w:cs="Times New Roman" w:eastAsia="Times New Roman"/>
                <w:i/>
                <w:iCs/>
                <w:sz w:val="28"/>
                <w:szCs w:val="28"/>
              </w:rPr>
              <w:t xml:space="preserve">Espejon v. Lorredo</w:t>
            </w:r>
            <w:r>
              <w:rPr>
                <w:rFonts w:ascii="Times New Roman" w:hAnsi="Times New Roman" w:cs="Times New Roman" w:eastAsia="Times New Roman"/>
                <w:sz w:val="28"/>
                <w:szCs w:val="28"/>
              </w:rPr>
              <w:t xml:space="preserve"> against a judge who disparaged litigants’ same-sex relationship.</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Code of Professional Responsibility and Accountability, A.M. No. 22-09-01-SC, Canon V, sec. 1 (2023).</w:t>
            </w:r>
          </w:p>
          <w:p>
            <w:pPr>
              <w:spacing w:before="60" w:after="0" w:line="240" w:lineRule="auto"/>
              <w:jc w:val="both"/>
            </w:pPr>
            <w:r>
              <w:rPr>
                <w:rFonts w:ascii="Times New Roman" w:hAnsi="Times New Roman" w:cs="Times New Roman" w:eastAsia="Times New Roman"/>
                <w:sz w:val="28"/>
                <w:szCs w:val="28"/>
              </w:rPr>
              <w:t xml:space="preserve">Prohibits a lawyer from declining to represent a person solely on account of sexual orientation or gender identity, among other grounds, securing access to counsel for same-sex couples asserting their rights.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G.</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JUDICIAL DECISIONS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Falcis III v. Civil Registrar General, G.R. No. 217910, September 3, 2019.</w:t>
            </w:r>
          </w:p>
          <w:p>
            <w:pPr>
              <w:spacing w:before="60" w:after="0" w:line="240" w:lineRule="auto"/>
              <w:jc w:val="both"/>
            </w:pPr>
            <w:r>
              <w:rPr>
                <w:rFonts w:ascii="Times New Roman" w:hAnsi="Times New Roman" w:cs="Times New Roman" w:eastAsia="Times New Roman"/>
                <w:sz w:val="28"/>
                <w:szCs w:val="28"/>
              </w:rPr>
              <w:t xml:space="preserve">The Court En Banc dismissed the first petition to declare Family Code Articles 1, 2, 46 (4), and 55 (6) unconstitutional for lack of an actual case, lack of standing, and disregard of the hierarchy of courts, while noting that the Constitution does not restrict marriage on the basis of sex or sexual orientation and leaving the matter to Congress.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Garcia v. Drilon, G.R. No. 179267, June 25, 2013.</w:t>
            </w:r>
          </w:p>
          <w:p>
            <w:pPr>
              <w:spacing w:before="60" w:after="0" w:line="240" w:lineRule="auto"/>
              <w:jc w:val="both"/>
            </w:pPr>
            <w:r>
              <w:rPr>
                <w:rFonts w:ascii="Times New Roman" w:hAnsi="Times New Roman" w:cs="Times New Roman" w:eastAsia="Times New Roman"/>
                <w:sz w:val="28"/>
                <w:szCs w:val="28"/>
              </w:rPr>
              <w:t xml:space="preserve">In upholding R.A. No. 9262, the Court En Banc recognized that the law’s gender-neutral term “any person” may cover a woman offender in a lesbian relationship, a point later applied in </w:t>
            </w:r>
            <w:r>
              <w:rPr>
                <w:rFonts w:ascii="Times New Roman" w:hAnsi="Times New Roman" w:cs="Times New Roman" w:eastAsia="Times New Roman"/>
                <w:i/>
                <w:iCs/>
                <w:sz w:val="28"/>
                <w:szCs w:val="28"/>
              </w:rPr>
              <w:t xml:space="preserve">Jacinto v. Fouts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Ang Ladlad LGBT Party v. Commission on Elections, 632 Phil. 32 (2010).</w:t>
            </w:r>
          </w:p>
          <w:p>
            <w:pPr>
              <w:spacing w:before="60" w:after="0" w:line="240" w:lineRule="auto"/>
              <w:jc w:val="both"/>
            </w:pPr>
            <w:r>
              <w:rPr>
                <w:rFonts w:ascii="Times New Roman" w:hAnsi="Times New Roman" w:cs="Times New Roman" w:eastAsia="Times New Roman"/>
                <w:sz w:val="28"/>
                <w:szCs w:val="28"/>
              </w:rPr>
              <w:t xml:space="preserve">The Court held that denying party-list accreditation to an LGBT group on religious and moral grounds violated the non-establishment clause, equal protection, and freedom of expression and association, while describing the Yogyakarta Principles as at best </w:t>
            </w:r>
            <w:r>
              <w:rPr>
                <w:rFonts w:ascii="Times New Roman" w:hAnsi="Times New Roman" w:cs="Times New Roman" w:eastAsia="Times New Roman"/>
                <w:i/>
                <w:iCs/>
                <w:sz w:val="28"/>
                <w:szCs w:val="28"/>
              </w:rPr>
              <w:t xml:space="preserve">de lege ferenda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632;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Estrada v. Escritor, 455 Phil. 411 (2003); 525 Phil. 110 (2006).</w:t>
            </w:r>
          </w:p>
          <w:p>
            <w:pPr>
              <w:spacing w:before="60" w:after="0" w:line="240" w:lineRule="auto"/>
              <w:jc w:val="both"/>
            </w:pPr>
            <w:r>
              <w:rPr>
                <w:rFonts w:ascii="Times New Roman" w:hAnsi="Times New Roman" w:cs="Times New Roman" w:eastAsia="Times New Roman"/>
                <w:sz w:val="28"/>
                <w:szCs w:val="28"/>
              </w:rPr>
              <w:t xml:space="preserve">Adopted benevolent neutrality and the compelling state interest test in resolving a religiously sanctioned non-marital union, the framework for weighing religious claims on both sides of the same-sex marriage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vols. 455 &amp; 525;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Goitia v. Campos Rueda, 35 Phil. 252 (1916).</w:t>
            </w:r>
          </w:p>
          <w:p>
            <w:pPr>
              <w:spacing w:before="60" w:after="0" w:line="240" w:lineRule="auto"/>
              <w:jc w:val="both"/>
            </w:pPr>
            <w:r>
              <w:rPr>
                <w:rFonts w:ascii="Times New Roman" w:hAnsi="Times New Roman" w:cs="Times New Roman" w:eastAsia="Times New Roman"/>
                <w:sz w:val="28"/>
                <w:szCs w:val="28"/>
              </w:rPr>
              <w:t xml:space="preserve">Described marriage as “something more than a mere contract,” a relation whose rights and duties rest on the general law rather than on the parties’ agreement, a characterization central to whether the State may redefine who may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35;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Josef v. Ursua, G.R. No. 267469, February 5, 2025.</w:t>
            </w:r>
          </w:p>
          <w:p>
            <w:pPr>
              <w:spacing w:before="60" w:after="0" w:line="240" w:lineRule="auto"/>
              <w:jc w:val="both"/>
            </w:pPr>
            <w:r>
              <w:rPr>
                <w:rFonts w:ascii="Times New Roman" w:hAnsi="Times New Roman" w:cs="Times New Roman" w:eastAsia="Times New Roman"/>
                <w:sz w:val="28"/>
                <w:szCs w:val="28"/>
              </w:rPr>
              <w:t xml:space="preserve">The Court held that the property relations of cohabiting same-sex partners are governed by Article 148 of the Family Code, so that a partner who proves actual contribution is a co-owner, while stating that broader protection for same-sex couples is for Congress to provide.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Salva-Roldan v. Roldan, G.R. No. 268109, March 3, 2025.</w:t>
            </w:r>
          </w:p>
          <w:p>
            <w:pPr>
              <w:spacing w:before="60" w:after="0" w:line="240" w:lineRule="auto"/>
              <w:jc w:val="both"/>
            </w:pPr>
            <w:r>
              <w:rPr>
                <w:rFonts w:ascii="Times New Roman" w:hAnsi="Times New Roman" w:cs="Times New Roman" w:eastAsia="Times New Roman"/>
                <w:sz w:val="28"/>
                <w:szCs w:val="28"/>
              </w:rPr>
              <w:t xml:space="preserve">The Court annulled a marriage on the ground of the husband’s fraudulent concealment of his homosexuality under Article 45 (3) in relation to Article 46 (4), reiterating that concealment, not homosexuality itself, vitiates consent.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Jacinto v. Fouts, G.R. No. 250627 (Resolution), December 7, 2022.</w:t>
            </w:r>
          </w:p>
          <w:p>
            <w:pPr>
              <w:spacing w:before="60" w:after="0" w:line="240" w:lineRule="auto"/>
              <w:jc w:val="both"/>
            </w:pPr>
            <w:r>
              <w:rPr>
                <w:rFonts w:ascii="Times New Roman" w:hAnsi="Times New Roman" w:cs="Times New Roman" w:eastAsia="Times New Roman"/>
                <w:sz w:val="28"/>
                <w:szCs w:val="28"/>
              </w:rPr>
              <w:t xml:space="preserve">The Court sustained a prosecution under R.A. No. 9262 between former female live-in partners, holding that the law’s application to lesbian relationships had already been settled in </w:t>
            </w:r>
            <w:r>
              <w:rPr>
                <w:rFonts w:ascii="Times New Roman" w:hAnsi="Times New Roman" w:cs="Times New Roman" w:eastAsia="Times New Roman"/>
                <w:i/>
                <w:iCs/>
                <w:sz w:val="28"/>
                <w:szCs w:val="28"/>
              </w:rPr>
              <w:t xml:space="preserve">Garcia v. Drilon</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Espejon v. Lorredo, A.M. No. MTJ-22-007, March 9, 2022.</w:t>
            </w:r>
          </w:p>
          <w:p>
            <w:pPr>
              <w:spacing w:before="60" w:after="0" w:line="240" w:lineRule="auto"/>
              <w:jc w:val="both"/>
            </w:pPr>
            <w:r>
              <w:rPr>
                <w:rFonts w:ascii="Times New Roman" w:hAnsi="Times New Roman" w:cs="Times New Roman" w:eastAsia="Times New Roman"/>
                <w:sz w:val="28"/>
                <w:szCs w:val="28"/>
              </w:rPr>
              <w:t xml:space="preserve">The Court suspended and fined a judge for homophobic remarks against litigants on account of their perceived same-sex relationship, finding a violation of the New Code of Judicial Conduct and work-related sexual harassment.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Republic v. Cagandahan, 586 Phil. 637 (2008).</w:t>
            </w:r>
          </w:p>
          <w:p>
            <w:pPr>
              <w:spacing w:before="60" w:after="0" w:line="240" w:lineRule="auto"/>
              <w:jc w:val="both"/>
            </w:pPr>
            <w:r>
              <w:rPr>
                <w:rFonts w:ascii="Times New Roman" w:hAnsi="Times New Roman" w:cs="Times New Roman" w:eastAsia="Times New Roman"/>
                <w:sz w:val="28"/>
                <w:szCs w:val="28"/>
              </w:rPr>
              <w:t xml:space="preserve">The Court allowed an intersex person with congenital adrenal hyperplasia to change the registered sex from female to male and the registered name, bearing on how “male” and “female” are determined for purposes of capacity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586;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Almelor v. Regional Trial Court of Las Piñas City, G.R. No. 179620, August 26, 2008.</w:t>
            </w:r>
          </w:p>
          <w:p>
            <w:pPr>
              <w:spacing w:before="60" w:after="0" w:line="240" w:lineRule="auto"/>
              <w:jc w:val="both"/>
            </w:pPr>
            <w:r>
              <w:rPr>
                <w:rFonts w:ascii="Times New Roman" w:hAnsi="Times New Roman" w:cs="Times New Roman" w:eastAsia="Times New Roman"/>
                <w:sz w:val="28"/>
                <w:szCs w:val="28"/>
              </w:rPr>
              <w:t xml:space="preserve">The Court ruled that it is the concealment of homosexuality, not homosexuality </w:t>
            </w:r>
            <w:r>
              <w:rPr>
                <w:rFonts w:ascii="Times New Roman" w:hAnsi="Times New Roman" w:cs="Times New Roman" w:eastAsia="Times New Roman"/>
                <w:i/>
                <w:iCs/>
                <w:sz w:val="28"/>
                <w:szCs w:val="28"/>
              </w:rPr>
              <w:t xml:space="preserve">per se</w:t>
            </w:r>
            <w:r>
              <w:rPr>
                <w:rFonts w:ascii="Times New Roman" w:hAnsi="Times New Roman" w:cs="Times New Roman" w:eastAsia="Times New Roman"/>
                <w:sz w:val="28"/>
                <w:szCs w:val="28"/>
              </w:rPr>
              <w:t xml:space="preserve">, that constitutes fraud under Article 46 (4), and found the evidence insufficient to annul the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Silverio v. Republic, 562 Phil. 953 (2007).</w:t>
            </w:r>
          </w:p>
          <w:p>
            <w:pPr>
              <w:spacing w:before="60" w:after="0" w:line="240" w:lineRule="auto"/>
              <w:jc w:val="both"/>
            </w:pPr>
            <w:r>
              <w:rPr>
                <w:rFonts w:ascii="Times New Roman" w:hAnsi="Times New Roman" w:cs="Times New Roman" w:eastAsia="Times New Roman"/>
                <w:sz w:val="28"/>
                <w:szCs w:val="28"/>
              </w:rPr>
              <w:t xml:space="preserve">The Court denied a transsexual woman’s petition to change the name and sex entries in her birth certificate, reasoning that no law allows it and that granting it would permit a union between two persons of the same birth sex despite marriage being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562;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H.</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LOCAL ORDINANCES AND RESOLUTIONS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SP-3221, S-2023, September 25, 2023.</w:t>
            </w:r>
          </w:p>
          <w:p>
            <w:pPr>
              <w:spacing w:before="60" w:after="0" w:line="240" w:lineRule="auto"/>
              <w:jc w:val="both"/>
            </w:pPr>
            <w:r>
              <w:rPr>
                <w:rFonts w:ascii="Times New Roman" w:hAnsi="Times New Roman" w:cs="Times New Roman" w:eastAsia="Times New Roman"/>
                <w:sz w:val="28"/>
                <w:szCs w:val="28"/>
              </w:rPr>
              <w:t xml:space="preserve">Requires health facilities in Quezon City to recognize health care proxies, institutionalizing the “Right to Care” card that allows same-sex partners to make medical decisions for each other through a special power of attorney.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San Juan City Ordinance No. 16, S-2025 (2025).</w:t>
            </w:r>
          </w:p>
          <w:p>
            <w:pPr>
              <w:spacing w:before="60" w:after="0" w:line="240" w:lineRule="auto"/>
              <w:jc w:val="both"/>
            </w:pPr>
            <w:r>
              <w:rPr>
                <w:rFonts w:ascii="Times New Roman" w:hAnsi="Times New Roman" w:cs="Times New Roman" w:eastAsia="Times New Roman"/>
                <w:sz w:val="28"/>
                <w:szCs w:val="28"/>
              </w:rPr>
              <w:t xml:space="preserve">San Juan’s “Right to Care” Ordinance requires public and private health facilities in the city to honor the Right to Care Card, through which LGBTQIA+ partners may make medical decisions for one another.</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San Juan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SP-3417, S-2025, June 16, 2025.</w:t>
            </w:r>
          </w:p>
          <w:p>
            <w:pPr>
              <w:spacing w:before="60" w:after="0" w:line="240" w:lineRule="auto"/>
              <w:jc w:val="both"/>
            </w:pPr>
            <w:r>
              <w:rPr>
                <w:rFonts w:ascii="Times New Roman" w:hAnsi="Times New Roman" w:cs="Times New Roman" w:eastAsia="Times New Roman"/>
                <w:sz w:val="28"/>
                <w:szCs w:val="28"/>
              </w:rPr>
              <w:t xml:space="preserve">Revises the Quezon City Gender-Fair Ordinance into a comprehensive anti-discrimination policy on the basis of sexual orientation, gender identity and expression, and sex characteristics (SOGIESC).</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SP-2357, S-2014, November 28, 2014.</w:t>
            </w:r>
          </w:p>
          <w:p>
            <w:pPr>
              <w:spacing w:before="60" w:after="0" w:line="240" w:lineRule="auto"/>
              <w:jc w:val="both"/>
            </w:pPr>
            <w:r>
              <w:rPr>
                <w:rFonts w:ascii="Times New Roman" w:hAnsi="Times New Roman" w:cs="Times New Roman" w:eastAsia="Times New Roman"/>
                <w:sz w:val="28"/>
                <w:szCs w:val="28"/>
              </w:rPr>
              <w:t xml:space="preserve">The Quezon City Gender-Fair Ordinance prohibits discrimination on the basis of sexual orientation and gender identity and expression in employment, education, accommodation, and the delivery of goods and services.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SP-1309, S-2003.</w:t>
            </w:r>
          </w:p>
          <w:p>
            <w:pPr>
              <w:spacing w:before="60" w:after="0" w:line="240" w:lineRule="auto"/>
              <w:jc w:val="both"/>
            </w:pPr>
            <w:r>
              <w:rPr>
                <w:rFonts w:ascii="Times New Roman" w:hAnsi="Times New Roman" w:cs="Times New Roman" w:eastAsia="Times New Roman"/>
                <w:sz w:val="28"/>
                <w:szCs w:val="28"/>
              </w:rPr>
              <w:t xml:space="preserve">An early local ordinance prohibiting discrimination against homosexuals in the workplace, later expanded by the Gender-Fair Ordinance.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Davao City Ordinance No. 0417-12 (2012).</w:t>
            </w:r>
          </w:p>
          <w:p>
            <w:pPr>
              <w:spacing w:before="60" w:after="0" w:line="240" w:lineRule="auto"/>
              <w:jc w:val="both"/>
            </w:pPr>
            <w:r>
              <w:rPr>
                <w:rFonts w:ascii="Times New Roman" w:hAnsi="Times New Roman" w:cs="Times New Roman" w:eastAsia="Times New Roman"/>
                <w:sz w:val="28"/>
                <w:szCs w:val="28"/>
              </w:rPr>
              <w:t xml:space="preserve">Davao City’s Anti-Discrimination Ordinance declares unlawful acts of discrimination based on, among others, sex, gender identity, and sexual orientation.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Davao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Cebu City Ordinance No. 2339 (2012).</w:t>
            </w:r>
          </w:p>
          <w:p>
            <w:pPr>
              <w:spacing w:before="60" w:after="0" w:line="240" w:lineRule="auto"/>
              <w:jc w:val="both"/>
            </w:pPr>
            <w:r>
              <w:rPr>
                <w:rFonts w:ascii="Times New Roman" w:hAnsi="Times New Roman" w:cs="Times New Roman" w:eastAsia="Times New Roman"/>
                <w:sz w:val="28"/>
                <w:szCs w:val="28"/>
              </w:rPr>
              <w:t xml:space="preserve">Prohibits discrimination on the basis of, among others, sexual orientation and gender identity, illustrating how LGBT protection has developed through local legislation in the absence of a national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Cebu City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I.</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REGIONAL SOURCES OF LAW</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ASEAN Human Rights Declaration, art. 19 (November 18, 2012).</w:t>
            </w:r>
          </w:p>
          <w:p>
            <w:pPr>
              <w:spacing w:before="60" w:after="0" w:line="240" w:lineRule="auto"/>
              <w:jc w:val="both"/>
            </w:pPr>
            <w:r>
              <w:rPr>
                <w:rFonts w:ascii="Times New Roman" w:hAnsi="Times New Roman" w:cs="Times New Roman" w:eastAsia="Times New Roman"/>
                <w:sz w:val="28"/>
                <w:szCs w:val="28"/>
              </w:rPr>
              <w:t xml:space="preserve">Adopted by ASEAN leaders including the Philippines, it recognizes the right of “men and women of full age” to marry and found a family “as prescribed by law,” deferring to national law on the definition of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ASEAN Secretariat website (asean.org)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Convention for the Protection of Human Rights and Fundamental Freedoms, November 4, 1950 (1953), 213 U.N.T.S. 221, arts. 8, 12, 14.</w:t>
            </w:r>
          </w:p>
          <w:p>
            <w:pPr>
              <w:spacing w:before="60" w:after="0" w:line="240" w:lineRule="auto"/>
              <w:jc w:val="both"/>
            </w:pPr>
            <w:r>
              <w:rPr>
                <w:rFonts w:ascii="Times New Roman" w:hAnsi="Times New Roman" w:cs="Times New Roman" w:eastAsia="Times New Roman"/>
                <w:sz w:val="28"/>
                <w:szCs w:val="28"/>
              </w:rPr>
              <w:t xml:space="preserve">The European Convention’s guarantees of private and family life, the right to marry, and non-discrimination, through which the European Court of Human Rights developed its case law on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Council of Europe Treaty Office (coe.int); United Nations Treaty Series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Schalk &amp; Kopf v. Austria, App. No. 30141/04, Eur. Ct. H.R. (June 24, 2010).</w:t>
            </w:r>
          </w:p>
          <w:p>
            <w:pPr>
              <w:spacing w:before="60" w:after="0" w:line="240" w:lineRule="auto"/>
              <w:jc w:val="both"/>
            </w:pPr>
            <w:r>
              <w:rPr>
                <w:rFonts w:ascii="Times New Roman" w:hAnsi="Times New Roman" w:cs="Times New Roman" w:eastAsia="Times New Roman"/>
                <w:sz w:val="28"/>
                <w:szCs w:val="28"/>
              </w:rPr>
              <w:t xml:space="preserve">Held that the European Convention does not oblige States to open marriage to same-sex couples, while recognizing that a cohabiting same-sex couple enjoys “family life.”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Oliari v. Italy, App. Nos. 18766/11 &amp; 36030/11, Eur. Ct. H.R. (July 21, 2015).</w:t>
            </w:r>
          </w:p>
          <w:p>
            <w:pPr>
              <w:spacing w:before="60" w:after="0" w:line="240" w:lineRule="auto"/>
              <w:jc w:val="both"/>
            </w:pPr>
            <w:r>
              <w:rPr>
                <w:rFonts w:ascii="Times New Roman" w:hAnsi="Times New Roman" w:cs="Times New Roman" w:eastAsia="Times New Roman"/>
                <w:sz w:val="28"/>
                <w:szCs w:val="28"/>
              </w:rPr>
              <w:t xml:space="preserve">Found that Italy violated Article 8 by failing to provide any legal framework recognizing and protecting same-sex unions.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Orlandi v. Italy, App. No. 26431/12, Eur. Ct. H.R. (December 14, 2017).</w:t>
            </w:r>
          </w:p>
          <w:p>
            <w:pPr>
              <w:spacing w:before="60" w:after="0" w:line="240" w:lineRule="auto"/>
              <w:jc w:val="both"/>
            </w:pPr>
            <w:r>
              <w:rPr>
                <w:rFonts w:ascii="Times New Roman" w:hAnsi="Times New Roman" w:cs="Times New Roman" w:eastAsia="Times New Roman"/>
                <w:sz w:val="28"/>
                <w:szCs w:val="28"/>
              </w:rPr>
              <w:t xml:space="preserve">Held that Italy’s refusal to give any form of recognition to same-sex marriages its nationals contracted abroad violated Article 8, a parallel to Filipino same-sex couples married abroad.</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Fedotova v. Russia, App. Nos. 40792/10, 30538/14 &amp; 43439/14, Eur. Ct. H.R. (Grand Chamber, January 17, 2023).</w:t>
            </w:r>
          </w:p>
          <w:p>
            <w:pPr>
              <w:spacing w:before="60" w:after="0" w:line="240" w:lineRule="auto"/>
              <w:jc w:val="both"/>
            </w:pPr>
            <w:r>
              <w:rPr>
                <w:rFonts w:ascii="Times New Roman" w:hAnsi="Times New Roman" w:cs="Times New Roman" w:eastAsia="Times New Roman"/>
                <w:sz w:val="28"/>
                <w:szCs w:val="28"/>
              </w:rPr>
              <w:t xml:space="preserve">The Grand Chamber held that Article 8 imposes a positive obligation on States to provide a legal framework for the recognition and protection of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Case C-673/16, Coman v. Inspectoratul General pentru Imigrări, ECLI:EU:C:2018:385 (June 5, 2018).</w:t>
            </w:r>
          </w:p>
          <w:p>
            <w:pPr>
              <w:spacing w:before="60" w:after="0" w:line="240" w:lineRule="auto"/>
              <w:jc w:val="both"/>
            </w:pPr>
            <w:r>
              <w:rPr>
                <w:rFonts w:ascii="Times New Roman" w:hAnsi="Times New Roman" w:cs="Times New Roman" w:eastAsia="Times New Roman"/>
                <w:sz w:val="28"/>
                <w:szCs w:val="28"/>
              </w:rPr>
              <w:t xml:space="preserve">The Court of Justice of the European Union held that the term “spouse” in EU free-movement law includes a same-sex spouse, even in a Member State that does not allow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CURIA (curia.europa.eu); EUR-Lex (eur-lex.europa.eu)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Gender Identity, and Equality and Non-Discrimination of Same-Sex Couples, Advisory Opinion OC-24/17, Inter-Am. Ct. H.R. (ser. A) No. 24 (November 24, 2017).</w:t>
            </w:r>
          </w:p>
          <w:p>
            <w:pPr>
              <w:spacing w:before="60" w:after="0" w:line="240" w:lineRule="auto"/>
              <w:jc w:val="both"/>
            </w:pPr>
            <w:r>
              <w:rPr>
                <w:rFonts w:ascii="Times New Roman" w:hAnsi="Times New Roman" w:cs="Times New Roman" w:eastAsia="Times New Roman"/>
                <w:sz w:val="28"/>
                <w:szCs w:val="28"/>
              </w:rPr>
              <w:t xml:space="preserve">The Inter-American Court of Human Rights opined that States must recognize and protect same-sex couples, including access to marriage, without discrimination.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Inter-American Court of Human Rights website (corteidh.or.cr)</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Atala Riffo &amp; Daughters v. Chile, Merits, Reparations and Costs, Inter-Am. Ct. H.R. (ser. C) No. 239 (February 24, 2012).</w:t>
            </w:r>
          </w:p>
          <w:p>
            <w:pPr>
              <w:spacing w:before="60" w:after="0" w:line="240" w:lineRule="auto"/>
              <w:jc w:val="both"/>
            </w:pPr>
            <w:r>
              <w:rPr>
                <w:rFonts w:ascii="Times New Roman" w:hAnsi="Times New Roman" w:cs="Times New Roman" w:eastAsia="Times New Roman"/>
                <w:sz w:val="28"/>
                <w:szCs w:val="28"/>
              </w:rPr>
              <w:t xml:space="preserve">Held that denying a lesbian mother custody of her daughters because of her sexual orientation and her cohabitation with a same-sex partner violated the American Convention on Human Rights.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Inter-American Court of Human Rights website (corteidh.or.cr)</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J.</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SOURCES OF LAW FROM OTHER JURISDICTIONS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Obergefell v. Hodges, 576 U.S. 644 (2015).</w:t>
            </w:r>
          </w:p>
          <w:p>
            <w:pPr>
              <w:spacing w:before="60" w:after="0" w:line="240" w:lineRule="auto"/>
              <w:jc w:val="both"/>
            </w:pPr>
            <w:r>
              <w:rPr>
                <w:rFonts w:ascii="Times New Roman" w:hAnsi="Times New Roman" w:cs="Times New Roman" w:eastAsia="Times New Roman"/>
                <w:sz w:val="28"/>
                <w:szCs w:val="28"/>
              </w:rPr>
              <w:t xml:space="preserve">The United States Supreme Court held that the Fourteenth Amendment requires States to license marriages between two persons of the same sex and to recognize such marriages performed elsewhere.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United States v. Windsor, 570 U.S. 744 (2013).</w:t>
            </w:r>
          </w:p>
          <w:p>
            <w:pPr>
              <w:spacing w:before="60" w:after="0" w:line="240" w:lineRule="auto"/>
              <w:jc w:val="both"/>
            </w:pPr>
            <w:r>
              <w:rPr>
                <w:rFonts w:ascii="Times New Roman" w:hAnsi="Times New Roman" w:cs="Times New Roman" w:eastAsia="Times New Roman"/>
                <w:sz w:val="28"/>
                <w:szCs w:val="28"/>
              </w:rPr>
              <w:t xml:space="preserve">Struck down Section 3 of the Defense of Marriage Act, which had defined marriage for federal purposes as only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Lawrence v. Texas, 539 U.S. 558 (2003).</w:t>
            </w:r>
          </w:p>
          <w:p>
            <w:pPr>
              <w:spacing w:before="60" w:after="0" w:line="240" w:lineRule="auto"/>
              <w:jc w:val="both"/>
            </w:pPr>
            <w:r>
              <w:rPr>
                <w:rFonts w:ascii="Times New Roman" w:hAnsi="Times New Roman" w:cs="Times New Roman" w:eastAsia="Times New Roman"/>
                <w:sz w:val="28"/>
                <w:szCs w:val="28"/>
              </w:rPr>
              <w:t xml:space="preserve">Invalidated laws criminalizing intimate same-sex conduct as violating the liberty protected by the due process clause, paving the way for later recognition of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Loving v. Virginia, 388 U.S. 1 (1967).</w:t>
            </w:r>
          </w:p>
          <w:p>
            <w:pPr>
              <w:spacing w:before="60" w:after="0" w:line="240" w:lineRule="auto"/>
              <w:jc w:val="both"/>
            </w:pPr>
            <w:r>
              <w:rPr>
                <w:rFonts w:ascii="Times New Roman" w:hAnsi="Times New Roman" w:cs="Times New Roman" w:eastAsia="Times New Roman"/>
                <w:sz w:val="28"/>
                <w:szCs w:val="28"/>
              </w:rPr>
              <w:t xml:space="preserve">Struck down bans on interracial marriage and affirmed marriage as a fundamental right, the precedent most often analogized in same-sex marriage litigation.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Goodridge v. Department of Public Health, 798 N.E.2d 941 (Mass. 2003).</w:t>
            </w:r>
          </w:p>
          <w:p>
            <w:pPr>
              <w:spacing w:before="60" w:after="0" w:line="240" w:lineRule="auto"/>
              <w:jc w:val="both"/>
            </w:pPr>
            <w:r>
              <w:rPr>
                <w:rFonts w:ascii="Times New Roman" w:hAnsi="Times New Roman" w:cs="Times New Roman" w:eastAsia="Times New Roman"/>
                <w:sz w:val="28"/>
                <w:szCs w:val="28"/>
              </w:rPr>
              <w:t xml:space="preserve">The Supreme Judicial Court of Massachusetts became the first United States state high court to hold that excluding same-sex couples from civil marriage violated a state constitution.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North Eastern Reporter, Second Series; Justia; Westlaw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303 Creative LLC v. Elenis, 600 U.S. 570 (2023).</w:t>
            </w:r>
          </w:p>
          <w:p>
            <w:pPr>
              <w:spacing w:before="60" w:after="0" w:line="240" w:lineRule="auto"/>
              <w:jc w:val="both"/>
            </w:pPr>
            <w:r>
              <w:rPr>
                <w:rFonts w:ascii="Times New Roman" w:hAnsi="Times New Roman" w:cs="Times New Roman" w:eastAsia="Times New Roman"/>
                <w:sz w:val="28"/>
                <w:szCs w:val="28"/>
              </w:rPr>
              <w:t xml:space="preserve">Held that the First Amendment bars a State from compelling a web designer to create expressive wedding websites for same-sex couples contrary to her beliefs, illustrating the religious-liberty conflicts that accompany marriage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U.S. Respect for Marriage Act, Pub. L. No. 117-228, 136 Stat. 2305 (2022).</w:t>
            </w:r>
          </w:p>
          <w:p>
            <w:pPr>
              <w:spacing w:before="60" w:after="0" w:line="240" w:lineRule="auto"/>
              <w:jc w:val="both"/>
            </w:pPr>
            <w:r>
              <w:rPr>
                <w:rFonts w:ascii="Times New Roman" w:hAnsi="Times New Roman" w:cs="Times New Roman" w:eastAsia="Times New Roman"/>
                <w:sz w:val="28"/>
                <w:szCs w:val="28"/>
              </w:rPr>
              <w:t xml:space="preserve">Repealed the Defense of Marriage Act and requires federal and interstate recognition of same-sex and interracial marriages validly entered into under State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Congress.gov; U.S. Government Publishing Office (govinfo.gov)</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Reference re Same-Sex Marriage, [2004] 3 S.C.R. 698 (Can.).</w:t>
            </w:r>
          </w:p>
          <w:p>
            <w:pPr>
              <w:spacing w:before="60" w:after="0" w:line="240" w:lineRule="auto"/>
              <w:jc w:val="both"/>
            </w:pPr>
            <w:r>
              <w:rPr>
                <w:rFonts w:ascii="Times New Roman" w:hAnsi="Times New Roman" w:cs="Times New Roman" w:eastAsia="Times New Roman"/>
                <w:sz w:val="28"/>
                <w:szCs w:val="28"/>
              </w:rPr>
              <w:t xml:space="preserve">The Supreme Court of Canada advised that Parliament has the authority to extend civil marriage to same-sex couples and that doing so is consistent with the Canadian Charter of Rights and Freedoms.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of Canada Judgments (scc-csc.lexum.com); CanLII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Can. Civil Marriage Act, S.C. 2005, c. 33.</w:t>
            </w:r>
          </w:p>
          <w:p>
            <w:pPr>
              <w:spacing w:before="60" w:after="0" w:line="240" w:lineRule="auto"/>
              <w:jc w:val="both"/>
            </w:pPr>
            <w:r>
              <w:rPr>
                <w:rFonts w:ascii="Times New Roman" w:hAnsi="Times New Roman" w:cs="Times New Roman" w:eastAsia="Times New Roman"/>
                <w:sz w:val="28"/>
                <w:szCs w:val="28"/>
              </w:rPr>
              <w:t xml:space="preserve">Defines marriage for civil purposes as “the lawful union of two persons to the exclusion of all others,” legalizing same-sex marriage throughout Canada.</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Justice Laws Website (laws-lois.justice.gc.ca)</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Minister of Home Affairs v. Fourie, 2006 (1) SA 524 (CC) (S. Afr.).</w:t>
            </w:r>
          </w:p>
          <w:p>
            <w:pPr>
              <w:spacing w:before="60" w:after="0" w:line="240" w:lineRule="auto"/>
              <w:jc w:val="both"/>
            </w:pPr>
            <w:r>
              <w:rPr>
                <w:rFonts w:ascii="Times New Roman" w:hAnsi="Times New Roman" w:cs="Times New Roman" w:eastAsia="Times New Roman"/>
                <w:sz w:val="28"/>
                <w:szCs w:val="28"/>
              </w:rPr>
              <w:t xml:space="preserve">The Constitutional Court of South Africa held that excluding same-sex couples from marriage violated their rights to equality and dignity and directed Parliament to cure the defect, leading to the Civil Union Act 17 of 2006.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SAFLII (saflii.org); Constitutional Court of South Africa website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U.K. Marriage (Same Sex Couples) Act 2013, c. 30.</w:t>
            </w:r>
          </w:p>
          <w:p>
            <w:pPr>
              <w:spacing w:before="60" w:after="0" w:line="240" w:lineRule="auto"/>
              <w:jc w:val="both"/>
            </w:pPr>
            <w:r>
              <w:rPr>
                <w:rFonts w:ascii="Times New Roman" w:hAnsi="Times New Roman" w:cs="Times New Roman" w:eastAsia="Times New Roman"/>
                <w:sz w:val="28"/>
                <w:szCs w:val="28"/>
              </w:rPr>
              <w:t xml:space="preserve">Extended marriage to same-sex couples in England and Wales while protecting religious organizations that decline to solemnize such marriages.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legislation.gov.uk</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Austl. Marriage Amendment (Definition and Religious Freedoms) Act 2017 (Cth).</w:t>
            </w:r>
          </w:p>
          <w:p>
            <w:pPr>
              <w:spacing w:before="60" w:after="0" w:line="240" w:lineRule="auto"/>
              <w:jc w:val="both"/>
            </w:pPr>
            <w:r>
              <w:rPr>
                <w:rFonts w:ascii="Times New Roman" w:hAnsi="Times New Roman" w:cs="Times New Roman" w:eastAsia="Times New Roman"/>
                <w:sz w:val="28"/>
                <w:szCs w:val="28"/>
              </w:rPr>
              <w:t xml:space="preserve">Redefined marriage in the Marriage Act 1961 as a union of two people rather than of a man and a woman, following a national postal survey, while allowing religious celebrants to decline to solemnize same-sex marriages.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Federal Register of Legislation (legislation.gov.au)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13.</w:t>
            </w:r>
          </w:p>
        </w:tc>
        <w:tc>
          <w:tcPr>
            <w:tcW w:w="9800" w:type="dxa"/>
          </w:tcPr>
          <w:p>
            <w:pPr>
              <w:spacing w:before="0" w:after="0" w:line="240" w:lineRule="auto"/>
              <w:jc w:val="left"/>
            </w:pPr>
            <w:r>
              <w:rPr>
                <w:rFonts w:ascii="Times New Roman" w:hAnsi="Times New Roman" w:cs="Times New Roman" w:eastAsia="Times New Roman"/>
                <w:sz w:val="28"/>
                <w:szCs w:val="28"/>
              </w:rPr>
              <w:t xml:space="preserve">J.Y. Interpretation No. 748 (Judicial Yuan, May 24, 2017) (Taiwan).</w:t>
            </w:r>
          </w:p>
          <w:p>
            <w:pPr>
              <w:spacing w:before="60" w:after="0" w:line="240" w:lineRule="auto"/>
              <w:jc w:val="both"/>
            </w:pPr>
            <w:r>
              <w:rPr>
                <w:rFonts w:ascii="Times New Roman" w:hAnsi="Times New Roman" w:cs="Times New Roman" w:eastAsia="Times New Roman"/>
                <w:sz w:val="28"/>
                <w:szCs w:val="28"/>
              </w:rPr>
              <w:t xml:space="preserve">Taiwan’s Constitutional Court held that the Civil Code’s failure to allow same-sex couples to form a permanent union violated the freedom of marriage and the right to equality, giving the legislature two years to act.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Constitutional Court, Republic of China (Taiwan) website (cons.judicial.gov.tw)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14.</w:t>
            </w:r>
          </w:p>
        </w:tc>
        <w:tc>
          <w:tcPr>
            <w:tcW w:w="9800" w:type="dxa"/>
          </w:tcPr>
          <w:p>
            <w:pPr>
              <w:spacing w:before="0" w:after="0" w:line="240" w:lineRule="auto"/>
              <w:jc w:val="left"/>
            </w:pPr>
            <w:r>
              <w:rPr>
                <w:rFonts w:ascii="Times New Roman" w:hAnsi="Times New Roman" w:cs="Times New Roman" w:eastAsia="Times New Roman"/>
                <w:sz w:val="28"/>
                <w:szCs w:val="28"/>
              </w:rPr>
              <w:t xml:space="preserve">Taiwan Act for Implementation of J.Y. Interpretation No. 748 (2019).</w:t>
            </w:r>
          </w:p>
          <w:p>
            <w:pPr>
              <w:spacing w:before="60" w:after="0" w:line="240" w:lineRule="auto"/>
              <w:jc w:val="both"/>
            </w:pPr>
            <w:r>
              <w:rPr>
                <w:rFonts w:ascii="Times New Roman" w:hAnsi="Times New Roman" w:cs="Times New Roman" w:eastAsia="Times New Roman"/>
                <w:sz w:val="28"/>
                <w:szCs w:val="28"/>
              </w:rPr>
              <w:t xml:space="preserve">Made Taiwan the first jurisdiction in Asia to allow same-sex couples to register marriages, through a special statute rather than an amendment of the Civil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Laws &amp; Regulations Database of the Republic of China (law.moj.gov.tw)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15.</w:t>
            </w:r>
          </w:p>
        </w:tc>
        <w:tc>
          <w:tcPr>
            <w:tcW w:w="9800" w:type="dxa"/>
          </w:tcPr>
          <w:p>
            <w:pPr>
              <w:spacing w:before="0" w:after="0" w:line="240" w:lineRule="auto"/>
              <w:jc w:val="left"/>
            </w:pPr>
            <w:r>
              <w:rPr>
                <w:rFonts w:ascii="Times New Roman" w:hAnsi="Times New Roman" w:cs="Times New Roman" w:eastAsia="Times New Roman"/>
                <w:sz w:val="28"/>
                <w:szCs w:val="28"/>
              </w:rPr>
              <w:t xml:space="preserve">Thai. Civil and Commercial Code Amendment Act (No. 24), B.E. 2567 (2024).</w:t>
            </w:r>
          </w:p>
          <w:p>
            <w:pPr>
              <w:spacing w:before="60" w:after="0" w:line="240" w:lineRule="auto"/>
              <w:jc w:val="both"/>
            </w:pPr>
            <w:r>
              <w:rPr>
                <w:rFonts w:ascii="Times New Roman" w:hAnsi="Times New Roman" w:cs="Times New Roman" w:eastAsia="Times New Roman"/>
                <w:sz w:val="28"/>
                <w:szCs w:val="28"/>
              </w:rPr>
              <w:t xml:space="preserve">Thailand’s Marriage Equality Act, effective January 23, 2025, replaced gendered terms with gender-neutral ones and made Thailand the first ASEAN member State to legalize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Royal Thai Government Gazette (ratchakitcha.soc.go.th)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16.</w:t>
            </w:r>
          </w:p>
        </w:tc>
        <w:tc>
          <w:tcPr>
            <w:tcW w:w="9800" w:type="dxa"/>
          </w:tcPr>
          <w:p>
            <w:pPr>
              <w:spacing w:before="0" w:after="0" w:line="240" w:lineRule="auto"/>
              <w:jc w:val="left"/>
            </w:pPr>
            <w:r>
              <w:rPr>
                <w:rFonts w:ascii="Times New Roman" w:hAnsi="Times New Roman" w:cs="Times New Roman" w:eastAsia="Times New Roman"/>
                <w:sz w:val="28"/>
                <w:szCs w:val="28"/>
              </w:rPr>
              <w:t xml:space="preserve">Sham Tsz Kit v. Secretary for Justice, [2023] HKCFA 28 (H.K.).</w:t>
            </w:r>
          </w:p>
          <w:p>
            <w:pPr>
              <w:spacing w:before="60" w:after="0" w:line="240" w:lineRule="auto"/>
              <w:jc w:val="both"/>
            </w:pPr>
            <w:r>
              <w:rPr>
                <w:rFonts w:ascii="Times New Roman" w:hAnsi="Times New Roman" w:cs="Times New Roman" w:eastAsia="Times New Roman"/>
                <w:sz w:val="28"/>
                <w:szCs w:val="28"/>
              </w:rPr>
              <w:t xml:space="preserve">Hong Kong’s Court of Final Appeal required the government to establish an alternative framework for recognizing same-sex partnerships without requiring same-sex marriage; the resulting bill was rejected by the Legislative Council in September 2025.</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Hong Kong Judiciary Legal Reference System (legalref.judiciary.hk); HKLII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17.</w:t>
            </w:r>
          </w:p>
        </w:tc>
        <w:tc>
          <w:tcPr>
            <w:tcW w:w="9800" w:type="dxa"/>
          </w:tcPr>
          <w:p>
            <w:pPr>
              <w:spacing w:before="0" w:after="0" w:line="240" w:lineRule="auto"/>
              <w:jc w:val="left"/>
            </w:pPr>
            <w:r>
              <w:rPr>
                <w:rFonts w:ascii="Times New Roman" w:hAnsi="Times New Roman" w:cs="Times New Roman" w:eastAsia="Times New Roman"/>
                <w:sz w:val="28"/>
                <w:szCs w:val="28"/>
              </w:rPr>
              <w:t xml:space="preserve">QT v. Director of Immigration, [2018] HKCFA 28 (H.K.).</w:t>
            </w:r>
          </w:p>
          <w:p>
            <w:pPr>
              <w:spacing w:before="60" w:after="0" w:line="240" w:lineRule="auto"/>
              <w:jc w:val="both"/>
            </w:pPr>
            <w:r>
              <w:rPr>
                <w:rFonts w:ascii="Times New Roman" w:hAnsi="Times New Roman" w:cs="Times New Roman" w:eastAsia="Times New Roman"/>
                <w:sz w:val="28"/>
                <w:szCs w:val="28"/>
              </w:rPr>
              <w:t xml:space="preserve">Held that denying a dependant visa to the same-sex civil partner of an employment-visa holder was unjustified, prompting recognition of foreign same-sex unions for immigration purposes.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Hong Kong Judiciary Legal Reference System (legalref.judiciary.hk); HKLII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18.</w:t>
            </w:r>
          </w:p>
        </w:tc>
        <w:tc>
          <w:tcPr>
            <w:tcW w:w="9800" w:type="dxa"/>
          </w:tcPr>
          <w:p>
            <w:pPr>
              <w:spacing w:before="0" w:after="0" w:line="240" w:lineRule="auto"/>
              <w:jc w:val="left"/>
            </w:pPr>
            <w:r>
              <w:rPr>
                <w:rFonts w:ascii="Times New Roman" w:hAnsi="Times New Roman" w:cs="Times New Roman" w:eastAsia="Times New Roman"/>
                <w:sz w:val="28"/>
                <w:szCs w:val="28"/>
              </w:rPr>
              <w:t xml:space="preserve">Supriyo Chakraborty v. Union of India, 2023 INSC 920 (India).</w:t>
            </w:r>
          </w:p>
          <w:p>
            <w:pPr>
              <w:spacing w:before="60" w:after="0" w:line="240" w:lineRule="auto"/>
              <w:jc w:val="both"/>
            </w:pPr>
            <w:r>
              <w:rPr>
                <w:rFonts w:ascii="Times New Roman" w:hAnsi="Times New Roman" w:cs="Times New Roman" w:eastAsia="Times New Roman"/>
                <w:sz w:val="28"/>
                <w:szCs w:val="28"/>
              </w:rPr>
              <w:t xml:space="preserve">The Supreme Court of India declined to recognize a fundamental right of queer couples to marry or to read same-sex marriage into the Special Marriage Act, leaving the matter to Parliament.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of India website (sci.gov.in); Indian Kanoon</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19.</w:t>
            </w:r>
          </w:p>
        </w:tc>
        <w:tc>
          <w:tcPr>
            <w:tcW w:w="9800" w:type="dxa"/>
          </w:tcPr>
          <w:p>
            <w:pPr>
              <w:spacing w:before="0" w:after="0" w:line="240" w:lineRule="auto"/>
              <w:jc w:val="left"/>
            </w:pPr>
            <w:r>
              <w:rPr>
                <w:rFonts w:ascii="Times New Roman" w:hAnsi="Times New Roman" w:cs="Times New Roman" w:eastAsia="Times New Roman"/>
                <w:sz w:val="28"/>
                <w:szCs w:val="28"/>
              </w:rPr>
              <w:t xml:space="preserve">Judgment of March 14, 2024, Sapporo Kōtō Saibansho [Sapporo High Court] (Japan).</w:t>
            </w:r>
          </w:p>
          <w:p>
            <w:pPr>
              <w:spacing w:before="60" w:after="0" w:line="240" w:lineRule="auto"/>
              <w:jc w:val="both"/>
            </w:pPr>
            <w:r>
              <w:rPr>
                <w:rFonts w:ascii="Times New Roman" w:hAnsi="Times New Roman" w:cs="Times New Roman" w:eastAsia="Times New Roman"/>
                <w:sz w:val="28"/>
                <w:szCs w:val="28"/>
              </w:rPr>
              <w:t xml:space="preserve">Held that Japan’s non-recognition of same-sex marriage is unconstitutional, one of several high court rulings referred in 2026 to the Grand Bench of the Supreme Court of Japan.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Courts in Japan website (courts.go.jp)</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20.</w:t>
            </w:r>
          </w:p>
        </w:tc>
        <w:tc>
          <w:tcPr>
            <w:tcW w:w="9800" w:type="dxa"/>
          </w:tcPr>
          <w:p>
            <w:pPr>
              <w:spacing w:before="0" w:after="0" w:line="240" w:lineRule="auto"/>
              <w:jc w:val="left"/>
            </w:pPr>
            <w:r>
              <w:rPr>
                <w:rFonts w:ascii="Times New Roman" w:hAnsi="Times New Roman" w:cs="Times New Roman" w:eastAsia="Times New Roman"/>
                <w:sz w:val="28"/>
                <w:szCs w:val="28"/>
              </w:rPr>
              <w:t xml:space="preserve">Code of Canon Law (1983), can. 1055, § 1 (Holy See).</w:t>
            </w:r>
          </w:p>
          <w:p>
            <w:pPr>
              <w:spacing w:before="60" w:after="0" w:line="240" w:lineRule="auto"/>
              <w:jc w:val="both"/>
            </w:pPr>
            <w:r>
              <w:rPr>
                <w:rFonts w:ascii="Times New Roman" w:hAnsi="Times New Roman" w:cs="Times New Roman" w:eastAsia="Times New Roman"/>
                <w:sz w:val="28"/>
                <w:szCs w:val="28"/>
              </w:rPr>
              <w:t xml:space="preserve">Defines the matrimonial covenant as one “by which a man and a woman establish between themselves a partnership of the whole of life,” a canonical source given persuasive weight in Philippine family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Holy See website (vatican.va)</w:t>
            </w:r>
          </w:p>
        </w:tc>
      </w:tr>
      <w:tr w:rsidR="00C9537E" w:rsidRPr="00962418" w14:paraId="277F7A0D" w14:textId="77777777" w:rsidTr="00962418">
        <w:tc>
          <w:tcPr>
            <w:tcW w:w="760" w:type="dxa"/>
            <w:tcBorders>
              <w:top w:val="single" w:sz="24" w:space="0" w:color="auto"/>
            </w:tcBorders>
          </w:tcPr>
          <w:p w14:paraId="478B2AE6" w14:textId="77777777" w:rsidR="00C9537E" w:rsidRPr="00962418" w:rsidRDefault="00C9537E" w:rsidP="00C154F1">
            <w:pPr>
              <w:jc w:val="both"/>
              <w:rPr>
                <w:rFonts w:ascii="Times New Roman" w:hAnsi="Times New Roman" w:cs="Times New Roman" w:eastAsia="Times New Roman"/>
                <w:b/>
                <w:bCs/>
                <w:sz w:val="28"/>
                <w:szCs w:val="28"/>
              </w:rPr>
            </w:pPr>
          </w:p>
        </w:tc>
        <w:tc>
          <w:tcPr>
            <w:tcW w:w="16425" w:type="dxa"/>
            <w:gridSpan w:val="3"/>
            <w:tcBorders>
              <w:top w:val="single" w:sz="24" w:space="0" w:color="auto"/>
            </w:tcBorders>
          </w:tcPr>
          <w:p w14:paraId="2E630339" w14:textId="53CB742B" w:rsidR="00C9537E" w:rsidRPr="00962418" w:rsidRDefault="00C9537E" w:rsidP="00C9537E">
            <w:pPr>
              <w:jc w:val="center"/>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SECONDARY </w:t>
            </w:r>
            <w:r w:rsidR="008C1B6A">
              <w:rPr>
                <w:rFonts w:ascii="Times New Roman" w:hAnsi="Times New Roman" w:cs="Times New Roman" w:eastAsia="Times New Roman"/>
                <w:b/>
                <w:bCs/>
                <w:sz w:val="28"/>
                <w:szCs w:val="28"/>
              </w:rPr>
              <w:t>SOURCES</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A.</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TREATISES AND LEGAL BOOKS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1 </w:t>
            </w:r>
            <w:r>
              <w:rPr>
                <w:rFonts w:ascii="Times New Roman" w:hAnsi="Times New Roman" w:cs="Times New Roman" w:eastAsia="Times New Roman"/>
                <w:smallCaps/>
                <w:sz w:val="28"/>
                <w:szCs w:val="28"/>
              </w:rPr>
              <w:t xml:space="preserve">Arturo M. Tolentino, Commentaries and Jurisprudence on the Civil Code of the Philippines</w:t>
            </w:r>
            <w:r>
              <w:rPr>
                <w:rFonts w:ascii="Times New Roman" w:hAnsi="Times New Roman" w:cs="Times New Roman" w:eastAsia="Times New Roman"/>
                <w:sz w:val="28"/>
                <w:szCs w:val="28"/>
              </w:rPr>
              <w:t xml:space="preserve"> (1990).</w:t>
            </w:r>
          </w:p>
          <w:p>
            <w:pPr>
              <w:spacing w:before="60" w:after="0" w:line="240" w:lineRule="auto"/>
              <w:jc w:val="both"/>
            </w:pPr>
            <w:r>
              <w:rPr>
                <w:rFonts w:ascii="Times New Roman" w:hAnsi="Times New Roman" w:cs="Times New Roman" w:eastAsia="Times New Roman"/>
                <w:sz w:val="28"/>
                <w:szCs w:val="28"/>
              </w:rPr>
              <w:t xml:space="preserve">The leading civil law treatise by a member of the Code Commission, explaining the nature, requisites, and effects of marriage under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Alicia V. Sempio-Diy, Handbook on the Family Code of the Philippines</w:t>
            </w:r>
            <w:r>
              <w:rPr>
                <w:rFonts w:ascii="Times New Roman" w:hAnsi="Times New Roman" w:cs="Times New Roman" w:eastAsia="Times New Roman"/>
                <w:sz w:val="28"/>
                <w:szCs w:val="28"/>
              </w:rPr>
              <w:t xml:space="preserve"> (1988).</w:t>
            </w:r>
          </w:p>
          <w:p>
            <w:pPr>
              <w:spacing w:before="60" w:after="0" w:line="240" w:lineRule="auto"/>
              <w:jc w:val="both"/>
            </w:pPr>
            <w:r>
              <w:rPr>
                <w:rFonts w:ascii="Times New Roman" w:hAnsi="Times New Roman" w:cs="Times New Roman" w:eastAsia="Times New Roman"/>
                <w:sz w:val="28"/>
                <w:szCs w:val="28"/>
              </w:rPr>
              <w:t xml:space="preserve">Written by a member of the committees that drafted the Family Code, it explains the drafters’ rationale for the requisites of marriage and the grounds for annulment and legal separation, including those involving homosexuality.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Melencio S. Sta. Maria, Jr., Persons and Family Relations Law</w:t>
            </w:r>
            <w:r>
              <w:rPr>
                <w:rFonts w:ascii="Times New Roman" w:hAnsi="Times New Roman" w:cs="Times New Roman" w:eastAsia="Times New Roman"/>
                <w:sz w:val="28"/>
                <w:szCs w:val="28"/>
              </w:rPr>
              <w:t xml:space="preserve"> (5th ed., 2010).</w:t>
            </w:r>
          </w:p>
          <w:p>
            <w:pPr>
              <w:spacing w:before="60" w:after="0" w:line="240" w:lineRule="auto"/>
              <w:jc w:val="both"/>
            </w:pPr>
            <w:r>
              <w:rPr>
                <w:rFonts w:ascii="Times New Roman" w:hAnsi="Times New Roman" w:cs="Times New Roman" w:eastAsia="Times New Roman"/>
                <w:sz w:val="28"/>
                <w:szCs w:val="28"/>
              </w:rPr>
              <w:t xml:space="preserve">A widely used treatise on the Family Code that discusses the essential requisites of marriage, including the requirement that the contracting parties be a male and a female.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Joaquin G. Bernas, S.J., The 1987 Constitution of the Republic of the Philippines: A Commentary</w:t>
            </w:r>
            <w:r>
              <w:rPr>
                <w:rFonts w:ascii="Times New Roman" w:hAnsi="Times New Roman" w:cs="Times New Roman" w:eastAsia="Times New Roman"/>
                <w:sz w:val="28"/>
                <w:szCs w:val="28"/>
              </w:rPr>
              <w:t xml:space="preserve"> (2009).</w:t>
            </w:r>
          </w:p>
          <w:p>
            <w:pPr>
              <w:spacing w:before="60" w:after="0" w:line="240" w:lineRule="auto"/>
              <w:jc w:val="both"/>
            </w:pPr>
            <w:r>
              <w:rPr>
                <w:rFonts w:ascii="Times New Roman" w:hAnsi="Times New Roman" w:cs="Times New Roman" w:eastAsia="Times New Roman"/>
                <w:sz w:val="28"/>
                <w:szCs w:val="28"/>
              </w:rPr>
              <w:t xml:space="preserve">The authoritative commentary by a member of the 1986 Constitutional Commission on the equal protection clause and on Article XV’s provisions on marriage and the family.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Joaquin G. Bernas, S.J., The Intent of the 1986 Constitution Writers</w:t>
            </w:r>
            <w:r>
              <w:rPr>
                <w:rFonts w:ascii="Times New Roman" w:hAnsi="Times New Roman" w:cs="Times New Roman" w:eastAsia="Times New Roman"/>
                <w:sz w:val="28"/>
                <w:szCs w:val="28"/>
              </w:rPr>
              <w:t xml:space="preserve"> (1995).</w:t>
            </w:r>
          </w:p>
          <w:p>
            <w:pPr>
              <w:spacing w:before="60" w:after="0" w:line="240" w:lineRule="auto"/>
              <w:jc w:val="both"/>
            </w:pPr>
            <w:r>
              <w:rPr>
                <w:rFonts w:ascii="Times New Roman" w:hAnsi="Times New Roman" w:cs="Times New Roman" w:eastAsia="Times New Roman"/>
                <w:sz w:val="28"/>
                <w:szCs w:val="28"/>
              </w:rPr>
              <w:t xml:space="preserve">Reconstructs the deliberations of the Constitutional Commission, useful in determining what the framers intended by the protection of marriage in Article XV.</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Legal Recognition of Same-Sex Partnerships: A Study of National, European and International Law</w:t>
            </w:r>
            <w:r>
              <w:rPr>
                <w:rFonts w:ascii="Times New Roman" w:hAnsi="Times New Roman" w:cs="Times New Roman" w:eastAsia="Times New Roman"/>
                <w:sz w:val="28"/>
                <w:szCs w:val="28"/>
              </w:rPr>
              <w:t xml:space="preserve"> (Robert Wintemute &amp; Mads Andenæs eds., 2001).</w:t>
            </w:r>
          </w:p>
          <w:p>
            <w:pPr>
              <w:spacing w:before="60" w:after="0" w:line="240" w:lineRule="auto"/>
              <w:jc w:val="both"/>
            </w:pPr>
            <w:r>
              <w:rPr>
                <w:rFonts w:ascii="Times New Roman" w:hAnsi="Times New Roman" w:cs="Times New Roman" w:eastAsia="Times New Roman"/>
                <w:sz w:val="28"/>
                <w:szCs w:val="28"/>
              </w:rPr>
              <w:t xml:space="preserve">A comprehensive comparative study of registered partnership and marriage regimes for same-sex couples across national, European, and international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William N. Eskridge, Jr., The Case for Same-Sex Marriage: From Sexual Liberty to Civilized Commitment</w:t>
            </w:r>
            <w:r>
              <w:rPr>
                <w:rFonts w:ascii="Times New Roman" w:hAnsi="Times New Roman" w:cs="Times New Roman" w:eastAsia="Times New Roman"/>
                <w:sz w:val="28"/>
                <w:szCs w:val="28"/>
              </w:rPr>
              <w:t xml:space="preserve"> (1996).</w:t>
            </w:r>
          </w:p>
          <w:p>
            <w:pPr>
              <w:spacing w:before="60" w:after="0" w:line="240" w:lineRule="auto"/>
              <w:jc w:val="both"/>
            </w:pPr>
            <w:r>
              <w:rPr>
                <w:rFonts w:ascii="Times New Roman" w:hAnsi="Times New Roman" w:cs="Times New Roman" w:eastAsia="Times New Roman"/>
                <w:sz w:val="28"/>
                <w:szCs w:val="28"/>
              </w:rPr>
              <w:t xml:space="preserve">A foundational legal argument for same-sex marriage grounded on history, equality, and the social value of committed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William N. Eskridge, Jr. &amp; Christopher R. Riano, Marriage Equality: From Outlaws to In-Laws</w:t>
            </w:r>
            <w:r>
              <w:rPr>
                <w:rFonts w:ascii="Times New Roman" w:hAnsi="Times New Roman" w:cs="Times New Roman" w:eastAsia="Times New Roman"/>
                <w:sz w:val="28"/>
                <w:szCs w:val="28"/>
              </w:rPr>
              <w:t xml:space="preserve"> (2020).</w:t>
            </w:r>
          </w:p>
          <w:p>
            <w:pPr>
              <w:spacing w:before="60" w:after="0" w:line="240" w:lineRule="auto"/>
              <w:jc w:val="both"/>
            </w:pPr>
            <w:r>
              <w:rPr>
                <w:rFonts w:ascii="Times New Roman" w:hAnsi="Times New Roman" w:cs="Times New Roman" w:eastAsia="Times New Roman"/>
                <w:sz w:val="28"/>
                <w:szCs w:val="28"/>
              </w:rPr>
              <w:t xml:space="preserve">A comprehensive legal history of the movement that culminated in </w:t>
            </w:r>
            <w:r>
              <w:rPr>
                <w:rFonts w:ascii="Times New Roman" w:hAnsi="Times New Roman" w:cs="Times New Roman" w:eastAsia="Times New Roman"/>
                <w:i/>
                <w:iCs/>
                <w:sz w:val="28"/>
                <w:szCs w:val="28"/>
              </w:rPr>
              <w:t xml:space="preserve">Obergefell v. Hodges</w:t>
            </w:r>
            <w:r>
              <w:rPr>
                <w:rFonts w:ascii="Times New Roman" w:hAnsi="Times New Roman" w:cs="Times New Roman" w:eastAsia="Times New Roman"/>
                <w:sz w:val="28"/>
                <w:szCs w:val="28"/>
              </w:rPr>
              <w:t xml:space="preserve">, useful for comparing litigation and legislative strategies.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Michael J. Klarman, From the Closet to the Altar: Courts, Backlash, and the Struggle for Same-Sex Marriage</w:t>
            </w:r>
            <w:r>
              <w:rPr>
                <w:rFonts w:ascii="Times New Roman" w:hAnsi="Times New Roman" w:cs="Times New Roman" w:eastAsia="Times New Roman"/>
                <w:sz w:val="28"/>
                <w:szCs w:val="28"/>
              </w:rPr>
              <w:t xml:space="preserve"> (2013).</w:t>
            </w:r>
          </w:p>
          <w:p>
            <w:pPr>
              <w:spacing w:before="60" w:after="0" w:line="240" w:lineRule="auto"/>
              <w:jc w:val="both"/>
            </w:pPr>
            <w:r>
              <w:rPr>
                <w:rFonts w:ascii="Times New Roman" w:hAnsi="Times New Roman" w:cs="Times New Roman" w:eastAsia="Times New Roman"/>
                <w:sz w:val="28"/>
                <w:szCs w:val="28"/>
              </w:rPr>
              <w:t xml:space="preserve">Examines how court rulings on same-sex marriage in the United States provoked political backlash, offering perspective on the Philippine Supreme Court’s deference to Congress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Yuval Merin, Equality for Same-Sex Couples: The Legal Recognition of Gay Partnerships in Europe and the United States</w:t>
            </w:r>
            <w:r>
              <w:rPr>
                <w:rFonts w:ascii="Times New Roman" w:hAnsi="Times New Roman" w:cs="Times New Roman" w:eastAsia="Times New Roman"/>
                <w:sz w:val="28"/>
                <w:szCs w:val="28"/>
              </w:rPr>
              <w:t xml:space="preserve"> (2002).</w:t>
            </w:r>
          </w:p>
          <w:p>
            <w:pPr>
              <w:spacing w:before="60" w:after="0" w:line="240" w:lineRule="auto"/>
              <w:jc w:val="both"/>
            </w:pPr>
            <w:r>
              <w:rPr>
                <w:rFonts w:ascii="Times New Roman" w:hAnsi="Times New Roman" w:cs="Times New Roman" w:eastAsia="Times New Roman"/>
                <w:sz w:val="28"/>
                <w:szCs w:val="28"/>
              </w:rPr>
              <w:t xml:space="preserve">Compares models of partnership recognition short of marriage, informing the civil partnership alternative proposed in Philippine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Paul Johnson, Homosexuality and the European Court of Human Rights</w:t>
            </w:r>
            <w:r>
              <w:rPr>
                <w:rFonts w:ascii="Times New Roman" w:hAnsi="Times New Roman" w:cs="Times New Roman" w:eastAsia="Times New Roman"/>
                <w:sz w:val="28"/>
                <w:szCs w:val="28"/>
              </w:rPr>
              <w:t xml:space="preserve"> (2013).</w:t>
            </w:r>
          </w:p>
          <w:p>
            <w:pPr>
              <w:spacing w:before="60" w:after="0" w:line="240" w:lineRule="auto"/>
              <w:jc w:val="both"/>
            </w:pPr>
            <w:r>
              <w:rPr>
                <w:rFonts w:ascii="Times New Roman" w:hAnsi="Times New Roman" w:cs="Times New Roman" w:eastAsia="Times New Roman"/>
                <w:sz w:val="28"/>
                <w:szCs w:val="28"/>
              </w:rPr>
              <w:t xml:space="preserve">Analyzes the European Court of Human Rights’ case law on sexual orientation, including its gradual approach to recognizing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Sherif Girgis, Ryan T. Anderson &amp; Robert P. George, What Is Marriage? Man and Woman: A Defense</w:t>
            </w:r>
            <w:r>
              <w:rPr>
                <w:rFonts w:ascii="Times New Roman" w:hAnsi="Times New Roman" w:cs="Times New Roman" w:eastAsia="Times New Roman"/>
                <w:sz w:val="28"/>
                <w:szCs w:val="28"/>
              </w:rPr>
              <w:t xml:space="preserve"> (2012).</w:t>
            </w:r>
          </w:p>
          <w:p>
            <w:pPr>
              <w:spacing w:before="60" w:after="0" w:line="240" w:lineRule="auto"/>
              <w:jc w:val="both"/>
            </w:pPr>
            <w:r>
              <w:rPr>
                <w:rFonts w:ascii="Times New Roman" w:hAnsi="Times New Roman" w:cs="Times New Roman" w:eastAsia="Times New Roman"/>
                <w:sz w:val="28"/>
                <w:szCs w:val="28"/>
              </w:rPr>
              <w:t xml:space="preserve">Presents the leading natural-law argument for the conjugal, man-and-woman conception of marriage, representing the opposing view in the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B.</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LAW JOURNAL AND LAW REVIEW ARTICLES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Ignacio Lorenzo Dela Cruz Villareal, </w:t>
            </w:r>
            <w:r>
              <w:rPr>
                <w:rFonts w:ascii="Times New Roman" w:hAnsi="Times New Roman" w:cs="Times New Roman" w:eastAsia="Times New Roman"/>
                <w:i/>
                <w:iCs/>
                <w:sz w:val="28"/>
                <w:szCs w:val="28"/>
              </w:rPr>
              <w:t xml:space="preserve">A Comprehensive Case for the Recognition in the Philippines of Same-Sex Marriages Between Filipinos Abroad</w:t>
            </w:r>
            <w:r>
              <w:rPr>
                <w:rFonts w:ascii="Times New Roman" w:hAnsi="Times New Roman" w:cs="Times New Roman" w:eastAsia="Times New Roman"/>
                <w:sz w:val="28"/>
                <w:szCs w:val="28"/>
              </w:rPr>
              <w:t xml:space="preserve">, 99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1 (2025).</w:t>
            </w:r>
          </w:p>
          <w:p>
            <w:pPr>
              <w:spacing w:before="60" w:after="0" w:line="240" w:lineRule="auto"/>
              <w:jc w:val="both"/>
            </w:pPr>
            <w:r>
              <w:rPr>
                <w:rFonts w:ascii="Times New Roman" w:hAnsi="Times New Roman" w:cs="Times New Roman" w:eastAsia="Times New Roman"/>
                <w:sz w:val="28"/>
                <w:szCs w:val="28"/>
              </w:rPr>
              <w:t xml:space="preserve">Argues that same-sex marriages of Filipinos validly celebrated abroad can and should be recognized under Article 26 of the Family Code without further legislation.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Maria Janina Ann Bordon, </w:t>
            </w:r>
            <w:r>
              <w:rPr>
                <w:rFonts w:ascii="Times New Roman" w:hAnsi="Times New Roman" w:cs="Times New Roman" w:eastAsia="Times New Roman"/>
                <w:i/>
                <w:iCs/>
                <w:sz w:val="28"/>
                <w:szCs w:val="28"/>
              </w:rPr>
              <w:t xml:space="preserve">The Universal Human Rights to Marry and to Found a Family</w:t>
            </w:r>
            <w:r>
              <w:rPr>
                <w:rFonts w:ascii="Times New Roman" w:hAnsi="Times New Roman" w:cs="Times New Roman" w:eastAsia="Times New Roman"/>
                <w:sz w:val="28"/>
                <w:szCs w:val="28"/>
              </w:rPr>
              <w:t xml:space="preserve">, 88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848 (2014).</w:t>
            </w:r>
          </w:p>
          <w:p>
            <w:pPr>
              <w:spacing w:before="60" w:after="0" w:line="240" w:lineRule="auto"/>
              <w:jc w:val="both"/>
            </w:pPr>
            <w:r>
              <w:rPr>
                <w:rFonts w:ascii="Times New Roman" w:hAnsi="Times New Roman" w:cs="Times New Roman" w:eastAsia="Times New Roman"/>
                <w:sz w:val="28"/>
                <w:szCs w:val="28"/>
              </w:rPr>
              <w:t xml:space="preserve">Invokes the Yogyakarta Principles and international human rights law as a soft-law basis for the marriage rights of LGBT Filipinos.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Oscar Franklin B. Tan, </w:t>
            </w:r>
            <w:r>
              <w:rPr>
                <w:rFonts w:ascii="Times New Roman" w:hAnsi="Times New Roman" w:cs="Times New Roman" w:eastAsia="Times New Roman"/>
                <w:i/>
                <w:iCs/>
                <w:sz w:val="28"/>
                <w:szCs w:val="28"/>
              </w:rPr>
              <w:t xml:space="preserve">Marriage Through Another Lens: Weighing the Validity of Same-Sex Marriages by Applying Arguments to Bisexuals and Transsexuals</w:t>
            </w:r>
            <w:r>
              <w:rPr>
                <w:rFonts w:ascii="Times New Roman" w:hAnsi="Times New Roman" w:cs="Times New Roman" w:eastAsia="Times New Roman"/>
                <w:sz w:val="28"/>
                <w:szCs w:val="28"/>
              </w:rPr>
              <w:t xml:space="preserve">, 81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789 (2007).</w:t>
            </w:r>
          </w:p>
          <w:p>
            <w:pPr>
              <w:spacing w:before="60" w:after="0" w:line="240" w:lineRule="auto"/>
              <w:jc w:val="both"/>
            </w:pPr>
            <w:r>
              <w:rPr>
                <w:rFonts w:ascii="Times New Roman" w:hAnsi="Times New Roman" w:cs="Times New Roman" w:eastAsia="Times New Roman"/>
                <w:sz w:val="28"/>
                <w:szCs w:val="28"/>
              </w:rPr>
              <w:t xml:space="preserve">Tests the arguments on the validity of same-sex marriages under Philippine law by applying them to bisexual and transsexual persons.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Joseph T. Gonzales, </w:t>
            </w:r>
            <w:r>
              <w:rPr>
                <w:rFonts w:ascii="Times New Roman" w:hAnsi="Times New Roman" w:cs="Times New Roman" w:eastAsia="Times New Roman"/>
                <w:i/>
                <w:iCs/>
                <w:sz w:val="28"/>
                <w:szCs w:val="28"/>
              </w:rPr>
              <w:t xml:space="preserve">International Legal Protection for Homosexual Sexual Conduct</w:t>
            </w:r>
            <w:r>
              <w:rPr>
                <w:rFonts w:ascii="Times New Roman" w:hAnsi="Times New Roman" w:cs="Times New Roman" w:eastAsia="Times New Roman"/>
                <w:sz w:val="28"/>
                <w:szCs w:val="28"/>
              </w:rPr>
              <w:t xml:space="preserve">, 72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1 (1997).</w:t>
            </w:r>
          </w:p>
          <w:p>
            <w:pPr>
              <w:spacing w:before="60" w:after="0" w:line="240" w:lineRule="auto"/>
              <w:jc w:val="both"/>
            </w:pPr>
            <w:r>
              <w:rPr>
                <w:rFonts w:ascii="Times New Roman" w:hAnsi="Times New Roman" w:cs="Times New Roman" w:eastAsia="Times New Roman"/>
                <w:sz w:val="28"/>
                <w:szCs w:val="28"/>
              </w:rPr>
              <w:t xml:space="preserve">An early Philippine scholarly survey of international human rights protection based on sexual orientation, providing background for later claims to recognize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Luis Jose F. Geronimo, </w:t>
            </w:r>
            <w:r>
              <w:rPr>
                <w:rFonts w:ascii="Times New Roman" w:hAnsi="Times New Roman" w:cs="Times New Roman" w:eastAsia="Times New Roman"/>
                <w:i/>
                <w:iCs/>
                <w:sz w:val="28"/>
                <w:szCs w:val="28"/>
              </w:rPr>
              <w:t xml:space="preserve">Rising above Contempt: SOGIESC Equality and LGBTQI+ Rights in Philippine Law through the Lens of Falcis v. Civil Registrar General</w:t>
            </w:r>
            <w:r>
              <w:rPr>
                <w:rFonts w:ascii="Times New Roman" w:hAnsi="Times New Roman" w:cs="Times New Roman" w:eastAsia="Times New Roman"/>
                <w:sz w:val="28"/>
                <w:szCs w:val="28"/>
              </w:rPr>
              <w:t xml:space="preserve">, 64 </w:t>
            </w:r>
            <w:r>
              <w:rPr>
                <w:rFonts w:ascii="Times New Roman" w:hAnsi="Times New Roman" w:cs="Times New Roman" w:eastAsia="Times New Roman"/>
                <w:smallCaps/>
                <w:sz w:val="28"/>
                <w:szCs w:val="28"/>
              </w:rPr>
              <w:t xml:space="preserve">Ateneo L.J.</w:t>
            </w:r>
            <w:r>
              <w:rPr>
                <w:rFonts w:ascii="Times New Roman" w:hAnsi="Times New Roman" w:cs="Times New Roman" w:eastAsia="Times New Roman"/>
                <w:sz w:val="28"/>
                <w:szCs w:val="28"/>
              </w:rPr>
              <w:t xml:space="preserve"> (2020),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w:t>
            </w:r>
            <w:hyperlink r:id="rId10">
              <w:r>
                <w:rPr>
                  <w:rFonts w:ascii="Times New Roman" w:hAnsi="Times New Roman" w:cs="Times New Roman" w:eastAsia="Times New Roman"/>
                  <w:sz w:val="28"/>
                  <w:szCs w:val="28"/>
                </w:rPr>
                <w:t xml:space="preserve">https://ateneolj.com/archive/article/930</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Examines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and its implications for SOGIESC equality and the rights of LGBTQI+ persons under Philippine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William N. Eskridge, Jr., </w:t>
            </w:r>
            <w:r>
              <w:rPr>
                <w:rFonts w:ascii="Times New Roman" w:hAnsi="Times New Roman" w:cs="Times New Roman" w:eastAsia="Times New Roman"/>
                <w:i/>
                <w:iCs/>
                <w:sz w:val="28"/>
                <w:szCs w:val="28"/>
              </w:rPr>
              <w:t xml:space="preserve">A History of Same-Sex Marriage</w:t>
            </w:r>
            <w:r>
              <w:rPr>
                <w:rFonts w:ascii="Times New Roman" w:hAnsi="Times New Roman" w:cs="Times New Roman" w:eastAsia="Times New Roman"/>
                <w:sz w:val="28"/>
                <w:szCs w:val="28"/>
              </w:rPr>
              <w:t xml:space="preserve">, 79 </w:t>
            </w:r>
            <w:r>
              <w:rPr>
                <w:rFonts w:ascii="Times New Roman" w:hAnsi="Times New Roman" w:cs="Times New Roman" w:eastAsia="Times New Roman"/>
                <w:smallCaps/>
                <w:sz w:val="28"/>
                <w:szCs w:val="28"/>
              </w:rPr>
              <w:t xml:space="preserve">Va. L. Rev.</w:t>
            </w:r>
            <w:r>
              <w:rPr>
                <w:rFonts w:ascii="Times New Roman" w:hAnsi="Times New Roman" w:cs="Times New Roman" w:eastAsia="Times New Roman"/>
                <w:sz w:val="28"/>
                <w:szCs w:val="28"/>
              </w:rPr>
              <w:t xml:space="preserve"> 1419 (1993).</w:t>
            </w:r>
          </w:p>
          <w:p>
            <w:pPr>
              <w:spacing w:before="60" w:after="0" w:line="240" w:lineRule="auto"/>
              <w:jc w:val="both"/>
            </w:pPr>
            <w:r>
              <w:rPr>
                <w:rFonts w:ascii="Times New Roman" w:hAnsi="Times New Roman" w:cs="Times New Roman" w:eastAsia="Times New Roman"/>
                <w:sz w:val="28"/>
                <w:szCs w:val="28"/>
              </w:rPr>
              <w:t xml:space="preserve">Documents historical and cross-cultural recognition of same-sex unions to rebut the definitional argument that marriage has always been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Andrew Koppelman, </w:t>
            </w:r>
            <w:r>
              <w:rPr>
                <w:rFonts w:ascii="Times New Roman" w:hAnsi="Times New Roman" w:cs="Times New Roman" w:eastAsia="Times New Roman"/>
                <w:i/>
                <w:iCs/>
                <w:sz w:val="28"/>
                <w:szCs w:val="28"/>
              </w:rPr>
              <w:t xml:space="preserve">Why Discrimination Against Lesbians and Gay Men Is Sex Discrimination</w:t>
            </w:r>
            <w:r>
              <w:rPr>
                <w:rFonts w:ascii="Times New Roman" w:hAnsi="Times New Roman" w:cs="Times New Roman" w:eastAsia="Times New Roman"/>
                <w:sz w:val="28"/>
                <w:szCs w:val="28"/>
              </w:rPr>
              <w:t xml:space="preserve">, 69 </w:t>
            </w:r>
            <w:r>
              <w:rPr>
                <w:rFonts w:ascii="Times New Roman" w:hAnsi="Times New Roman" w:cs="Times New Roman" w:eastAsia="Times New Roman"/>
                <w:smallCaps/>
                <w:sz w:val="28"/>
                <w:szCs w:val="28"/>
              </w:rPr>
              <w:t xml:space="preserve">N.Y.U. L. Rev.</w:t>
            </w:r>
            <w:r>
              <w:rPr>
                <w:rFonts w:ascii="Times New Roman" w:hAnsi="Times New Roman" w:cs="Times New Roman" w:eastAsia="Times New Roman"/>
                <w:sz w:val="28"/>
                <w:szCs w:val="28"/>
              </w:rPr>
              <w:t xml:space="preserve"> 197 (1994).</w:t>
            </w:r>
          </w:p>
          <w:p>
            <w:pPr>
              <w:spacing w:before="60" w:after="0" w:line="240" w:lineRule="auto"/>
              <w:jc w:val="both"/>
            </w:pPr>
            <w:r>
              <w:rPr>
                <w:rFonts w:ascii="Times New Roman" w:hAnsi="Times New Roman" w:cs="Times New Roman" w:eastAsia="Times New Roman"/>
                <w:sz w:val="28"/>
                <w:szCs w:val="28"/>
              </w:rPr>
              <w:t xml:space="preserve">Develops the theory that restricting marriage to a man and a woman is a sex-based classification, an argument relevant to equal protection challenges such as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Laurence R. Helfer &amp; Alice M. Miller, </w:t>
            </w:r>
            <w:r>
              <w:rPr>
                <w:rFonts w:ascii="Times New Roman" w:hAnsi="Times New Roman" w:cs="Times New Roman" w:eastAsia="Times New Roman"/>
                <w:i/>
                <w:iCs/>
                <w:sz w:val="28"/>
                <w:szCs w:val="28"/>
              </w:rPr>
              <w:t xml:space="preserve">Sexual Orientation and Human Rights: Toward a United States and Transnational Jurisprudence</w:t>
            </w:r>
            <w:r>
              <w:rPr>
                <w:rFonts w:ascii="Times New Roman" w:hAnsi="Times New Roman" w:cs="Times New Roman" w:eastAsia="Times New Roman"/>
                <w:sz w:val="28"/>
                <w:szCs w:val="28"/>
              </w:rPr>
              <w:t xml:space="preserve">, 9 </w:t>
            </w:r>
            <w:r>
              <w:rPr>
                <w:rFonts w:ascii="Times New Roman" w:hAnsi="Times New Roman" w:cs="Times New Roman" w:eastAsia="Times New Roman"/>
                <w:smallCaps/>
                <w:sz w:val="28"/>
                <w:szCs w:val="28"/>
              </w:rPr>
              <w:t xml:space="preserve">Harv. Hum. Rts. J.</w:t>
            </w:r>
            <w:r>
              <w:rPr>
                <w:rFonts w:ascii="Times New Roman" w:hAnsi="Times New Roman" w:cs="Times New Roman" w:eastAsia="Times New Roman"/>
                <w:sz w:val="28"/>
                <w:szCs w:val="28"/>
              </w:rPr>
              <w:t xml:space="preserve"> 61 (1996).</w:t>
            </w:r>
          </w:p>
          <w:p>
            <w:pPr>
              <w:spacing w:before="60" w:after="0" w:line="240" w:lineRule="auto"/>
              <w:jc w:val="both"/>
            </w:pPr>
            <w:r>
              <w:rPr>
                <w:rFonts w:ascii="Times New Roman" w:hAnsi="Times New Roman" w:cs="Times New Roman" w:eastAsia="Times New Roman"/>
                <w:sz w:val="28"/>
                <w:szCs w:val="28"/>
              </w:rPr>
              <w:t xml:space="preserve">Traces the emergence of sexual orientation as a protected ground in international and comparative human rights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Kees Waaldijk, </w:t>
            </w:r>
            <w:r>
              <w:rPr>
                <w:rFonts w:ascii="Times New Roman" w:hAnsi="Times New Roman" w:cs="Times New Roman" w:eastAsia="Times New Roman"/>
                <w:i/>
                <w:iCs/>
                <w:sz w:val="28"/>
                <w:szCs w:val="28"/>
              </w:rPr>
              <w:t xml:space="preserve">Others May Follow: The Introduction of Marriage, Quasi-Marriage, and Semi-Marriage for Same-Sex Couples in European Countries</w:t>
            </w:r>
            <w:r>
              <w:rPr>
                <w:rFonts w:ascii="Times New Roman" w:hAnsi="Times New Roman" w:cs="Times New Roman" w:eastAsia="Times New Roman"/>
                <w:sz w:val="28"/>
                <w:szCs w:val="28"/>
              </w:rPr>
              <w:t xml:space="preserve">, 38 </w:t>
            </w:r>
            <w:r>
              <w:rPr>
                <w:rFonts w:ascii="Times New Roman" w:hAnsi="Times New Roman" w:cs="Times New Roman" w:eastAsia="Times New Roman"/>
                <w:smallCaps/>
                <w:sz w:val="28"/>
                <w:szCs w:val="28"/>
              </w:rPr>
              <w:t xml:space="preserve">New Eng. L. Rev.</w:t>
            </w:r>
            <w:r>
              <w:rPr>
                <w:rFonts w:ascii="Times New Roman" w:hAnsi="Times New Roman" w:cs="Times New Roman" w:eastAsia="Times New Roman"/>
                <w:sz w:val="28"/>
                <w:szCs w:val="28"/>
              </w:rPr>
              <w:t xml:space="preserve"> 569 (2004).</w:t>
            </w:r>
          </w:p>
          <w:p>
            <w:pPr>
              <w:spacing w:before="60" w:after="0" w:line="240" w:lineRule="auto"/>
              <w:jc w:val="both"/>
            </w:pPr>
            <w:r>
              <w:rPr>
                <w:rFonts w:ascii="Times New Roman" w:hAnsi="Times New Roman" w:cs="Times New Roman" w:eastAsia="Times New Roman"/>
                <w:sz w:val="28"/>
                <w:szCs w:val="28"/>
              </w:rPr>
              <w:t xml:space="preserve">Classifies European models of recognition into marriage, quasi-marriage, and semi-marriage, a framework useful for evaluating Philippine civil partnership proposals.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Kenji Yoshino, </w:t>
            </w:r>
            <w:r>
              <w:rPr>
                <w:rFonts w:ascii="Times New Roman" w:hAnsi="Times New Roman" w:cs="Times New Roman" w:eastAsia="Times New Roman"/>
                <w:i/>
                <w:iCs/>
                <w:sz w:val="28"/>
                <w:szCs w:val="28"/>
              </w:rPr>
              <w:t xml:space="preserve">A New Birth of Freedom?: Obergefell v. Hodges</w:t>
            </w:r>
            <w:r>
              <w:rPr>
                <w:rFonts w:ascii="Times New Roman" w:hAnsi="Times New Roman" w:cs="Times New Roman" w:eastAsia="Times New Roman"/>
                <w:sz w:val="28"/>
                <w:szCs w:val="28"/>
              </w:rPr>
              <w:t xml:space="preserve">, 129 </w:t>
            </w:r>
            <w:r>
              <w:rPr>
                <w:rFonts w:ascii="Times New Roman" w:hAnsi="Times New Roman" w:cs="Times New Roman" w:eastAsia="Times New Roman"/>
                <w:smallCaps/>
                <w:sz w:val="28"/>
                <w:szCs w:val="28"/>
              </w:rPr>
              <w:t xml:space="preserve">Harv. L. Rev.</w:t>
            </w:r>
            <w:r>
              <w:rPr>
                <w:rFonts w:ascii="Times New Roman" w:hAnsi="Times New Roman" w:cs="Times New Roman" w:eastAsia="Times New Roman"/>
                <w:sz w:val="28"/>
                <w:szCs w:val="28"/>
              </w:rPr>
              <w:t xml:space="preserve"> 147 (2015).</w:t>
            </w:r>
          </w:p>
          <w:p>
            <w:pPr>
              <w:spacing w:before="60" w:after="0" w:line="240" w:lineRule="auto"/>
              <w:jc w:val="both"/>
            </w:pPr>
            <w:r>
              <w:rPr>
                <w:rFonts w:ascii="Times New Roman" w:hAnsi="Times New Roman" w:cs="Times New Roman" w:eastAsia="Times New Roman"/>
                <w:sz w:val="28"/>
                <w:szCs w:val="28"/>
              </w:rPr>
              <w:t xml:space="preserve">Analyzes how </w:t>
            </w:r>
            <w:r>
              <w:rPr>
                <w:rFonts w:ascii="Times New Roman" w:hAnsi="Times New Roman" w:cs="Times New Roman" w:eastAsia="Times New Roman"/>
                <w:i/>
                <w:iCs/>
                <w:sz w:val="28"/>
                <w:szCs w:val="28"/>
              </w:rPr>
              <w:t xml:space="preserve">Obergefell</w:t>
            </w:r>
            <w:r>
              <w:rPr>
                <w:rFonts w:ascii="Times New Roman" w:hAnsi="Times New Roman" w:cs="Times New Roman" w:eastAsia="Times New Roman"/>
                <w:sz w:val="28"/>
                <w:szCs w:val="28"/>
              </w:rPr>
              <w:t xml:space="preserve"> reshaped substantive due process doctrine in recognizing the right of same-sex couples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John Finnis, </w:t>
            </w:r>
            <w:r>
              <w:rPr>
                <w:rFonts w:ascii="Times New Roman" w:hAnsi="Times New Roman" w:cs="Times New Roman" w:eastAsia="Times New Roman"/>
                <w:i/>
                <w:iCs/>
                <w:sz w:val="28"/>
                <w:szCs w:val="28"/>
              </w:rPr>
              <w:t xml:space="preserve">Law, Morality, and “Sexual Orientation”</w:t>
            </w:r>
            <w:r>
              <w:rPr>
                <w:rFonts w:ascii="Times New Roman" w:hAnsi="Times New Roman" w:cs="Times New Roman" w:eastAsia="Times New Roman"/>
                <w:sz w:val="28"/>
                <w:szCs w:val="28"/>
              </w:rPr>
              <w:t xml:space="preserve">, 69 </w:t>
            </w:r>
            <w:r>
              <w:rPr>
                <w:rFonts w:ascii="Times New Roman" w:hAnsi="Times New Roman" w:cs="Times New Roman" w:eastAsia="Times New Roman"/>
                <w:smallCaps/>
                <w:sz w:val="28"/>
                <w:szCs w:val="28"/>
              </w:rPr>
              <w:t xml:space="preserve">Notre Dame L. Rev.</w:t>
            </w:r>
            <w:r>
              <w:rPr>
                <w:rFonts w:ascii="Times New Roman" w:hAnsi="Times New Roman" w:cs="Times New Roman" w:eastAsia="Times New Roman"/>
                <w:sz w:val="28"/>
                <w:szCs w:val="28"/>
              </w:rPr>
              <w:t xml:space="preserve"> 1049 (1994).</w:t>
            </w:r>
          </w:p>
          <w:p>
            <w:pPr>
              <w:spacing w:before="60" w:after="0" w:line="240" w:lineRule="auto"/>
              <w:jc w:val="both"/>
            </w:pPr>
            <w:r>
              <w:rPr>
                <w:rFonts w:ascii="Times New Roman" w:hAnsi="Times New Roman" w:cs="Times New Roman" w:eastAsia="Times New Roman"/>
                <w:sz w:val="28"/>
                <w:szCs w:val="28"/>
              </w:rPr>
              <w:t xml:space="preserve">A leading natural-law critique of the legal recognition of same-sex relationships, representing the philosophical case against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Sherif Girgis, Robert P. George &amp; Ryan T. Anderson, </w:t>
            </w:r>
            <w:r>
              <w:rPr>
                <w:rFonts w:ascii="Times New Roman" w:hAnsi="Times New Roman" w:cs="Times New Roman" w:eastAsia="Times New Roman"/>
                <w:i/>
                <w:iCs/>
                <w:sz w:val="28"/>
                <w:szCs w:val="28"/>
              </w:rPr>
              <w:t xml:space="preserve">What Is Marriage?</w:t>
            </w:r>
            <w:r>
              <w:rPr>
                <w:rFonts w:ascii="Times New Roman" w:hAnsi="Times New Roman" w:cs="Times New Roman" w:eastAsia="Times New Roman"/>
                <w:sz w:val="28"/>
                <w:szCs w:val="28"/>
              </w:rPr>
              <w:t xml:space="preserve">, 34 </w:t>
            </w:r>
            <w:r>
              <w:rPr>
                <w:rFonts w:ascii="Times New Roman" w:hAnsi="Times New Roman" w:cs="Times New Roman" w:eastAsia="Times New Roman"/>
                <w:smallCaps/>
                <w:sz w:val="28"/>
                <w:szCs w:val="28"/>
              </w:rPr>
              <w:t xml:space="preserve">Harv. J.L. &amp; Pub. Pol’y</w:t>
            </w:r>
            <w:r>
              <w:rPr>
                <w:rFonts w:ascii="Times New Roman" w:hAnsi="Times New Roman" w:cs="Times New Roman" w:eastAsia="Times New Roman"/>
                <w:sz w:val="28"/>
                <w:szCs w:val="28"/>
              </w:rPr>
              <w:t xml:space="preserve"> 245 (2011).</w:t>
            </w:r>
          </w:p>
          <w:p>
            <w:pPr>
              <w:spacing w:before="60" w:after="0" w:line="240" w:lineRule="auto"/>
              <w:jc w:val="both"/>
            </w:pPr>
            <w:r>
              <w:rPr>
                <w:rFonts w:ascii="Times New Roman" w:hAnsi="Times New Roman" w:cs="Times New Roman" w:eastAsia="Times New Roman"/>
                <w:sz w:val="28"/>
                <w:szCs w:val="28"/>
              </w:rPr>
              <w:t xml:space="preserve">Defends the conjugal view of marriage as inherently a union of a man and a woman, a widely cited legal-academic argument against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C.</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LEGAL ENCYCLOPEDIAS AND DICTIONARIES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Kees Waaldijk, </w:t>
            </w:r>
            <w:r>
              <w:rPr>
                <w:rFonts w:ascii="Times New Roman" w:hAnsi="Times New Roman" w:cs="Times New Roman" w:eastAsia="Times New Roman"/>
                <w:i/>
                <w:iCs/>
                <w:sz w:val="28"/>
                <w:szCs w:val="28"/>
              </w:rPr>
              <w:t xml:space="preserve">Same-Sex Partnership, International Protection</w:t>
            </w:r>
            <w:r>
              <w:rPr>
                <w:rFonts w:ascii="Times New Roman" w:hAnsi="Times New Roman" w:cs="Times New Roman" w:eastAsia="Times New Roman"/>
                <w:sz w:val="28"/>
                <w:szCs w:val="28"/>
              </w:rPr>
              <w:t xml:space="preserve">, 8 </w:t>
            </w:r>
            <w:r>
              <w:rPr>
                <w:rFonts w:ascii="Times New Roman" w:hAnsi="Times New Roman" w:cs="Times New Roman" w:eastAsia="Times New Roman"/>
                <w:smallCaps/>
                <w:sz w:val="28"/>
                <w:szCs w:val="28"/>
              </w:rPr>
              <w:t xml:space="preserve">Max Planck Encyclopedia of Public International Law</w:t>
            </w:r>
            <w:r>
              <w:rPr>
                <w:rFonts w:ascii="Times New Roman" w:hAnsi="Times New Roman" w:cs="Times New Roman" w:eastAsia="Times New Roman"/>
                <w:sz w:val="28"/>
                <w:szCs w:val="28"/>
              </w:rPr>
              <w:t xml:space="preserve"> 1125 (Rüdiger Wolfrum ed., 2012).</w:t>
            </w:r>
          </w:p>
          <w:p>
            <w:pPr>
              <w:spacing w:before="60" w:after="0" w:line="240" w:lineRule="auto"/>
              <w:jc w:val="both"/>
            </w:pPr>
            <w:r>
              <w:rPr>
                <w:rFonts w:ascii="Times New Roman" w:hAnsi="Times New Roman" w:cs="Times New Roman" w:eastAsia="Times New Roman"/>
                <w:sz w:val="28"/>
                <w:szCs w:val="28"/>
              </w:rPr>
              <w:t xml:space="preserve">Summarizes emerging international norms on the protection of same-sex partnerships, including the prohibition of discrimination between unmarried same-sex and different-sex cohabitants.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Civil union</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Black’s Law Dictionary</w:t>
            </w:r>
            <w:r>
              <w:rPr>
                <w:rFonts w:ascii="Times New Roman" w:hAnsi="Times New Roman" w:cs="Times New Roman" w:eastAsia="Times New Roman"/>
                <w:sz w:val="28"/>
                <w:szCs w:val="28"/>
              </w:rPr>
              <w:t xml:space="preserve"> (11th ed. 2019).</w:t>
            </w:r>
          </w:p>
          <w:p>
            <w:pPr>
              <w:spacing w:before="60" w:after="0" w:line="240" w:lineRule="auto"/>
              <w:jc w:val="both"/>
            </w:pPr>
            <w:r>
              <w:rPr>
                <w:rFonts w:ascii="Times New Roman" w:hAnsi="Times New Roman" w:cs="Times New Roman" w:eastAsia="Times New Roman"/>
                <w:sz w:val="28"/>
                <w:szCs w:val="28"/>
              </w:rPr>
              <w:t xml:space="preserve">Defines a civil union as a marriage-like relationship, often between persons of the same sex, recognized by civil authorities, a status comparable to the civil partnerships proposed in Philippine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Elizabeth Brake, </w:t>
            </w:r>
            <w:r>
              <w:rPr>
                <w:rFonts w:ascii="Times New Roman" w:hAnsi="Times New Roman" w:cs="Times New Roman" w:eastAsia="Times New Roman"/>
                <w:i/>
                <w:iCs/>
                <w:sz w:val="28"/>
                <w:szCs w:val="28"/>
              </w:rPr>
              <w:t xml:space="preserve">Marriage and Domestic Partnership</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Stanford Encyclopedia of Philosophy</w:t>
            </w:r>
            <w:r>
              <w:rPr>
                <w:rFonts w:ascii="Times New Roman" w:hAnsi="Times New Roman" w:cs="Times New Roman" w:eastAsia="Times New Roman"/>
                <w:sz w:val="28"/>
                <w:szCs w:val="28"/>
              </w:rPr>
              <w:t xml:space="preserve"> (Spring 2026 ed.), </w:t>
            </w:r>
            <w:hyperlink r:id="rId11">
              <w:r>
                <w:rPr>
                  <w:rFonts w:ascii="Times New Roman" w:hAnsi="Times New Roman" w:cs="Times New Roman" w:eastAsia="Times New Roman"/>
                  <w:sz w:val="28"/>
                  <w:szCs w:val="28"/>
                </w:rPr>
                <w:t xml:space="preserve">https://plato.stanford.edu/archives/spr2026/entries/marriage/</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Surveys the philosophical debates on the definition of marriage, same-sex marriage, and alternatives such as domestic partnership.</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D.</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REPORTS AND DOCUMENTS OF INTERNATIONAL ORGANIZATIONS AND EXPERT BODIES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U.N. Office of the High Commissioner for Human Rights, Born Free and Equal: Sexual Orientation, Gender Identity and Sex Characteristics in International Human Rights Law</w:t>
            </w:r>
            <w:r>
              <w:rPr>
                <w:rFonts w:ascii="Times New Roman" w:hAnsi="Times New Roman" w:cs="Times New Roman" w:eastAsia="Times New Roman"/>
                <w:sz w:val="28"/>
                <w:szCs w:val="28"/>
              </w:rPr>
              <w:t xml:space="preserve"> (2d ed., 2019).</w:t>
            </w:r>
          </w:p>
          <w:p>
            <w:pPr>
              <w:spacing w:before="60" w:after="0" w:line="240" w:lineRule="auto"/>
              <w:jc w:val="both"/>
            </w:pPr>
            <w:r>
              <w:rPr>
                <w:rFonts w:ascii="Times New Roman" w:hAnsi="Times New Roman" w:cs="Times New Roman" w:eastAsia="Times New Roman"/>
                <w:sz w:val="28"/>
                <w:szCs w:val="28"/>
              </w:rPr>
              <w:t xml:space="preserve">The United Nations’ guide to State obligations toward LGBTI persons, including non-discrimination between same-sex and different-sex couples in State benefits.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The Yogyakarta Principles: Principles on the Application of International Human Rights Law in Relation to Sexual Orientation and Gender Identity</w:t>
            </w:r>
            <w:r>
              <w:rPr>
                <w:rFonts w:ascii="Times New Roman" w:hAnsi="Times New Roman" w:cs="Times New Roman" w:eastAsia="Times New Roman"/>
                <w:sz w:val="28"/>
                <w:szCs w:val="28"/>
              </w:rPr>
              <w:t xml:space="preserve"> (2007), Principle 24.</w:t>
            </w:r>
          </w:p>
          <w:p>
            <w:pPr>
              <w:spacing w:before="60" w:after="0" w:line="240" w:lineRule="auto"/>
              <w:jc w:val="both"/>
            </w:pPr>
            <w:r>
              <w:rPr>
                <w:rFonts w:ascii="Times New Roman" w:hAnsi="Times New Roman" w:cs="Times New Roman" w:eastAsia="Times New Roman"/>
                <w:sz w:val="28"/>
                <w:szCs w:val="28"/>
              </w:rPr>
              <w:t xml:space="preserve">Expert principles affirming the right to found a family regardless of sexual orientation, which the Supreme Court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characterized as non-binding and at best </w:t>
            </w:r>
            <w:r>
              <w:rPr>
                <w:rFonts w:ascii="Times New Roman" w:hAnsi="Times New Roman" w:cs="Times New Roman" w:eastAsia="Times New Roman"/>
                <w:i/>
                <w:iCs/>
                <w:sz w:val="28"/>
                <w:szCs w:val="28"/>
              </w:rPr>
              <w:t xml:space="preserve">de lege ferenda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The Yogyakarta Principles plus 10: Additional Principles and State Obligations on the Application of International Human Rights Law in Relation to Sexual Orientation, Gender Identity, Gender Expression and Sex Characteristics</w:t>
            </w:r>
            <w:r>
              <w:rPr>
                <w:rFonts w:ascii="Times New Roman" w:hAnsi="Times New Roman" w:cs="Times New Roman" w:eastAsia="Times New Roman"/>
                <w:sz w:val="28"/>
                <w:szCs w:val="28"/>
              </w:rPr>
              <w:t xml:space="preserve"> (2017).</w:t>
            </w:r>
          </w:p>
          <w:p>
            <w:pPr>
              <w:spacing w:before="60" w:after="0" w:line="240" w:lineRule="auto"/>
              <w:jc w:val="both"/>
            </w:pPr>
            <w:r>
              <w:rPr>
                <w:rFonts w:ascii="Times New Roman" w:hAnsi="Times New Roman" w:cs="Times New Roman" w:eastAsia="Times New Roman"/>
                <w:sz w:val="28"/>
                <w:szCs w:val="28"/>
              </w:rPr>
              <w:t xml:space="preserve">Supplements the 2007 Principles with additional State obligations adopted by international human rights experts on November 10, 2017.</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UNDP &amp; USAID, Being LGBT in Asia: The Philippines Country Report</w:t>
            </w:r>
            <w:r>
              <w:rPr>
                <w:rFonts w:ascii="Times New Roman" w:hAnsi="Times New Roman" w:cs="Times New Roman" w:eastAsia="Times New Roman"/>
                <w:sz w:val="28"/>
                <w:szCs w:val="28"/>
              </w:rPr>
              <w:t xml:space="preserve"> (2014).</w:t>
            </w:r>
          </w:p>
          <w:p>
            <w:pPr>
              <w:spacing w:before="60" w:after="0" w:line="240" w:lineRule="auto"/>
              <w:jc w:val="both"/>
            </w:pPr>
            <w:r>
              <w:rPr>
                <w:rFonts w:ascii="Times New Roman" w:hAnsi="Times New Roman" w:cs="Times New Roman" w:eastAsia="Times New Roman"/>
                <w:sz w:val="28"/>
                <w:szCs w:val="28"/>
              </w:rPr>
              <w:t xml:space="preserve">Documents the legal and social situation of LGBT Filipinos, noting that same-sex marriage is not allowed and that same-sex couples cannot adopt children.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E.</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PUBLICATIONS OF GOVERNMENT AND ACADEMIC INSTITUTIONS, AND LECTURES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Dante B. Gatmaytan, </w:t>
            </w:r>
            <w:r>
              <w:rPr>
                <w:rFonts w:ascii="Times New Roman" w:hAnsi="Times New Roman" w:cs="Times New Roman" w:eastAsia="Times New Roman"/>
                <w:i/>
                <w:iCs/>
                <w:sz w:val="28"/>
                <w:szCs w:val="28"/>
              </w:rPr>
              <w:t xml:space="preserve">Finding Fault: Marriage Equality, Judicial Deference, and Falcis</w:t>
            </w:r>
            <w:r>
              <w:rPr>
                <w:rFonts w:ascii="Times New Roman" w:hAnsi="Times New Roman" w:cs="Times New Roman" w:eastAsia="Times New Roman"/>
                <w:sz w:val="28"/>
                <w:szCs w:val="28"/>
              </w:rPr>
              <w:t xml:space="preserve"> (Estelito P. Mendoza Professorial Chair in Law Lecture, University of the Philippines College of Law, June 18, 2020),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w:t>
            </w:r>
            <w:hyperlink r:id="rId12">
              <w:r>
                <w:rPr>
                  <w:rFonts w:ascii="Times New Roman" w:hAnsi="Times New Roman" w:cs="Times New Roman" w:eastAsia="Times New Roman"/>
                  <w:sz w:val="28"/>
                  <w:szCs w:val="28"/>
                </w:rPr>
                <w:t xml:space="preserve">https://law.upd.edu.ph/wp-content/uploads/2020/06/Finding-Fault-Falcis.pdf</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A U.P. Law professorial chair lecture critiquing the procedural dismissal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proposing a framework for courts reviewing discrimination claims and arguing against the constitutionality of Family Code Articles 1 and 2.</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U.P. College of Law Gender Law and Policy Program, </w:t>
            </w:r>
            <w:r>
              <w:rPr>
                <w:rFonts w:ascii="Times New Roman" w:hAnsi="Times New Roman" w:cs="Times New Roman" w:eastAsia="Times New Roman"/>
                <w:i/>
                <w:iCs/>
                <w:sz w:val="28"/>
                <w:szCs w:val="28"/>
              </w:rPr>
              <w:t xml:space="preserve">Josef v. Ursua: Implications on Family Relations and Property Rights</w:t>
            </w:r>
            <w:r>
              <w:rPr>
                <w:rFonts w:ascii="Times New Roman" w:hAnsi="Times New Roman" w:cs="Times New Roman" w:eastAsia="Times New Roman"/>
                <w:sz w:val="28"/>
                <w:szCs w:val="28"/>
              </w:rPr>
              <w:t xml:space="preserve"> (Proceedings, 2026),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w:t>
            </w:r>
            <w:hyperlink r:id="rId13">
              <w:r>
                <w:rPr>
                  <w:rFonts w:ascii="Times New Roman" w:hAnsi="Times New Roman" w:cs="Times New Roman" w:eastAsia="Times New Roman"/>
                  <w:sz w:val="28"/>
                  <w:szCs w:val="28"/>
                </w:rPr>
                <w:t xml:space="preserve">https://law.upd.edu.ph/wp-content/uploads/2026/07/Josef-v-Ursua-Proceedings.pdf</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Proceedings of a March 18, 2026 forum analyzing the effects of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on family relations, property, succession, and the advocacy for marriage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Commission on Human Rights, </w:t>
            </w:r>
            <w:r>
              <w:rPr>
                <w:rFonts w:ascii="Times New Roman" w:hAnsi="Times New Roman" w:cs="Times New Roman" w:eastAsia="Times New Roman"/>
                <w:i/>
                <w:iCs/>
                <w:sz w:val="28"/>
                <w:szCs w:val="28"/>
              </w:rPr>
              <w:t xml:space="preserve">Statement of the Commission on Human Rights on the Rejection of the Philippine Delegation of the Recommendation During the Universal Periodic Review to Pass the SOGIE Equality Bill</w:t>
            </w:r>
            <w:r>
              <w:rPr>
                <w:rFonts w:ascii="Times New Roman" w:hAnsi="Times New Roman" w:cs="Times New Roman" w:eastAsia="Times New Roman"/>
                <w:sz w:val="28"/>
                <w:szCs w:val="28"/>
              </w:rPr>
              <w:t xml:space="preserve"> (2022), </w:t>
            </w:r>
            <w:hyperlink r:id="rId14">
              <w:r>
                <w:rPr>
                  <w:rFonts w:ascii="Times New Roman" w:hAnsi="Times New Roman" w:cs="Times New Roman" w:eastAsia="Times New Roman"/>
                  <w:sz w:val="28"/>
                  <w:szCs w:val="28"/>
                </w:rPr>
                <w:t xml:space="preserve">https://chr.gov.ph/2022/statements/statement-of-the-commission-on-human-rights-on-the-rejection-of-the-philippine-delegation-of-the-recommendation-during-the-universal-periodic-review-to-pass-the-sogie-equality-bill/</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Urges the government to reconsider its rejection, during the 2022 Universal Periodic Review, of recommendations to pass the SOGIE Equality Bill, invoking the Constitution’s equal protection guarantee.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Commission on Human Rights, </w:t>
            </w:r>
            <w:r>
              <w:rPr>
                <w:rFonts w:ascii="Times New Roman" w:hAnsi="Times New Roman" w:cs="Times New Roman" w:eastAsia="Times New Roman"/>
                <w:i/>
                <w:iCs/>
                <w:sz w:val="28"/>
                <w:szCs w:val="28"/>
              </w:rPr>
              <w:t xml:space="preserve">Statement of the Commission on Human Rights Lauding Quezon City’s Initiative to Launch the Right to Care Card</w:t>
            </w:r>
            <w:r>
              <w:rPr>
                <w:rFonts w:ascii="Times New Roman" w:hAnsi="Times New Roman" w:cs="Times New Roman" w:eastAsia="Times New Roman"/>
                <w:sz w:val="28"/>
                <w:szCs w:val="28"/>
              </w:rPr>
              <w:t xml:space="preserve"> (July 4, 2023), </w:t>
            </w:r>
            <w:hyperlink r:id="rId15">
              <w:r>
                <w:rPr>
                  <w:rFonts w:ascii="Times New Roman" w:hAnsi="Times New Roman" w:cs="Times New Roman" w:eastAsia="Times New Roman"/>
                  <w:sz w:val="28"/>
                  <w:szCs w:val="28"/>
                </w:rPr>
                <w:t xml:space="preserve">https://chr.gov.ph/statement-of-the-commission-on-human-rights-lauding-quezon-citys-initiative-to-launch-the-right-to-care-card/</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Commends the Right to Care card as a step toward recognizing the relationships of LGBTQIA+ couples and calls for more inclusive policies.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Philippine Commission on Women, </w:t>
            </w:r>
            <w:r>
              <w:rPr>
                <w:rFonts w:ascii="Times New Roman" w:hAnsi="Times New Roman" w:cs="Times New Roman" w:eastAsia="Times New Roman"/>
                <w:i/>
                <w:iCs/>
                <w:sz w:val="28"/>
                <w:szCs w:val="28"/>
              </w:rPr>
              <w:t xml:space="preserve">Enacting the Anti-Discrimination Based on SOGIE Act</w:t>
            </w:r>
            <w:r>
              <w:rPr>
                <w:rFonts w:ascii="Times New Roman" w:hAnsi="Times New Roman" w:cs="Times New Roman" w:eastAsia="Times New Roman"/>
                <w:sz w:val="28"/>
                <w:szCs w:val="28"/>
              </w:rPr>
              <w:t xml:space="preserve"> (WPLA Policy Brief No. 8, 2019).</w:t>
            </w:r>
          </w:p>
          <w:p>
            <w:pPr>
              <w:spacing w:before="60" w:after="0" w:line="240" w:lineRule="auto"/>
              <w:jc w:val="both"/>
            </w:pPr>
            <w:r>
              <w:rPr>
                <w:rFonts w:ascii="Times New Roman" w:hAnsi="Times New Roman" w:cs="Times New Roman" w:eastAsia="Times New Roman"/>
                <w:sz w:val="28"/>
                <w:szCs w:val="28"/>
              </w:rPr>
              <w:t xml:space="preserve">A policy brief of the government’s gender-equality agency supporting a national anti-discrimination law on the basis of sexual orientation and gender identity and expression.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F.</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NON-LEGAL SCHOLARLY WORKS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Jayeel Cornelio &amp; Robbin Charles M. Dagle, </w:t>
            </w:r>
            <w:r>
              <w:rPr>
                <w:rFonts w:ascii="Times New Roman" w:hAnsi="Times New Roman" w:cs="Times New Roman" w:eastAsia="Times New Roman"/>
                <w:i/>
                <w:iCs/>
                <w:sz w:val="28"/>
                <w:szCs w:val="28"/>
              </w:rPr>
              <w:t xml:space="preserve">Weaponising Religious Freedom: Same-Sex Marriage and Gender Equality in the Philippines</w:t>
            </w:r>
            <w:r>
              <w:rPr>
                <w:rFonts w:ascii="Times New Roman" w:hAnsi="Times New Roman" w:cs="Times New Roman" w:eastAsia="Times New Roman"/>
                <w:sz w:val="28"/>
                <w:szCs w:val="28"/>
              </w:rPr>
              <w:t xml:space="preserve">, 14 </w:t>
            </w:r>
            <w:r>
              <w:rPr>
                <w:rFonts w:ascii="Times New Roman" w:hAnsi="Times New Roman" w:cs="Times New Roman" w:eastAsia="Times New Roman"/>
                <w:smallCaps/>
                <w:sz w:val="28"/>
                <w:szCs w:val="28"/>
              </w:rPr>
              <w:t xml:space="preserve">Religion &amp; Hum. Rts.</w:t>
            </w:r>
            <w:r>
              <w:rPr>
                <w:rFonts w:ascii="Times New Roman" w:hAnsi="Times New Roman" w:cs="Times New Roman" w:eastAsia="Times New Roman"/>
                <w:sz w:val="28"/>
                <w:szCs w:val="28"/>
              </w:rPr>
              <w:t xml:space="preserve"> 65 (2019).</w:t>
            </w:r>
          </w:p>
          <w:p>
            <w:pPr>
              <w:spacing w:before="60" w:after="0" w:line="240" w:lineRule="auto"/>
              <w:jc w:val="both"/>
            </w:pPr>
            <w:r>
              <w:rPr>
                <w:rFonts w:ascii="Times New Roman" w:hAnsi="Times New Roman" w:cs="Times New Roman" w:eastAsia="Times New Roman"/>
                <w:sz w:val="28"/>
                <w:szCs w:val="28"/>
              </w:rPr>
              <w:t xml:space="preserve">A sociological study of how religious freedom has been invoked against advocates of same-sex marriage and gender equality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 Neil C. Garcia, Philippine Gay Culture: The Last Thirty Years, Binabae to Bakla, Silahis to MSM</w:t>
            </w:r>
            <w:r>
              <w:rPr>
                <w:rFonts w:ascii="Times New Roman" w:hAnsi="Times New Roman" w:cs="Times New Roman" w:eastAsia="Times New Roman"/>
                <w:sz w:val="28"/>
                <w:szCs w:val="28"/>
              </w:rPr>
              <w:t xml:space="preserve"> (1996).</w:t>
            </w:r>
          </w:p>
          <w:p>
            <w:pPr>
              <w:spacing w:before="60" w:after="0" w:line="240" w:lineRule="auto"/>
              <w:jc w:val="both"/>
            </w:pPr>
            <w:r>
              <w:rPr>
                <w:rFonts w:ascii="Times New Roman" w:hAnsi="Times New Roman" w:cs="Times New Roman" w:eastAsia="Times New Roman"/>
                <w:sz w:val="28"/>
                <w:szCs w:val="28"/>
              </w:rPr>
              <w:t xml:space="preserve">A foundational study of Filipino gay identities and culture that contextualizes the social realities of same-sex relationships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Martin F. Manalansan IV, Global Divas: Filipino Gay Men in the Diaspora</w:t>
            </w:r>
            <w:r>
              <w:rPr>
                <w:rFonts w:ascii="Times New Roman" w:hAnsi="Times New Roman" w:cs="Times New Roman" w:eastAsia="Times New Roman"/>
                <w:sz w:val="28"/>
                <w:szCs w:val="28"/>
              </w:rPr>
              <w:t xml:space="preserve"> (2003).</w:t>
            </w:r>
          </w:p>
          <w:p>
            <w:pPr>
              <w:spacing w:before="60" w:after="0" w:line="240" w:lineRule="auto"/>
              <w:jc w:val="both"/>
            </w:pPr>
            <w:r>
              <w:rPr>
                <w:rFonts w:ascii="Times New Roman" w:hAnsi="Times New Roman" w:cs="Times New Roman" w:eastAsia="Times New Roman"/>
                <w:sz w:val="28"/>
                <w:szCs w:val="28"/>
              </w:rPr>
              <w:t xml:space="preserve">An ethnography of Filipino gay men abroad, relevant to Filipino same-sex couples who marry or form partnerships in foreign jurisdictions.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David R. Corpuz, </w:t>
            </w:r>
            <w:r>
              <w:rPr>
                <w:rFonts w:ascii="Times New Roman" w:hAnsi="Times New Roman" w:cs="Times New Roman" w:eastAsia="Times New Roman"/>
                <w:i/>
                <w:iCs/>
                <w:sz w:val="28"/>
                <w:szCs w:val="28"/>
              </w:rPr>
              <w:t xml:space="preserve">The Wedding Video and the Persistence of the Marriage Model, Romantic Love Myth, and Heteronormativity in Filipino Same-Sex Relationships</w:t>
            </w:r>
            <w:r>
              <w:rPr>
                <w:rFonts w:ascii="Times New Roman" w:hAnsi="Times New Roman" w:cs="Times New Roman" w:eastAsia="Times New Roman"/>
                <w:sz w:val="28"/>
                <w:szCs w:val="28"/>
              </w:rPr>
              <w:t xml:space="preserve">, 5 </w:t>
            </w:r>
            <w:r>
              <w:rPr>
                <w:rFonts w:ascii="Times New Roman" w:hAnsi="Times New Roman" w:cs="Times New Roman" w:eastAsia="Times New Roman"/>
                <w:smallCaps/>
                <w:sz w:val="28"/>
                <w:szCs w:val="28"/>
              </w:rPr>
              <w:t xml:space="preserve">Dalumat E-J.</w:t>
            </w:r>
            <w:r>
              <w:rPr>
                <w:rFonts w:ascii="Times New Roman" w:hAnsi="Times New Roman" w:cs="Times New Roman" w:eastAsia="Times New Roman"/>
                <w:sz w:val="28"/>
                <w:szCs w:val="28"/>
              </w:rPr>
              <w:t xml:space="preserve"> (2019),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w:t>
            </w:r>
            <w:hyperlink r:id="rId16">
              <w:r>
                <w:rPr>
                  <w:rFonts w:ascii="Times New Roman" w:hAnsi="Times New Roman" w:cs="Times New Roman" w:eastAsia="Times New Roman"/>
                  <w:sz w:val="28"/>
                  <w:szCs w:val="28"/>
                </w:rPr>
                <w:t xml:space="preserve">https://www.ejournals.ph/article.php?id=14302</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Analyzes a Filipino gay couple’s wedding video and public reactions to it, showing how marriage remains an ideal for Filipino same-sex couples despite the lack of legal recognition.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G.</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RELIGIOUS AND DOCTRINAL DOCUMENTS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Dicastery for the Doctrine of the Faith, </w:t>
            </w:r>
            <w:r>
              <w:rPr>
                <w:rFonts w:ascii="Times New Roman" w:hAnsi="Times New Roman" w:cs="Times New Roman" w:eastAsia="Times New Roman"/>
                <w:i/>
                <w:iCs/>
                <w:sz w:val="28"/>
                <w:szCs w:val="28"/>
              </w:rPr>
              <w:t xml:space="preserve">Declaration Fiducia Supplicans on the Pastoral Meaning of Blessings</w:t>
            </w:r>
            <w:r>
              <w:rPr>
                <w:rFonts w:ascii="Times New Roman" w:hAnsi="Times New Roman" w:cs="Times New Roman" w:eastAsia="Times New Roman"/>
                <w:sz w:val="28"/>
                <w:szCs w:val="28"/>
              </w:rPr>
              <w:t xml:space="preserve"> (December 18, 2023).</w:t>
            </w:r>
          </w:p>
          <w:p>
            <w:pPr>
              <w:spacing w:before="60" w:after="0" w:line="240" w:lineRule="auto"/>
              <w:jc w:val="both"/>
            </w:pPr>
            <w:r>
              <w:rPr>
                <w:rFonts w:ascii="Times New Roman" w:hAnsi="Times New Roman" w:cs="Times New Roman" w:eastAsia="Times New Roman"/>
                <w:sz w:val="28"/>
                <w:szCs w:val="28"/>
              </w:rPr>
              <w:t xml:space="preserve">Permits non-liturgical pastoral blessings of couples in irregular situations, including same-sex couples, while maintaining the Catholic teaching that marriage is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Catechism of the Catholic Church</w:t>
            </w:r>
            <w:r>
              <w:rPr>
                <w:rFonts w:ascii="Times New Roman" w:hAnsi="Times New Roman" w:cs="Times New Roman" w:eastAsia="Times New Roman"/>
                <w:sz w:val="28"/>
                <w:szCs w:val="28"/>
              </w:rPr>
              <w:t xml:space="preserve"> nos. 2357-2359 (2d ed., 1997).</w:t>
            </w:r>
          </w:p>
          <w:p>
            <w:pPr>
              <w:spacing w:before="60" w:after="0" w:line="240" w:lineRule="auto"/>
              <w:jc w:val="both"/>
            </w:pPr>
            <w:r>
              <w:rPr>
                <w:rFonts w:ascii="Times New Roman" w:hAnsi="Times New Roman" w:cs="Times New Roman" w:eastAsia="Times New Roman"/>
                <w:sz w:val="28"/>
                <w:szCs w:val="28"/>
              </w:rPr>
              <w:t xml:space="preserve">States the Church’s teaching that homosexual persons must be treated with respect, compassion, and sensitivity while homosexual acts are disordered, a teaching that informs much of the religious opposition to same-sex marriage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H.</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SURVEYS AND REPORTS OF NON-GOVERNMENTAL ORGANIZATIONS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Watch, </w:t>
            </w:r>
            <w:r>
              <w:rPr>
                <w:rFonts w:ascii="Times New Roman" w:hAnsi="Times New Roman" w:cs="Times New Roman" w:eastAsia="Times New Roman"/>
                <w:i/>
                <w:iCs/>
                <w:sz w:val="28"/>
                <w:szCs w:val="28"/>
              </w:rPr>
              <w:t xml:space="preserve">“Just Let Us Be”: Discrimination Against LGBT Students in the Philippines</w:t>
            </w:r>
            <w:r>
              <w:rPr>
                <w:rFonts w:ascii="Times New Roman" w:hAnsi="Times New Roman" w:cs="Times New Roman" w:eastAsia="Times New Roman"/>
                <w:sz w:val="28"/>
                <w:szCs w:val="28"/>
              </w:rPr>
              <w:t xml:space="preserve"> (June 22, 2017), </w:t>
            </w:r>
            <w:hyperlink r:id="rId17">
              <w:r>
                <w:rPr>
                  <w:rFonts w:ascii="Times New Roman" w:hAnsi="Times New Roman" w:cs="Times New Roman" w:eastAsia="Times New Roman"/>
                  <w:sz w:val="28"/>
                  <w:szCs w:val="28"/>
                </w:rPr>
                <w:t xml:space="preserve">https://www.hrw.org/report/2017/06/22/just-let-us-be/discrimination-against-lgbt-students-philippines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Documents bullying, discriminatory policies, and the lack of support for LGBT students, depicting the broader climate of discrimination that shapes the marriage-equality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Watch, </w:t>
            </w:r>
            <w:r>
              <w:rPr>
                <w:rFonts w:ascii="Times New Roman" w:hAnsi="Times New Roman" w:cs="Times New Roman" w:eastAsia="Times New Roman"/>
                <w:i/>
                <w:iCs/>
                <w:sz w:val="28"/>
                <w:szCs w:val="28"/>
              </w:rPr>
              <w:t xml:space="preserve">Philippine Supreme Court Grants Property Rights to Same-Sex Couples</w:t>
            </w:r>
            <w:r>
              <w:rPr>
                <w:rFonts w:ascii="Times New Roman" w:hAnsi="Times New Roman" w:cs="Times New Roman" w:eastAsia="Times New Roman"/>
                <w:sz w:val="28"/>
                <w:szCs w:val="28"/>
              </w:rPr>
              <w:t xml:space="preserve"> (February 17, 2026), </w:t>
            </w:r>
            <w:hyperlink r:id="rId18">
              <w:r>
                <w:rPr>
                  <w:rFonts w:ascii="Times New Roman" w:hAnsi="Times New Roman" w:cs="Times New Roman" w:eastAsia="Times New Roman"/>
                  <w:sz w:val="28"/>
                  <w:szCs w:val="28"/>
                </w:rPr>
                <w:t xml:space="preserve">https://www.hrw.org/news/2026/02/17/philippine-supreme-court-grants-property-rights-to-same-sex-couples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Assesses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as a significant but limited step and notes that Congress has yet to enact legal recognition of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Pew Research Center, </w:t>
            </w:r>
            <w:r>
              <w:rPr>
                <w:rFonts w:ascii="Times New Roman" w:hAnsi="Times New Roman" w:cs="Times New Roman" w:eastAsia="Times New Roman"/>
                <w:i/>
                <w:iCs/>
                <w:sz w:val="28"/>
                <w:szCs w:val="28"/>
              </w:rPr>
              <w:t xml:space="preserve">The Global Divide on Homosexuality Persists</w:t>
            </w:r>
            <w:r>
              <w:rPr>
                <w:rFonts w:ascii="Times New Roman" w:hAnsi="Times New Roman" w:cs="Times New Roman" w:eastAsia="Times New Roman"/>
                <w:sz w:val="28"/>
                <w:szCs w:val="28"/>
              </w:rPr>
              <w:t xml:space="preserve"> (June 25, 2020), </w:t>
            </w:r>
            <w:hyperlink r:id="rId19">
              <w:r>
                <w:rPr>
                  <w:rFonts w:ascii="Times New Roman" w:hAnsi="Times New Roman" w:cs="Times New Roman" w:eastAsia="Times New Roman"/>
                  <w:sz w:val="28"/>
                  <w:szCs w:val="28"/>
                </w:rPr>
                <w:t xml:space="preserve">https://www.pewresearch.org/global/2020/06/25/global-divide-on-homosexuality-persists/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that 73% of Filipino respondents in a 2019 survey said homosexuality should be accepted by society, evidence of social attitudes relevant to legislative recognition.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I.</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NEWSPAPER AND ONLINE NEWS ARTICLES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Supreme Court: Same-sex couples can be recognized as property co-owners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February 10, 2026, </w:t>
            </w:r>
            <w:hyperlink r:id="rId20">
              <w:r>
                <w:rPr>
                  <w:rFonts w:ascii="Times New Roman" w:hAnsi="Times New Roman" w:cs="Times New Roman" w:eastAsia="Times New Roman"/>
                  <w:sz w:val="28"/>
                  <w:szCs w:val="28"/>
                </w:rPr>
                <w:t xml:space="preserve">https://www.philstar.com/headlines/2026/02/10/2507065/supreme-court-same-sex-couples-can-be-recognized-property-co-owners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Supreme Court’s ruling in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that same-sex partners may be co-owners of property acquired through their actual joint contributions.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Supreme Court: Hiding homosexuality is valid ground for annulment</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July 16, 2025, </w:t>
            </w:r>
            <w:hyperlink r:id="rId21">
              <w:r>
                <w:rPr>
                  <w:rFonts w:ascii="Times New Roman" w:hAnsi="Times New Roman" w:cs="Times New Roman" w:eastAsia="Times New Roman"/>
                  <w:sz w:val="28"/>
                  <w:szCs w:val="28"/>
                </w:rPr>
                <w:t xml:space="preserve">https://www.philstar.com/headlines/2025/07/16/2458169/supreme-court-hiding-homosexuality-valid-ground-annulment</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ruling in </w:t>
            </w:r>
            <w:r>
              <w:rPr>
                <w:rFonts w:ascii="Times New Roman" w:hAnsi="Times New Roman" w:cs="Times New Roman" w:eastAsia="Times New Roman"/>
                <w:i/>
                <w:iCs/>
                <w:sz w:val="28"/>
                <w:szCs w:val="28"/>
              </w:rPr>
              <w:t xml:space="preserve">Salva-Roldan v. Roldan</w:t>
            </w:r>
            <w:r>
              <w:rPr>
                <w:rFonts w:ascii="Times New Roman" w:hAnsi="Times New Roman" w:cs="Times New Roman" w:eastAsia="Times New Roman"/>
                <w:sz w:val="28"/>
                <w:szCs w:val="28"/>
              </w:rPr>
              <w:t xml:space="preserve"> that concealment of homosexuality is fraud justifying the annulment of a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lawmaker renews push for same-sex civil partnerships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April 15, 2024, </w:t>
            </w:r>
            <w:hyperlink r:id="rId22">
              <w:r>
                <w:rPr>
                  <w:rFonts w:ascii="Times New Roman" w:hAnsi="Times New Roman" w:cs="Times New Roman" w:eastAsia="Times New Roman"/>
                  <w:sz w:val="28"/>
                  <w:szCs w:val="28"/>
                </w:rPr>
                <w:t xml:space="preserve">https://news.abs-cbn.com/news/2024/4/15/house-lawmaker-renews-push-for-same-sex-civil-partnerships-940</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renewed efforts in the House of Representatives to pass a civil partnership law for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CBCP endorses Vatican document allowing pastoral blessings for same-sex couples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LiCAS News</w:t>
            </w:r>
            <w:r>
              <w:rPr>
                <w:rFonts w:ascii="Times New Roman" w:hAnsi="Times New Roman" w:cs="Times New Roman" w:eastAsia="Times New Roman"/>
                <w:sz w:val="28"/>
                <w:szCs w:val="28"/>
              </w:rPr>
              <w:t xml:space="preserve">, December 21, 2023, </w:t>
            </w:r>
            <w:hyperlink r:id="rId23">
              <w:r>
                <w:rPr>
                  <w:rFonts w:ascii="Times New Roman" w:hAnsi="Times New Roman" w:cs="Times New Roman" w:eastAsia="Times New Roman"/>
                  <w:sz w:val="28"/>
                  <w:szCs w:val="28"/>
                </w:rPr>
                <w:t xml:space="preserve">https://philippines.licas.news/2023/12/21/cbcp-endorses-vatican-document-allowing-pastoral-blessings-for-same-sex-couples/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Catholic Bishops’ Conference of the Philippines’ endorsement of </w:t>
            </w:r>
            <w:r>
              <w:rPr>
                <w:rFonts w:ascii="Times New Roman" w:hAnsi="Times New Roman" w:cs="Times New Roman" w:eastAsia="Times New Roman"/>
                <w:i/>
                <w:iCs/>
                <w:sz w:val="28"/>
                <w:szCs w:val="28"/>
              </w:rPr>
              <w:t xml:space="preserve">Fiducia Supplicans</w:t>
            </w:r>
            <w:r>
              <w:rPr>
                <w:rFonts w:ascii="Times New Roman" w:hAnsi="Times New Roman" w:cs="Times New Roman" w:eastAsia="Times New Roman"/>
                <w:sz w:val="28"/>
                <w:szCs w:val="28"/>
              </w:rPr>
              <w:t xml:space="preserve">, indicating the pastoral stance of the Philippine Catholic hierarchy toward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RG Cruz, </w:t>
            </w:r>
            <w:r>
              <w:rPr>
                <w:rFonts w:ascii="Times New Roman" w:hAnsi="Times New Roman" w:cs="Times New Roman" w:eastAsia="Times New Roman"/>
                <w:i/>
                <w:iCs/>
                <w:sz w:val="28"/>
                <w:szCs w:val="28"/>
              </w:rPr>
              <w:t xml:space="preserve">House begins tackling civil partnership bills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May 10, 2023, </w:t>
            </w:r>
            <w:hyperlink r:id="rId24">
              <w:r>
                <w:rPr>
                  <w:rFonts w:ascii="Times New Roman" w:hAnsi="Times New Roman" w:cs="Times New Roman" w:eastAsia="Times New Roman"/>
                  <w:sz w:val="28"/>
                  <w:szCs w:val="28"/>
                </w:rPr>
                <w:t xml:space="preserve">https://www.abs-cbn.com/news/05/10/23/house-begins-tackling-civil-partnership-bills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start of House committee deliberations on civil partnership bills in the 19th Congress.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Same-sex civil unions in the Philippines: What you need to know</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August 13, 2022, </w:t>
            </w:r>
            <w:hyperlink r:id="rId25">
              <w:r>
                <w:rPr>
                  <w:rFonts w:ascii="Times New Roman" w:hAnsi="Times New Roman" w:cs="Times New Roman" w:eastAsia="Times New Roman"/>
                  <w:sz w:val="28"/>
                  <w:szCs w:val="28"/>
                </w:rPr>
                <w:t xml:space="preserve">https://www.philstar.com/headlines/2022/08/13/2202445/same-sex-civil-unions-philippines-what-you-need-know</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Explains the pending civil union bills and the legal situation of same-sex couples in the Philippines for a general audience.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Padilla seeks equal rights for same-sex couples in civil union bill</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August 11, 2022, </w:t>
            </w:r>
            <w:hyperlink r:id="rId26">
              <w:r>
                <w:rPr>
                  <w:rFonts w:ascii="Times New Roman" w:hAnsi="Times New Roman" w:cs="Times New Roman" w:eastAsia="Times New Roman"/>
                  <w:sz w:val="28"/>
                  <w:szCs w:val="28"/>
                </w:rPr>
                <w:t xml:space="preserve">https://www.philstar.com/headlines/2022/08/11/2201984/padilla-seeks-equal-rights-same-sex-couples-civil-union-bill</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Senator Padilla’s filing of a bill granting same-sex couples in civil unions the rights and protections of married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Palace: With Pope’s backing, no more reason for Catholic solons to oppose same-sex civil unions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October 22, 2020, </w:t>
            </w:r>
            <w:hyperlink r:id="rId27">
              <w:r>
                <w:rPr>
                  <w:rFonts w:ascii="Times New Roman" w:hAnsi="Times New Roman" w:cs="Times New Roman" w:eastAsia="Times New Roman"/>
                  <w:sz w:val="28"/>
                  <w:szCs w:val="28"/>
                </w:rPr>
                <w:t xml:space="preserve">https://www.philstar.com/headlines/2020/10/22/2051522/headlines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Malacañang’s statement that Pope Francis’s support for civil unions removed any reason for Catholic legislators to oppose same-sex civil union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SC junks same-sex marriage petition ‘with finality’</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January 6, 2020, </w:t>
            </w:r>
            <w:hyperlink r:id="rId28">
              <w:r>
                <w:rPr>
                  <w:rFonts w:ascii="Times New Roman" w:hAnsi="Times New Roman" w:cs="Times New Roman" w:eastAsia="Times New Roman"/>
                  <w:sz w:val="28"/>
                  <w:szCs w:val="28"/>
                </w:rPr>
                <w:t xml:space="preserve">https://news.abs-cbn.com/news/01/06/20/sc-junks-same-sex-marriage-petition-with-finality</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Supreme Court’s denial with finality of the motion for reconsideration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ending the first judicial bid for same-sex marriage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SWS: 61% of Filipinos reject same-sex marriage</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SunStar Cagayan de Oro</w:t>
            </w:r>
            <w:r>
              <w:rPr>
                <w:rFonts w:ascii="Times New Roman" w:hAnsi="Times New Roman" w:cs="Times New Roman" w:eastAsia="Times New Roman"/>
                <w:sz w:val="28"/>
                <w:szCs w:val="28"/>
              </w:rPr>
              <w:t xml:space="preserve">, July 1, 2018, </w:t>
            </w:r>
            <w:hyperlink r:id="rId29">
              <w:r>
                <w:rPr>
                  <w:rFonts w:ascii="Times New Roman" w:hAnsi="Times New Roman" w:cs="Times New Roman" w:eastAsia="Times New Roman"/>
                  <w:sz w:val="28"/>
                  <w:szCs w:val="28"/>
                </w:rPr>
                <w:t xml:space="preserve">https://www.pressreader.com/philippines/sunstar-cagayan-de-oro/20180701/281509341929204</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Social Weather Stations survey finding that 61% of Filipinos opposed, and 22% supported, a law allowing the civil union of two men or two women.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okays SOGIE bill on 3rd and final reading</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Interaksyon</w:t>
            </w:r>
            <w:r>
              <w:rPr>
                <w:rFonts w:ascii="Times New Roman" w:hAnsi="Times New Roman" w:cs="Times New Roman" w:eastAsia="Times New Roman"/>
                <w:sz w:val="28"/>
                <w:szCs w:val="28"/>
              </w:rPr>
              <w:t xml:space="preserve">, September 20, 2017, </w:t>
            </w:r>
            <w:hyperlink r:id="rId30">
              <w:r>
                <w:rPr>
                  <w:rFonts w:ascii="Times New Roman" w:hAnsi="Times New Roman" w:cs="Times New Roman" w:eastAsia="Times New Roman"/>
                  <w:sz w:val="28"/>
                  <w:szCs w:val="28"/>
                </w:rPr>
                <w:t xml:space="preserve">https://interaksyon.philstar.com/breaking-news/2017/09/20/98551/house-okays-sogie-bill-on-3rd-and-final-reading/</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House of Representatives’ 198–0 approval of the SOGIE Equality Bill on third and final reading.</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bl>
    <w:p w14:paraId="6F54640E" w14:textId="77777777" w:rsidR="00C154F1" w:rsidRPr="00C154F1" w:rsidRDefault="00C154F1" w:rsidP="00C154F1">
      <w:pPr>
        <w:jc w:val="both"/>
        <w:rPr>
          <w:rFonts w:ascii="Times New Roman" w:hAnsi="Times New Roman" w:cs="Times New Roman" w:eastAsia="Times New Roman"/>
          <w:sz w:val="28"/>
          <w:szCs w:val="28"/>
        </w:rPr>
      </w:pPr>
    </w:p>
    <w:sectPr w:rsidR="00C154F1" w:rsidRPr="00C154F1" w:rsidSect="00E8425D">
      <w:footerReference w:type="default" r:id="rId31"/>
      <w:pgSz w:w="2016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19E5CD" w14:textId="77777777" w:rsidR="00366C13" w:rsidRDefault="00366C13" w:rsidP="00A26A5F">
      <w:r>
        <w:separator/>
      </w:r>
    </w:p>
  </w:endnote>
  <w:endnote w:type="continuationSeparator" w:id="0">
    <w:p w14:paraId="06836252" w14:textId="77777777" w:rsidR="00366C13" w:rsidRDefault="00366C13" w:rsidP="00A26A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szCs w:val="24"/>
      </w:rPr>
      <w:fldChar w:fldCharType="begin"/>
    </w:r>
    <w:r>
      <w:rPr>
        <w:rFonts w:ascii="Times New Roman" w:hAnsi="Times New Roman" w:cs="Times New Roman" w:eastAsia="Times New Roman"/>
        <w:sz w:val="24"/>
        <w:szCs w:val="24"/>
      </w:rPr>
      <w:instrText xml:space="preserve">PAGE</w:instrText>
    </w:r>
    <w:r>
      <w:rPr>
        <w:rFonts w:ascii="Times New Roman" w:hAnsi="Times New Roman" w:cs="Times New Roman" w:eastAsia="Times New Roman"/>
        <w:sz w:val="24"/>
        <w:szCs w:val="24"/>
      </w:rPr>
      <w:fldChar w:fldCharType="separate"/>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B2F955" w14:textId="77777777" w:rsidR="00366C13" w:rsidRDefault="00366C13" w:rsidP="00A26A5F">
      <w:r>
        <w:separator/>
      </w:r>
    </w:p>
  </w:footnote>
  <w:footnote w:type="continuationSeparator" w:id="0">
    <w:p w14:paraId="4C290B89" w14:textId="77777777" w:rsidR="00366C13" w:rsidRDefault="00366C13" w:rsidP="00A26A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D7100"/>
    <w:multiLevelType w:val="hybridMultilevel"/>
    <w:tmpl w:val="BF98DF3E"/>
    <w:lvl w:ilvl="0" w:tplc="22243F7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031A5"/>
    <w:multiLevelType w:val="hybridMultilevel"/>
    <w:tmpl w:val="52E6C9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753842"/>
    <w:multiLevelType w:val="hybridMultilevel"/>
    <w:tmpl w:val="FC7EF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0F413D"/>
    <w:multiLevelType w:val="hybridMultilevel"/>
    <w:tmpl w:val="CA4EBF18"/>
    <w:lvl w:ilvl="0" w:tplc="22243F7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7634B6"/>
    <w:multiLevelType w:val="hybridMultilevel"/>
    <w:tmpl w:val="43744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376944">
    <w:abstractNumId w:val="1"/>
  </w:num>
  <w:num w:numId="2" w16cid:durableId="1784960246">
    <w:abstractNumId w:val="2"/>
  </w:num>
  <w:num w:numId="3" w16cid:durableId="253823329">
    <w:abstractNumId w:val="3"/>
  </w:num>
  <w:num w:numId="4" w16cid:durableId="1407456263">
    <w:abstractNumId w:val="0"/>
  </w:num>
  <w:num w:numId="5" w16cid:durableId="19983059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A5F"/>
    <w:rsid w:val="00053157"/>
    <w:rsid w:val="000F55C1"/>
    <w:rsid w:val="00106154"/>
    <w:rsid w:val="001C7518"/>
    <w:rsid w:val="001F6A39"/>
    <w:rsid w:val="00293894"/>
    <w:rsid w:val="00297180"/>
    <w:rsid w:val="0032663D"/>
    <w:rsid w:val="00366C13"/>
    <w:rsid w:val="004F0340"/>
    <w:rsid w:val="00537B0D"/>
    <w:rsid w:val="0055388B"/>
    <w:rsid w:val="005729D9"/>
    <w:rsid w:val="005862C8"/>
    <w:rsid w:val="0059024A"/>
    <w:rsid w:val="00655535"/>
    <w:rsid w:val="00706B31"/>
    <w:rsid w:val="00833C34"/>
    <w:rsid w:val="0086178C"/>
    <w:rsid w:val="008B1FEC"/>
    <w:rsid w:val="008C1B6A"/>
    <w:rsid w:val="008D63C0"/>
    <w:rsid w:val="00912081"/>
    <w:rsid w:val="00962114"/>
    <w:rsid w:val="00962418"/>
    <w:rsid w:val="00981771"/>
    <w:rsid w:val="00983684"/>
    <w:rsid w:val="009A0AB5"/>
    <w:rsid w:val="009D2898"/>
    <w:rsid w:val="00A05328"/>
    <w:rsid w:val="00A11D8F"/>
    <w:rsid w:val="00A26A5F"/>
    <w:rsid w:val="00AD6C6E"/>
    <w:rsid w:val="00C154F1"/>
    <w:rsid w:val="00C6211A"/>
    <w:rsid w:val="00C7278C"/>
    <w:rsid w:val="00C9537E"/>
    <w:rsid w:val="00D13F0B"/>
    <w:rsid w:val="00D169B5"/>
    <w:rsid w:val="00D86DFA"/>
    <w:rsid w:val="00E56D3E"/>
    <w:rsid w:val="00E8425D"/>
    <w:rsid w:val="00EC708D"/>
    <w:rsid w:val="00ED3150"/>
    <w:rsid w:val="00F64914"/>
    <w:rsid w:val="00F879EB"/>
    <w:rsid w:val="00FC5211"/>
    <w:rsid w:val="00FD0C3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1745A882"/>
  <w15:chartTrackingRefBased/>
  <w15:docId w15:val="{CD6C6CC0-5B85-3E4B-9E28-A7D04C7BF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A5F"/>
    <w:pPr>
      <w:spacing w:before="0" w:after="0" w:line="240" w:lineRule="auto"/>
    </w:pPr>
    <w:rPr>
      <w:rFonts w:ascii="Times New Roman" w:hAnsi="Times New Roman" w:cs="Times New Roman" w:eastAsia="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26A5F"/>
    <w:rPr>
      <w:sz w:val="20"/>
      <w:szCs w:val="20"/>
    </w:rPr>
  </w:style>
  <w:style w:type="character" w:customStyle="1" w:styleId="FootnoteTextChar">
    <w:name w:val="Footnote Text Char"/>
    <w:basedOn w:val="DefaultParagraphFont"/>
    <w:link w:val="FootnoteText"/>
    <w:uiPriority w:val="99"/>
    <w:semiHidden/>
    <w:rsid w:val="00A26A5F"/>
    <w:rPr>
      <w:sz w:val="20"/>
      <w:szCs w:val="20"/>
    </w:rPr>
  </w:style>
  <w:style w:type="character" w:styleId="FootnoteReference">
    <w:name w:val="footnote reference"/>
    <w:basedOn w:val="DefaultParagraphFont"/>
    <w:uiPriority w:val="99"/>
    <w:semiHidden/>
    <w:unhideWhenUsed/>
    <w:rsid w:val="00A26A5F"/>
    <w:rPr>
      <w:vertAlign w:val="superscript"/>
    </w:rPr>
  </w:style>
  <w:style w:type="character" w:styleId="Hyperlink">
    <w:name w:val="Hyperlink"/>
    <w:basedOn w:val="DefaultParagraphFont"/>
    <w:uiPriority w:val="99"/>
    <w:unhideWhenUsed/>
    <w:rsid w:val="00A26A5F"/>
    <w:rPr>
      <w:color w:val="0563C1" w:themeColor="hyperlink"/>
      <w:u w:val="single"/>
    </w:rPr>
  </w:style>
  <w:style w:type="paragraph" w:styleId="ListParagraph">
    <w:name w:val="List Paragraph"/>
    <w:basedOn w:val="Normal"/>
    <w:uiPriority w:val="34"/>
    <w:qFormat/>
    <w:rsid w:val="00912081"/>
    <w:pPr>
      <w:ind w:left="720"/>
      <w:contextualSpacing/>
    </w:pPr>
  </w:style>
  <w:style w:type="character" w:styleId="UnresolvedMention">
    <w:name w:val="Unresolved Mention"/>
    <w:basedOn w:val="DefaultParagraphFont"/>
    <w:uiPriority w:val="99"/>
    <w:semiHidden/>
    <w:unhideWhenUsed/>
    <w:rsid w:val="00706B31"/>
    <w:rPr>
      <w:color w:val="605E5C"/>
      <w:shd w:val="clear" w:color="auto" w:fill="E1DFDD"/>
    </w:rPr>
  </w:style>
  <w:style w:type="table" w:styleId="TableGrid">
    <w:name w:val="Table Grid"/>
    <w:basedOn w:val="TableNormal"/>
    <w:uiPriority w:val="39"/>
    <w:rsid w:val="00C154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yperlink" Target="https://ateneolj.com/archive/article/930" TargetMode="External"/><Relationship Id="rId11" Type="http://schemas.openxmlformats.org/officeDocument/2006/relationships/hyperlink" Target="https://plato.stanford.edu/archives/spr2026/entries/marriage/" TargetMode="External"/><Relationship Id="rId12" Type="http://schemas.openxmlformats.org/officeDocument/2006/relationships/hyperlink" Target="https://law.upd.edu.ph/wp-content/uploads/2020/06/Finding-Fault-Falcis.pdf" TargetMode="External"/><Relationship Id="rId13" Type="http://schemas.openxmlformats.org/officeDocument/2006/relationships/hyperlink" Target="https://law.upd.edu.ph/wp-content/uploads/2026/07/Josef-v-Ursua-Proceedings.pdf" TargetMode="External"/><Relationship Id="rId14" Type="http://schemas.openxmlformats.org/officeDocument/2006/relationships/hyperlink" Target="https://chr.gov.ph/2022/statements/statement-of-the-commission-on-human-rights-on-the-rejection-of-the-philippine-delegation-of-the-recommendation-during-the-universal-periodic-review-to-pass-the-sogie-equality-bill/" TargetMode="External"/><Relationship Id="rId15" Type="http://schemas.openxmlformats.org/officeDocument/2006/relationships/hyperlink" Target="https://chr.gov.ph/statement-of-the-commission-on-human-rights-lauding-quezon-citys-initiative-to-launch-the-right-to-care-card/" TargetMode="External"/><Relationship Id="rId16" Type="http://schemas.openxmlformats.org/officeDocument/2006/relationships/hyperlink" Target="https://www.ejournals.ph/article.php?id=14302" TargetMode="External"/><Relationship Id="rId17" Type="http://schemas.openxmlformats.org/officeDocument/2006/relationships/hyperlink" Target="https://www.hrw.org/report/2017/06/22/just-let-us-be/discrimination-against-lgbt-students-philippines" TargetMode="External"/><Relationship Id="rId18" Type="http://schemas.openxmlformats.org/officeDocument/2006/relationships/hyperlink" Target="https://www.hrw.org/news/2026/02/17/philippine-supreme-court-grants-property-rights-to-same-sex-couples" TargetMode="External"/><Relationship Id="rId19" Type="http://schemas.openxmlformats.org/officeDocument/2006/relationships/hyperlink" Target="https://www.pewresearch.org/global/2020/06/25/global-divide-on-homosexuality-persists/" TargetMode="External"/><Relationship Id="rId20" Type="http://schemas.openxmlformats.org/officeDocument/2006/relationships/hyperlink" Target="https://www.philstar.com/headlines/2026/02/10/2507065/supreme-court-same-sex-couples-can-be-recognized-property-co-owners" TargetMode="External"/><Relationship Id="rId21" Type="http://schemas.openxmlformats.org/officeDocument/2006/relationships/hyperlink" Target="https://www.philstar.com/headlines/2025/07/16/2458169/supreme-court-hiding-homosexuality-valid-ground-annulment" TargetMode="External"/><Relationship Id="rId22" Type="http://schemas.openxmlformats.org/officeDocument/2006/relationships/hyperlink" Target="https://news.abs-cbn.com/news/2024/4/15/house-lawmaker-renews-push-for-same-sex-civil-partnerships-940" TargetMode="External"/><Relationship Id="rId23" Type="http://schemas.openxmlformats.org/officeDocument/2006/relationships/hyperlink" Target="https://philippines.licas.news/2023/12/21/cbcp-endorses-vatican-document-allowing-pastoral-blessings-for-same-sex-couples/" TargetMode="External"/><Relationship Id="rId24" Type="http://schemas.openxmlformats.org/officeDocument/2006/relationships/hyperlink" Target="https://www.abs-cbn.com/news/05/10/23/house-begins-tackling-civil-partnership-bills" TargetMode="External"/><Relationship Id="rId25" Type="http://schemas.openxmlformats.org/officeDocument/2006/relationships/hyperlink" Target="https://www.philstar.com/headlines/2022/08/13/2202445/same-sex-civil-unions-philippines-what-you-need-know" TargetMode="External"/><Relationship Id="rId26" Type="http://schemas.openxmlformats.org/officeDocument/2006/relationships/hyperlink" Target="https://www.philstar.com/headlines/2022/08/11/2201984/padilla-seeks-equal-rights-same-sex-couples-civil-union-bill" TargetMode="External"/><Relationship Id="rId27" Type="http://schemas.openxmlformats.org/officeDocument/2006/relationships/hyperlink" Target="https://www.philstar.com/headlines/2020/10/22/2051522/headlines" TargetMode="External"/><Relationship Id="rId28" Type="http://schemas.openxmlformats.org/officeDocument/2006/relationships/hyperlink" Target="https://news.abs-cbn.com/news/01/06/20/sc-junks-same-sex-marriage-petition-with-finality" TargetMode="External"/><Relationship Id="rId29" Type="http://schemas.openxmlformats.org/officeDocument/2006/relationships/hyperlink" Target="https://www.pressreader.com/philippines/sunstar-cagayan-de-oro/20180701/281509341929204" TargetMode="External"/><Relationship Id="rId30" Type="http://schemas.openxmlformats.org/officeDocument/2006/relationships/hyperlink" Target="https://interaksyon.philstar.com/breaking-news/2017/09/20/98551/house-okays-sogie-bill-on-3rd-and-final-reading/" TargetMode="External"/><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EC5E7-83D1-5A40-A50C-65010BD06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117</Words>
  <Characters>625</Characters>
  <Application>Microsoft Office Word</Application>
  <DocSecurity>0</DocSecurity>
  <Lines>19</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Same-Sex Marriage/Partnership Between Filipinos</dc:title>
  <dc:subject/>
  <dc:creator>Vinzen Borja</dc:creator>
  <cp:keywords/>
  <dc:description/>
  <cp:lastModifiedBy>Jayvy Gamboa</cp:lastModifiedBy>
  <cp:revision>2</cp:revision>
  <dcterms:created xsi:type="dcterms:W3CDTF">2026-09-24T04:04:00Z</dcterms:created>
  <dcterms:modified xsi:type="dcterms:W3CDTF">2026-09-24T04:04:00Z</dcterms:modified>
</cp:coreProperties>
</file>