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0" w:line="240" w:lineRule="auto"/>
        <w:jc w:val="left"/>
      </w:pPr>
      <w:r>
        <w:rPr>
          <w:rFonts w:ascii="Times New Roman" w:hAnsi="Times New Roman" w:cs="Times New Roman" w:eastAsia="Times New Roman"/>
          <w:sz w:val="28"/>
          <w:szCs w:val="28"/>
        </w:rPr>
        <w:t xml:space="preserve">Vinzen Borja</w:t>
      </w:r>
    </w:p>
    <w:p>
      <w:pPr>
        <w:spacing w:before="0" w:after="0" w:line="240" w:lineRule="auto"/>
        <w:jc w:val="left"/>
      </w:pPr>
      <w:r>
        <w:rPr>
          <w:rFonts w:ascii="Times New Roman" w:hAnsi="Times New Roman" w:cs="Times New Roman" w:eastAsia="Times New Roman"/>
          <w:sz w:val="28"/>
          <w:szCs w:val="28"/>
        </w:rPr>
        <w:t xml:space="preserve">221027</w:t>
      </w:r>
    </w:p>
    <w:p>
      <w:pPr>
        <w:spacing w:before="0" w:after="0" w:line="240" w:lineRule="auto"/>
        <w:jc w:val="left"/>
      </w:pPr>
      <w:r>
        <w:rPr>
          <w:rFonts w:ascii="Times New Roman" w:hAnsi="Times New Roman" w:cs="Times New Roman" w:eastAsia="Times New Roman"/>
          <w:sz w:val="28"/>
          <w:szCs w:val="28"/>
        </w:rPr>
        <w:t xml:space="preserve">Law 99: Legal Bibliography — Assignment 2</w:t>
      </w:r>
    </w:p>
    <w:p>
      <w:pPr>
        <w:spacing w:before="0" w:after="120" w:line="240" w:lineRule="auto"/>
        <w:jc w:val="left"/>
      </w:pPr>
      <w:r>
        <w:rPr>
          <w:rFonts w:ascii="Times New Roman" w:hAnsi="Times New Roman" w:cs="Times New Roman" w:eastAsia="Times New Roman"/>
          <w:b/>
          <w:bCs/>
          <w:sz w:val="28"/>
          <w:szCs w:val="28"/>
        </w:rPr>
        <w:t xml:space="preserve">TOPIC: SAME-SEX MARRIAGE/PARTNERSHIP BETWEEN FILIPINOS</w:t>
      </w:r>
    </w:p>
    <w:tbl>
      <w:tblPr>
        <w:tblStyle w:val="TableGrid"/>
        <w:tblW w:w="0" w:type="auto"/>
        <w:tblLook w:val="04A0" w:firstRow="1" w:lastRow="0" w:firstColumn="1" w:lastColumn="0" w:noHBand="0" w:noVBand="1"/>
      </w:tblPr>
      <w:tblGrid>
        <w:gridCol w:w="760"/>
        <w:gridCol w:w="9800"/>
        <w:gridCol w:w="2400"/>
        <w:gridCol w:w="4225"/>
      </w:tblGrid>
      <w:tr w:rsidR="00C154F1" w14:paraId="23E5CF91" w14:textId="77777777" w:rsidTr="00962418">
        <w:tc>
          <w:tcPr>
            <w:tcW w:w="760" w:type="dxa"/>
          </w:tcPr>
          <w:p w14:paraId="3B5F3F9B" w14:textId="77777777" w:rsidR="00C154F1" w:rsidRDefault="00C154F1" w:rsidP="00C154F1">
            <w:pPr>
              <w:jc w:val="both"/>
              <w:rPr>
                <w:rFonts w:ascii="Times New Roman" w:hAnsi="Times New Roman" w:cs="Times New Roman" w:eastAsia="Times New Roman"/>
                <w:sz w:val="28"/>
                <w:szCs w:val="28"/>
              </w:rPr>
            </w:pPr>
          </w:p>
        </w:tc>
        <w:tc>
          <w:tcPr>
            <w:tcW w:w="9800" w:type="dxa"/>
          </w:tcPr>
          <w:p w14:paraId="67E8EEC6" w14:textId="786F3698" w:rsidR="00C154F1" w:rsidRDefault="00C154F1" w:rsidP="00C154F1">
            <w:pPr>
              <w:jc w:val="both"/>
              <w:rPr>
                <w:rFonts w:ascii="Times New Roman" w:hAnsi="Times New Roman" w:cs="Times New Roman" w:eastAsia="Times New Roman"/>
                <w:b/>
                <w:bCs/>
                <w:sz w:val="28"/>
                <w:szCs w:val="28"/>
              </w:rPr>
            </w:pPr>
            <w:r w:rsidRPr="00962418">
              <w:rPr>
                <w:rFonts w:ascii="Times New Roman" w:hAnsi="Times New Roman" w:cs="Times New Roman" w:eastAsia="Times New Roman"/>
                <w:b/>
                <w:bCs/>
                <w:sz w:val="28"/>
                <w:szCs w:val="28"/>
              </w:rPr>
              <w:t xml:space="preserve">Name </w:t>
            </w:r>
            <w:r w:rsidR="001C7518" w:rsidRPr="00962418">
              <w:rPr>
                <w:rFonts w:ascii="Times New Roman" w:hAnsi="Times New Roman" w:cs="Times New Roman" w:eastAsia="Times New Roman"/>
                <w:b/>
                <w:bCs/>
                <w:sz w:val="28"/>
                <w:szCs w:val="28"/>
              </w:rPr>
              <w:t xml:space="preserve">and details </w:t>
            </w:r>
            <w:r w:rsidRPr="00962418">
              <w:rPr>
                <w:rFonts w:ascii="Times New Roman" w:hAnsi="Times New Roman" w:cs="Times New Roman" w:eastAsia="Times New Roman"/>
                <w:b/>
                <w:bCs/>
                <w:sz w:val="28"/>
                <w:szCs w:val="28"/>
              </w:rPr>
              <w:t>of material</w:t>
            </w:r>
          </w:p>
          <w:p w14:paraId="36B671EB" w14:textId="0E7A5A94" w:rsidR="00962114" w:rsidRPr="00962114" w:rsidRDefault="00962114" w:rsidP="00C154F1">
            <w:pPr>
              <w:jc w:val="both"/>
              <w:rPr>
                <w:rFonts w:ascii="Times New Roman" w:hAnsi="Times New Roman" w:cs="Times New Roman" w:eastAsia="Times New Roman"/>
                <w:sz w:val="28"/>
                <w:szCs w:val="28"/>
              </w:rPr>
            </w:pPr>
            <w:r>
              <w:rPr>
                <w:rFonts w:ascii="Times New Roman" w:hAnsi="Times New Roman" w:cs="Times New Roman" w:eastAsia="Times New Roman"/>
                <w:sz w:val="28"/>
                <w:szCs w:val="28"/>
              </w:rPr>
              <w:t>Include one-sentence remark on the relevance of the material to the chosen topic</w:t>
            </w:r>
          </w:p>
          <w:p w14:paraId="6B382C1D" w14:textId="77777777" w:rsidR="00C154F1" w:rsidRDefault="00C154F1" w:rsidP="00C154F1">
            <w:pPr>
              <w:jc w:val="both"/>
              <w:rPr>
                <w:rFonts w:ascii="Times New Roman" w:hAnsi="Times New Roman" w:cs="Times New Roman" w:eastAsia="Times New Roman"/>
                <w:sz w:val="28"/>
                <w:szCs w:val="28"/>
              </w:rPr>
            </w:pPr>
          </w:p>
          <w:p w14:paraId="0DEEBB52" w14:textId="2B3AB47E" w:rsidR="00C154F1" w:rsidRDefault="00C154F1" w:rsidP="00C154F1">
            <w:pPr>
              <w:jc w:val="both"/>
              <w:rPr>
                <w:rFonts w:ascii="Times New Roman" w:hAnsi="Times New Roman" w:cs="Times New Roman" w:eastAsia="Times New Roman"/>
                <w:i/>
                <w:iCs/>
                <w:sz w:val="28"/>
                <w:szCs w:val="28"/>
              </w:rPr>
            </w:pPr>
            <w:r>
              <w:rPr>
                <w:rFonts w:ascii="Times New Roman" w:hAnsi="Times New Roman" w:cs="Times New Roman" w:eastAsia="Times New Roman"/>
                <w:i/>
                <w:iCs/>
                <w:sz w:val="28"/>
                <w:szCs w:val="28"/>
              </w:rPr>
              <w:t xml:space="preserve">For </w:t>
            </w:r>
            <w:r w:rsidR="00E8425D">
              <w:rPr>
                <w:rFonts w:ascii="Times New Roman" w:hAnsi="Times New Roman" w:cs="Times New Roman" w:eastAsia="Times New Roman"/>
                <w:i/>
                <w:iCs/>
                <w:sz w:val="28"/>
                <w:szCs w:val="28"/>
              </w:rPr>
              <w:t xml:space="preserve">primary </w:t>
            </w:r>
            <w:r w:rsidR="008C1B6A">
              <w:rPr>
                <w:rFonts w:ascii="Times New Roman" w:hAnsi="Times New Roman" w:cs="Times New Roman" w:eastAsia="Times New Roman"/>
                <w:i/>
                <w:iCs/>
                <w:sz w:val="28"/>
                <w:szCs w:val="28"/>
              </w:rPr>
              <w:t>sources</w:t>
            </w:r>
            <w:r>
              <w:rPr>
                <w:rFonts w:ascii="Times New Roman" w:hAnsi="Times New Roman" w:cs="Times New Roman" w:eastAsia="Times New Roman"/>
                <w:i/>
                <w:iCs/>
                <w:sz w:val="28"/>
                <w:szCs w:val="28"/>
              </w:rPr>
              <w:t>: List according to</w:t>
            </w:r>
            <w:r w:rsidR="001C7518">
              <w:rPr>
                <w:rFonts w:ascii="Times New Roman" w:hAnsi="Times New Roman" w:cs="Times New Roman" w:eastAsia="Times New Roman"/>
                <w:i/>
                <w:iCs/>
                <w:sz w:val="28"/>
                <w:szCs w:val="28"/>
              </w:rPr>
              <w:t xml:space="preserve"> the type of source, arranged according to</w:t>
            </w:r>
            <w:r>
              <w:rPr>
                <w:rFonts w:ascii="Times New Roman" w:hAnsi="Times New Roman" w:cs="Times New Roman" w:eastAsia="Times New Roman"/>
                <w:i/>
                <w:iCs/>
                <w:sz w:val="28"/>
                <w:szCs w:val="28"/>
              </w:rPr>
              <w:t xml:space="preserve"> hierarchy of laws</w:t>
            </w:r>
          </w:p>
          <w:p w14:paraId="5D2D6A67" w14:textId="77777777" w:rsidR="00C154F1" w:rsidRDefault="00C154F1" w:rsidP="00C154F1">
            <w:pPr>
              <w:jc w:val="both"/>
              <w:rPr>
                <w:rFonts w:ascii="Times New Roman" w:hAnsi="Times New Roman" w:cs="Times New Roman" w:eastAsia="Times New Roman"/>
                <w:i/>
                <w:iCs/>
                <w:sz w:val="28"/>
                <w:szCs w:val="28"/>
              </w:rPr>
            </w:pPr>
          </w:p>
          <w:p w14:paraId="5017FD24" w14:textId="107982B0" w:rsidR="00962114" w:rsidRPr="00962114" w:rsidRDefault="00E8425D" w:rsidP="00C154F1">
            <w:pPr>
              <w:jc w:val="both"/>
              <w:rPr>
                <w:rFonts w:ascii="Times New Roman" w:hAnsi="Times New Roman" w:cs="Times New Roman" w:eastAsia="Times New Roman"/>
                <w:sz w:val="28"/>
                <w:szCs w:val="28"/>
              </w:rPr>
            </w:pPr>
            <w:r>
              <w:rPr>
                <w:rFonts w:ascii="Times New Roman" w:hAnsi="Times New Roman" w:cs="Times New Roman" w:eastAsia="Times New Roman"/>
                <w:i/>
                <w:iCs/>
                <w:sz w:val="28"/>
                <w:szCs w:val="28"/>
              </w:rPr>
              <w:t xml:space="preserve">For secondary </w:t>
            </w:r>
            <w:r w:rsidR="008C1B6A">
              <w:rPr>
                <w:rFonts w:ascii="Times New Roman" w:hAnsi="Times New Roman" w:cs="Times New Roman" w:eastAsia="Times New Roman"/>
                <w:i/>
                <w:iCs/>
                <w:sz w:val="28"/>
                <w:szCs w:val="28"/>
              </w:rPr>
              <w:t>sources</w:t>
            </w:r>
            <w:r>
              <w:rPr>
                <w:rFonts w:ascii="Times New Roman" w:hAnsi="Times New Roman" w:cs="Times New Roman" w:eastAsia="Times New Roman"/>
                <w:i/>
                <w:iCs/>
                <w:sz w:val="28"/>
                <w:szCs w:val="28"/>
              </w:rPr>
              <w:t xml:space="preserve">: List according to the type of </w:t>
            </w:r>
            <w:r w:rsidR="001C7518">
              <w:rPr>
                <w:rFonts w:ascii="Times New Roman" w:hAnsi="Times New Roman" w:cs="Times New Roman" w:eastAsia="Times New Roman"/>
                <w:i/>
                <w:iCs/>
                <w:sz w:val="28"/>
                <w:szCs w:val="28"/>
              </w:rPr>
              <w:t>source, arranged</w:t>
            </w:r>
            <w:r>
              <w:rPr>
                <w:rFonts w:ascii="Times New Roman" w:hAnsi="Times New Roman" w:cs="Times New Roman" w:eastAsia="Times New Roman"/>
                <w:i/>
                <w:iCs/>
                <w:sz w:val="28"/>
                <w:szCs w:val="28"/>
              </w:rPr>
              <w:t xml:space="preserve"> from most reliable to least reliable</w:t>
            </w:r>
          </w:p>
        </w:tc>
        <w:tc>
          <w:tcPr>
            <w:tcW w:w="2400" w:type="dxa"/>
          </w:tcPr>
          <w:p w14:paraId="1B11DFAF" w14:textId="3590CE56" w:rsidR="00C154F1" w:rsidRPr="00962418" w:rsidRDefault="00C154F1" w:rsidP="00C154F1">
            <w:pPr>
              <w:jc w:val="both"/>
              <w:rPr>
                <w:rFonts w:ascii="Times New Roman" w:hAnsi="Times New Roman" w:cs="Times New Roman" w:eastAsia="Times New Roman"/>
                <w:b/>
                <w:bCs/>
                <w:sz w:val="28"/>
                <w:szCs w:val="28"/>
              </w:rPr>
            </w:pPr>
            <w:r w:rsidRPr="00962418">
              <w:rPr>
                <w:rFonts w:ascii="Times New Roman" w:hAnsi="Times New Roman" w:cs="Times New Roman" w:eastAsia="Times New Roman"/>
                <w:b/>
                <w:bCs/>
                <w:sz w:val="28"/>
                <w:szCs w:val="28"/>
              </w:rPr>
              <w:t>Persuasive value</w:t>
            </w:r>
          </w:p>
          <w:p w14:paraId="123CFDB6" w14:textId="77777777" w:rsidR="00C9537E" w:rsidRDefault="00C9537E" w:rsidP="00C154F1">
            <w:pPr>
              <w:jc w:val="both"/>
              <w:rPr>
                <w:rFonts w:ascii="Times New Roman" w:hAnsi="Times New Roman" w:cs="Times New Roman" w:eastAsia="Times New Roman"/>
                <w:sz w:val="28"/>
                <w:szCs w:val="28"/>
              </w:rPr>
            </w:pPr>
          </w:p>
          <w:p w14:paraId="28CA428E" w14:textId="038108CC" w:rsidR="00C9537E" w:rsidRDefault="00C9537E" w:rsidP="00C154F1">
            <w:pPr>
              <w:jc w:val="both"/>
              <w:rPr>
                <w:rFonts w:ascii="Times New Roman" w:hAnsi="Times New Roman" w:cs="Times New Roman" w:eastAsia="Times New Roman"/>
                <w:sz w:val="28"/>
                <w:szCs w:val="28"/>
              </w:rPr>
            </w:pPr>
            <w:r w:rsidRPr="00C9537E">
              <w:rPr>
                <w:rFonts w:ascii="Times New Roman" w:hAnsi="Times New Roman" w:cs="Times New Roman" w:eastAsia="Times New Roman"/>
                <w:i/>
                <w:iCs/>
                <w:sz w:val="28"/>
                <w:szCs w:val="28"/>
              </w:rPr>
              <w:t xml:space="preserve">For primary </w:t>
            </w:r>
            <w:r w:rsidR="008C1B6A">
              <w:rPr>
                <w:rFonts w:ascii="Times New Roman" w:hAnsi="Times New Roman" w:cs="Times New Roman" w:eastAsia="Times New Roman"/>
                <w:i/>
                <w:iCs/>
                <w:sz w:val="28"/>
                <w:szCs w:val="28"/>
              </w:rPr>
              <w:t>sources</w:t>
            </w:r>
            <w:r w:rsidRPr="00C9537E">
              <w:rPr>
                <w:rFonts w:ascii="Times New Roman" w:hAnsi="Times New Roman" w:cs="Times New Roman" w:eastAsia="Times New Roman"/>
                <w:i/>
                <w:iCs/>
                <w:sz w:val="28"/>
                <w:szCs w:val="28"/>
              </w:rPr>
              <w:t>: Mandatory or Persuasive</w:t>
            </w:r>
          </w:p>
          <w:p w14:paraId="19FA6F6F" w14:textId="77777777" w:rsidR="00C9537E" w:rsidRDefault="00C9537E" w:rsidP="00C154F1">
            <w:pPr>
              <w:jc w:val="both"/>
              <w:rPr>
                <w:rFonts w:ascii="Times New Roman" w:hAnsi="Times New Roman" w:cs="Times New Roman" w:eastAsia="Times New Roman"/>
                <w:sz w:val="28"/>
                <w:szCs w:val="28"/>
              </w:rPr>
            </w:pPr>
          </w:p>
          <w:p w14:paraId="43573421" w14:textId="6ABC8F2A" w:rsidR="00C9537E" w:rsidRPr="001C7518" w:rsidRDefault="00C9537E" w:rsidP="00C154F1">
            <w:pPr>
              <w:jc w:val="both"/>
              <w:rPr>
                <w:rFonts w:ascii="Times New Roman" w:hAnsi="Times New Roman" w:cs="Times New Roman" w:eastAsia="Times New Roman"/>
                <w:sz w:val="28"/>
                <w:szCs w:val="28"/>
                <w:u w:val="single"/>
              </w:rPr>
            </w:pPr>
            <w:r>
              <w:rPr>
                <w:rFonts w:ascii="Times New Roman" w:hAnsi="Times New Roman" w:cs="Times New Roman" w:eastAsia="Times New Roman"/>
                <w:i/>
                <w:iCs/>
                <w:sz w:val="28"/>
                <w:szCs w:val="28"/>
              </w:rPr>
              <w:t xml:space="preserve">For secondary </w:t>
            </w:r>
            <w:r w:rsidR="008C1B6A">
              <w:rPr>
                <w:rFonts w:ascii="Times New Roman" w:hAnsi="Times New Roman" w:cs="Times New Roman" w:eastAsia="Times New Roman"/>
                <w:i/>
                <w:iCs/>
                <w:sz w:val="28"/>
                <w:szCs w:val="28"/>
              </w:rPr>
              <w:t>sources</w:t>
            </w:r>
            <w:r>
              <w:rPr>
                <w:rFonts w:ascii="Times New Roman" w:hAnsi="Times New Roman" w:cs="Times New Roman" w:eastAsia="Times New Roman"/>
                <w:i/>
                <w:iCs/>
                <w:sz w:val="28"/>
                <w:szCs w:val="28"/>
              </w:rPr>
              <w:t xml:space="preserve">: </w:t>
            </w:r>
            <w:r w:rsidR="001C7518">
              <w:rPr>
                <w:rFonts w:ascii="Times New Roman" w:hAnsi="Times New Roman" w:cs="Times New Roman" w:eastAsia="Times New Roman"/>
                <w:i/>
                <w:iCs/>
                <w:sz w:val="28"/>
                <w:szCs w:val="28"/>
              </w:rPr>
              <w:t xml:space="preserve">Persuasive </w:t>
            </w:r>
            <w:r w:rsidR="001C7518" w:rsidRPr="001C7518">
              <w:rPr>
                <w:rFonts w:ascii="Times New Roman" w:hAnsi="Times New Roman" w:cs="Times New Roman" w:eastAsia="Times New Roman"/>
                <w:b/>
                <w:bCs/>
                <w:i/>
                <w:iCs/>
                <w:sz w:val="28"/>
                <w:szCs w:val="28"/>
              </w:rPr>
              <w:t>only</w:t>
            </w:r>
          </w:p>
        </w:tc>
        <w:tc>
          <w:tcPr>
            <w:tcW w:w="4225" w:type="dxa"/>
          </w:tcPr>
          <w:p w14:paraId="6D362CCD" w14:textId="7E6A1554" w:rsidR="00C154F1" w:rsidRPr="00962418" w:rsidRDefault="008C1B6A" w:rsidP="00C154F1">
            <w:pPr>
              <w:jc w:val="both"/>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rPr>
              <w:t>Repositories/Databases</w:t>
            </w:r>
          </w:p>
          <w:p w14:paraId="0799D6D4" w14:textId="77777777" w:rsidR="00E8425D" w:rsidRDefault="00E8425D" w:rsidP="00C154F1">
            <w:pPr>
              <w:jc w:val="both"/>
              <w:rPr>
                <w:rFonts w:ascii="Times New Roman" w:hAnsi="Times New Roman" w:cs="Times New Roman" w:eastAsia="Times New Roman"/>
                <w:sz w:val="28"/>
                <w:szCs w:val="28"/>
              </w:rPr>
            </w:pPr>
          </w:p>
          <w:p w14:paraId="6EB4015B" w14:textId="1EBABAE0" w:rsidR="00E8425D" w:rsidRDefault="00D169B5" w:rsidP="00C154F1">
            <w:pPr>
              <w:jc w:val="both"/>
              <w:rPr>
                <w:rFonts w:ascii="Times New Roman" w:hAnsi="Times New Roman" w:cs="Times New Roman" w:eastAsia="Times New Roman"/>
                <w:i/>
                <w:iCs/>
                <w:sz w:val="28"/>
                <w:szCs w:val="28"/>
              </w:rPr>
            </w:pPr>
            <w:r>
              <w:rPr>
                <w:rFonts w:ascii="Times New Roman" w:hAnsi="Times New Roman" w:cs="Times New Roman" w:eastAsia="Times New Roman"/>
                <w:i/>
                <w:iCs/>
                <w:sz w:val="28"/>
                <w:szCs w:val="28"/>
              </w:rPr>
              <w:t xml:space="preserve">For primary </w:t>
            </w:r>
            <w:r w:rsidR="008C1B6A">
              <w:rPr>
                <w:rFonts w:ascii="Times New Roman" w:hAnsi="Times New Roman" w:cs="Times New Roman" w:eastAsia="Times New Roman"/>
                <w:i/>
                <w:iCs/>
                <w:sz w:val="28"/>
                <w:szCs w:val="28"/>
              </w:rPr>
              <w:t>sources</w:t>
            </w:r>
            <w:r>
              <w:rPr>
                <w:rFonts w:ascii="Times New Roman" w:hAnsi="Times New Roman" w:cs="Times New Roman" w:eastAsia="Times New Roman"/>
                <w:i/>
                <w:iCs/>
                <w:sz w:val="28"/>
                <w:szCs w:val="28"/>
              </w:rPr>
              <w:t xml:space="preserve">: List </w:t>
            </w:r>
            <w:r w:rsidR="00962418">
              <w:rPr>
                <w:rFonts w:ascii="Times New Roman" w:hAnsi="Times New Roman" w:cs="Times New Roman" w:eastAsia="Times New Roman"/>
                <w:i/>
                <w:iCs/>
                <w:sz w:val="28"/>
                <w:szCs w:val="28"/>
              </w:rPr>
              <w:t>the online and/or non-online legal database where the material may be found</w:t>
            </w:r>
          </w:p>
          <w:p w14:paraId="74FF936B" w14:textId="77777777" w:rsidR="001C7518" w:rsidRDefault="001C7518" w:rsidP="00C154F1">
            <w:pPr>
              <w:jc w:val="both"/>
              <w:rPr>
                <w:rFonts w:ascii="Times New Roman" w:hAnsi="Times New Roman" w:cs="Times New Roman" w:eastAsia="Times New Roman"/>
                <w:i/>
                <w:iCs/>
                <w:sz w:val="28"/>
                <w:szCs w:val="28"/>
              </w:rPr>
            </w:pPr>
          </w:p>
          <w:p w14:paraId="0377BEF8" w14:textId="581DF1CC" w:rsidR="001C7518" w:rsidRDefault="001C7518" w:rsidP="00C154F1">
            <w:pPr>
              <w:jc w:val="both"/>
              <w:rPr>
                <w:rFonts w:ascii="Times New Roman" w:hAnsi="Times New Roman" w:cs="Times New Roman" w:eastAsia="Times New Roman"/>
                <w:sz w:val="28"/>
                <w:szCs w:val="28"/>
              </w:rPr>
            </w:pPr>
            <w:r>
              <w:rPr>
                <w:rFonts w:ascii="Times New Roman" w:hAnsi="Times New Roman" w:cs="Times New Roman" w:eastAsia="Times New Roman"/>
                <w:i/>
                <w:iCs/>
                <w:sz w:val="28"/>
                <w:szCs w:val="28"/>
              </w:rPr>
              <w:t xml:space="preserve">For secondary </w:t>
            </w:r>
            <w:r w:rsidR="00FD0C30">
              <w:rPr>
                <w:rFonts w:ascii="Times New Roman" w:hAnsi="Times New Roman" w:cs="Times New Roman" w:eastAsia="Times New Roman"/>
                <w:i/>
                <w:iCs/>
                <w:sz w:val="28"/>
                <w:szCs w:val="28"/>
              </w:rPr>
              <w:t>sources</w:t>
            </w:r>
            <w:r>
              <w:rPr>
                <w:rFonts w:ascii="Times New Roman" w:hAnsi="Times New Roman" w:cs="Times New Roman" w:eastAsia="Times New Roman"/>
                <w:i/>
                <w:iCs/>
                <w:sz w:val="28"/>
                <w:szCs w:val="28"/>
              </w:rPr>
              <w:t xml:space="preserve">: </w:t>
            </w:r>
            <w:r w:rsidR="00962418">
              <w:rPr>
                <w:rFonts w:ascii="Times New Roman" w:hAnsi="Times New Roman" w:cs="Times New Roman" w:eastAsia="Times New Roman"/>
                <w:i/>
                <w:iCs/>
                <w:sz w:val="28"/>
                <w:szCs w:val="28"/>
              </w:rPr>
              <w:t>Leave blank</w:t>
            </w:r>
          </w:p>
        </w:tc>
      </w:tr>
      <w:tr w:rsidR="00C9537E" w:rsidRPr="00962418" w14:paraId="28E31327" w14:textId="77777777" w:rsidTr="00962418">
        <w:tc>
          <w:tcPr>
            <w:tcW w:w="760" w:type="dxa"/>
          </w:tcPr>
          <w:p w14:paraId="4258AC3E" w14:textId="77777777" w:rsidR="00C9537E" w:rsidRPr="00962418" w:rsidRDefault="00C9537E" w:rsidP="00C154F1">
            <w:pPr>
              <w:jc w:val="both"/>
              <w:rPr>
                <w:rFonts w:ascii="Times New Roman" w:hAnsi="Times New Roman" w:cs="Times New Roman" w:eastAsia="Times New Roman"/>
                <w:b/>
                <w:bCs/>
                <w:sz w:val="28"/>
                <w:szCs w:val="28"/>
              </w:rPr>
            </w:pPr>
          </w:p>
        </w:tc>
        <w:tc>
          <w:tcPr>
            <w:tcW w:w="16425" w:type="dxa"/>
            <w:gridSpan w:val="3"/>
          </w:tcPr>
          <w:p w14:paraId="6F12375E" w14:textId="510F22F3" w:rsidR="00C9537E" w:rsidRPr="00962418" w:rsidRDefault="00C9537E" w:rsidP="00C9537E">
            <w:pPr>
              <w:jc w:val="center"/>
              <w:rPr>
                <w:rFonts w:ascii="Times New Roman" w:hAnsi="Times New Roman" w:cs="Times New Roman" w:eastAsia="Times New Roman"/>
                <w:b/>
                <w:bCs/>
                <w:sz w:val="28"/>
                <w:szCs w:val="28"/>
              </w:rPr>
            </w:pPr>
            <w:r w:rsidRPr="00962418">
              <w:rPr>
                <w:rFonts w:ascii="Times New Roman" w:hAnsi="Times New Roman" w:cs="Times New Roman" w:eastAsia="Times New Roman"/>
                <w:b/>
                <w:bCs/>
                <w:sz w:val="28"/>
                <w:szCs w:val="28"/>
              </w:rPr>
              <w:t xml:space="preserve">PRIMARY </w:t>
            </w:r>
            <w:r w:rsidR="008C1B6A">
              <w:rPr>
                <w:rFonts w:ascii="Times New Roman" w:hAnsi="Times New Roman" w:cs="Times New Roman" w:eastAsia="Times New Roman"/>
                <w:b/>
                <w:bCs/>
                <w:sz w:val="28"/>
                <w:szCs w:val="28"/>
              </w:rPr>
              <w:t>SOURCES</w:t>
            </w:r>
          </w:p>
        </w:tc>
      </w:tr>
      <w:tr w:rsidR="00C9537E" w:rsidRPr="00962418" w14:paraId="28E31327" w14:textId="77777777" w:rsidTr="00962418">
        <w:trPr>
          <w:cantSplit/>
        </w:trPr>
        <w:tc>
          <w:tcPr>
            <w:tcW w:w="760" w:type="dxa"/>
          </w:tcPr>
          <w:p>
            <w:pPr>
              <w:keepNext/>
              <w:spacing w:before="0" w:after="0" w:line="240" w:lineRule="auto"/>
              <w:jc w:val="left"/>
            </w:pPr>
          </w:p>
        </w:tc>
        <w:tc>
          <w:tcPr>
            <w:tcW w:w="16425" w:type="dxa"/>
            <w:gridSpan w:val="3"/>
          </w:tcPr>
          <w:p>
            <w:pPr>
              <w:keepNext/>
              <w:spacing w:before="0" w:after="0" w:line="240" w:lineRule="auto"/>
              <w:jc w:val="both"/>
            </w:pPr>
            <w:r>
              <w:rPr>
                <w:rFonts w:ascii="Times New Roman" w:hAnsi="Times New Roman" w:cs="Times New Roman" w:eastAsia="Times New Roman"/>
                <w:b/>
                <w:bCs/>
                <w:sz w:val="28"/>
                <w:szCs w:val="28"/>
              </w:rPr>
              <w:t xml:space="preserve">FIRST LEVEL: THE CONSTITUTION.</w:t>
            </w:r>
            <w:r>
              <w:rPr>
                <w:rFonts w:ascii="Times New Roman" w:hAnsi="Times New Roman" w:cs="Times New Roman" w:eastAsia="Times New Roman"/>
                <w:sz w:val="28"/>
                <w:szCs w:val="28"/>
              </w:rPr>
              <w:t xml:space="preserve"> The fundamental law, to which all other laws, acts, orders, and regulations must conform (</w:t>
            </w:r>
            <w:r>
              <w:rPr>
                <w:rFonts w:ascii="Times New Roman" w:hAnsi="Times New Roman" w:cs="Times New Roman" w:eastAsia="Times New Roman"/>
                <w:smallCaps/>
                <w:sz w:val="28"/>
                <w:szCs w:val="28"/>
              </w:rPr>
              <w:t xml:space="preserve">Civil Code</w:t>
            </w:r>
            <w:r>
              <w:rPr>
                <w:rFonts w:ascii="Times New Roman" w:hAnsi="Times New Roman" w:cs="Times New Roman" w:eastAsia="Times New Roman"/>
                <w:sz w:val="28"/>
                <w:szCs w:val="28"/>
              </w:rPr>
              <w:t xml:space="preserve">, art. 7).</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A.</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1987 CONSTITUTION OF THE REPUBLIC OF THE PHILIPPINES </w:t>
            </w:r>
            <w:r>
              <w:rPr>
                <w:rFonts w:ascii="Times New Roman" w:hAnsi="Times New Roman" w:cs="Times New Roman" w:eastAsia="Times New Roman"/>
                <w:b/>
                <w:bCs/>
                <w:i/>
                <w:iCs/>
                <w:sz w:val="28"/>
                <w:szCs w:val="28"/>
              </w:rPr>
              <w:t xml:space="preserve">(highest in the hierarchy of laws)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II, sec. 2.</w:t>
            </w:r>
          </w:p>
          <w:p>
            <w:pPr>
              <w:spacing w:before="60" w:after="0" w:line="240" w:lineRule="auto"/>
              <w:jc w:val="both"/>
            </w:pPr>
            <w:r>
              <w:rPr>
                <w:rFonts w:ascii="Times New Roman" w:hAnsi="Times New Roman" w:cs="Times New Roman" w:eastAsia="Times New Roman"/>
                <w:sz w:val="28"/>
                <w:szCs w:val="28"/>
              </w:rPr>
              <w:t xml:space="preserve">By adopting the generally accepted principles of international law as part of the law of the land, this incorporation clause is the gateway through which international human rights norms on equality and family life are invoked in the same-sex marriage debate.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II, sec. 6.</w:t>
            </w:r>
          </w:p>
          <w:p>
            <w:pPr>
              <w:spacing w:before="60" w:after="0" w:line="240" w:lineRule="auto"/>
              <w:jc w:val="both"/>
            </w:pPr>
            <w:r>
              <w:rPr>
                <w:rFonts w:ascii="Times New Roman" w:hAnsi="Times New Roman" w:cs="Times New Roman" w:eastAsia="Times New Roman"/>
                <w:sz w:val="28"/>
                <w:szCs w:val="28"/>
              </w:rPr>
              <w:t xml:space="preserve">Declares the separation of Church and State inviolable, a principle invoked by those who argue that religious conceptions of marriage cannot by themselves justify withholding civil recognition from same-sex couples.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II, sec. 11.</w:t>
            </w:r>
          </w:p>
          <w:p>
            <w:pPr>
              <w:spacing w:before="60" w:after="0" w:line="240" w:lineRule="auto"/>
              <w:jc w:val="both"/>
            </w:pPr>
            <w:r>
              <w:rPr>
                <w:rFonts w:ascii="Times New Roman" w:hAnsi="Times New Roman" w:cs="Times New Roman" w:eastAsia="Times New Roman"/>
                <w:sz w:val="28"/>
                <w:szCs w:val="28"/>
              </w:rPr>
              <w:t xml:space="preserve">Commits the State to value the dignity of every human person and to guarantee full respect for human rights, a policy cited by advocates of legal recognition for same-sex partnerships.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II, sec. 12.</w:t>
            </w:r>
          </w:p>
          <w:p>
            <w:pPr>
              <w:spacing w:before="60" w:after="0" w:line="240" w:lineRule="auto"/>
              <w:jc w:val="both"/>
            </w:pPr>
            <w:r>
              <w:rPr>
                <w:rFonts w:ascii="Times New Roman" w:hAnsi="Times New Roman" w:cs="Times New Roman" w:eastAsia="Times New Roman"/>
                <w:sz w:val="28"/>
                <w:szCs w:val="28"/>
              </w:rPr>
              <w:t xml:space="preserve">Recognizes the sanctity of family life and protects the family as a basic autonomous social institution, framing the question of whether households formed by same-sex partners fall within the State’s protection of families.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III, sec. 1.</w:t>
            </w:r>
          </w:p>
          <w:p>
            <w:pPr>
              <w:spacing w:before="60" w:after="0" w:line="240" w:lineRule="auto"/>
              <w:jc w:val="both"/>
            </w:pPr>
            <w:r>
              <w:rPr>
                <w:rFonts w:ascii="Times New Roman" w:hAnsi="Times New Roman" w:cs="Times New Roman" w:eastAsia="Times New Roman"/>
                <w:sz w:val="28"/>
                <w:szCs w:val="28"/>
              </w:rPr>
              <w:t xml:space="preserve">The due process and equal protection clauses are the principal constitutional grounds invoked in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 against the Family Code’s restriction of marriage to a man and a woman, and were applied in </w:t>
            </w:r>
            <w:r>
              <w:rPr>
                <w:rFonts w:ascii="Times New Roman" w:hAnsi="Times New Roman" w:cs="Times New Roman" w:eastAsia="Times New Roman"/>
                <w:i/>
                <w:iCs/>
                <w:sz w:val="28"/>
                <w:szCs w:val="28"/>
              </w:rPr>
              <w:t xml:space="preserve">Ang Ladlad</w:t>
            </w:r>
            <w:r>
              <w:rPr>
                <w:rFonts w:ascii="Times New Roman" w:hAnsi="Times New Roman" w:cs="Times New Roman" w:eastAsia="Times New Roman"/>
                <w:sz w:val="28"/>
                <w:szCs w:val="28"/>
              </w:rPr>
              <w:t xml:space="preserve"> to strike down discrimination against an LGBT group.</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III, sec. 5.</w:t>
            </w:r>
          </w:p>
          <w:p>
            <w:pPr>
              <w:spacing w:before="60" w:after="0" w:line="240" w:lineRule="auto"/>
              <w:jc w:val="both"/>
            </w:pPr>
            <w:r>
              <w:rPr>
                <w:rFonts w:ascii="Times New Roman" w:hAnsi="Times New Roman" w:cs="Times New Roman" w:eastAsia="Times New Roman"/>
                <w:sz w:val="28"/>
                <w:szCs w:val="28"/>
              </w:rPr>
              <w:t xml:space="preserve">Guarantees the free exercise of religion and prohibits its establishment, provisions relied upon in </w:t>
            </w:r>
            <w:r>
              <w:rPr>
                <w:rFonts w:ascii="Times New Roman" w:hAnsi="Times New Roman" w:cs="Times New Roman" w:eastAsia="Times New Roman"/>
                <w:i/>
                <w:iCs/>
                <w:sz w:val="28"/>
                <w:szCs w:val="28"/>
              </w:rPr>
              <w:t xml:space="preserve">Ang Ladlad</w:t>
            </w:r>
            <w:r>
              <w:rPr>
                <w:rFonts w:ascii="Times New Roman" w:hAnsi="Times New Roman" w:cs="Times New Roman" w:eastAsia="Times New Roman"/>
                <w:sz w:val="28"/>
                <w:szCs w:val="28"/>
              </w:rPr>
              <w:t xml:space="preserve"> against religion-based exclusion and invoked in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 by a church that sought to solemnize same-sex unions.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XIII, sec. 18.</w:t>
            </w:r>
          </w:p>
          <w:p>
            <w:pPr>
              <w:spacing w:before="60" w:after="0" w:line="240" w:lineRule="auto"/>
              <w:jc w:val="both"/>
            </w:pPr>
            <w:r>
              <w:rPr>
                <w:rFonts w:ascii="Times New Roman" w:hAnsi="Times New Roman" w:cs="Times New Roman" w:eastAsia="Times New Roman"/>
                <w:sz w:val="28"/>
                <w:szCs w:val="28"/>
              </w:rPr>
              <w:t xml:space="preserve">Empowers the Commission on Human Rights to investigate human rights violations and to recommend measures to Congress, the constitutional basis of its advocacy for SOGIESC equality and civil partnership legislation.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8.</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XV, sec. 1.</w:t>
            </w:r>
          </w:p>
          <w:p>
            <w:pPr>
              <w:spacing w:before="60" w:after="0" w:line="240" w:lineRule="auto"/>
              <w:jc w:val="both"/>
            </w:pPr>
            <w:r>
              <w:rPr>
                <w:rFonts w:ascii="Times New Roman" w:hAnsi="Times New Roman" w:cs="Times New Roman" w:eastAsia="Times New Roman"/>
                <w:sz w:val="28"/>
                <w:szCs w:val="28"/>
              </w:rPr>
              <w:t xml:space="preserve">Recognizes the Filipino family as the foundation of the nation without defining “family” by reference to the sex of its members.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9.</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XV, sec. 2.</w:t>
            </w:r>
          </w:p>
          <w:p>
            <w:pPr>
              <w:spacing w:before="60" w:after="0" w:line="240" w:lineRule="auto"/>
              <w:jc w:val="both"/>
            </w:pPr>
            <w:r>
              <w:rPr>
                <w:rFonts w:ascii="Times New Roman" w:hAnsi="Times New Roman" w:cs="Times New Roman" w:eastAsia="Times New Roman"/>
                <w:sz w:val="28"/>
                <w:szCs w:val="28"/>
              </w:rPr>
              <w:t xml:space="preserve">Declares marriage an inviolable social institution and the foundation of the family; as the Supreme Court observed in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 the Constitution does not define or restrict marriage on the basis of sex, gender, sexual orientation, or gender identity or expression.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10.</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XV, sec. 3, par. (1).</w:t>
            </w:r>
          </w:p>
          <w:p>
            <w:pPr>
              <w:spacing w:before="60" w:after="0" w:line="240" w:lineRule="auto"/>
              <w:jc w:val="both"/>
            </w:pPr>
            <w:r>
              <w:rPr>
                <w:rFonts w:ascii="Times New Roman" w:hAnsi="Times New Roman" w:cs="Times New Roman" w:eastAsia="Times New Roman"/>
                <w:sz w:val="28"/>
                <w:szCs w:val="28"/>
              </w:rPr>
              <w:t xml:space="preserve">Protects the right of spouses to found a family in accordance with their religious convictions, a right that presupposes a legally recognized marriage which same-sex couples presently cannot contract.</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C9537E" w:rsidRPr="00962418" w14:paraId="28E31327" w14:textId="77777777" w:rsidTr="00962418">
        <w:trPr>
          <w:cantSplit/>
        </w:trPr>
        <w:tc>
          <w:tcPr>
            <w:tcW w:w="760" w:type="dxa"/>
          </w:tcPr>
          <w:p>
            <w:pPr>
              <w:keepNext/>
              <w:spacing w:before="0" w:after="0" w:line="240" w:lineRule="auto"/>
              <w:jc w:val="left"/>
            </w:pPr>
          </w:p>
        </w:tc>
        <w:tc>
          <w:tcPr>
            <w:tcW w:w="16425" w:type="dxa"/>
            <w:gridSpan w:val="3"/>
          </w:tcPr>
          <w:p>
            <w:pPr>
              <w:keepNext/>
              <w:spacing w:before="0" w:after="0" w:line="240" w:lineRule="auto"/>
              <w:jc w:val="both"/>
            </w:pPr>
            <w:r>
              <w:rPr>
                <w:rFonts w:ascii="Times New Roman" w:hAnsi="Times New Roman" w:cs="Times New Roman" w:eastAsia="Times New Roman"/>
                <w:b/>
                <w:bCs/>
                <w:sz w:val="28"/>
                <w:szCs w:val="28"/>
              </w:rPr>
              <w:t xml:space="preserve">SECOND LEVEL: STATUTES AND SOURCES OF EQUAL RANK (B to E are on the same level).</w:t>
            </w:r>
            <w:r>
              <w:rPr>
                <w:rFonts w:ascii="Times New Roman" w:hAnsi="Times New Roman" w:cs="Times New Roman" w:eastAsia="Times New Roman"/>
                <w:sz w:val="28"/>
                <w:szCs w:val="28"/>
              </w:rPr>
              <w:t xml:space="preserve"> Treaties and generally accepted principles of international law have equal standing with statutes (</w:t>
            </w: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II, sec. 2; Secretary of Justice v. Lantion, G.R. No. 139465, January 18, 2000); rules promulgated by the Supreme Court have the force of law (</w:t>
            </w:r>
            <w:r>
              <w:rPr>
                <w:rFonts w:ascii="Times New Roman" w:hAnsi="Times New Roman" w:cs="Times New Roman" w:eastAsia="Times New Roman"/>
                <w:smallCaps/>
                <w:sz w:val="28"/>
                <w:szCs w:val="28"/>
              </w:rPr>
              <w:t xml:space="preserve">Const.</w:t>
            </w:r>
            <w:r>
              <w:rPr>
                <w:rFonts w:ascii="Times New Roman" w:hAnsi="Times New Roman" w:cs="Times New Roman" w:eastAsia="Times New Roman"/>
                <w:sz w:val="28"/>
                <w:szCs w:val="28"/>
              </w:rPr>
              <w:t xml:space="preserve"> art. VIII, sec. 5 (5)); and judicial decisions applying or interpreting the laws or the Constitution form part of the legal system (</w:t>
            </w:r>
            <w:r>
              <w:rPr>
                <w:rFonts w:ascii="Times New Roman" w:hAnsi="Times New Roman" w:cs="Times New Roman" w:eastAsia="Times New Roman"/>
                <w:smallCaps/>
                <w:sz w:val="28"/>
                <w:szCs w:val="28"/>
              </w:rPr>
              <w:t xml:space="preserve">Civil Code</w:t>
            </w:r>
            <w:r>
              <w:rPr>
                <w:rFonts w:ascii="Times New Roman" w:hAnsi="Times New Roman" w:cs="Times New Roman" w:eastAsia="Times New Roman"/>
                <w:sz w:val="28"/>
                <w:szCs w:val="28"/>
              </w:rPr>
              <w:t xml:space="preserve">, art. 8). Non-binding international instruments and views of treaty bodies under C are persuasive only.</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B.</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STATUTES (CODES, PRESIDENTIAL DECREES, AND REPUBLIC ACTS)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Family Code</w:t>
            </w:r>
            <w:r>
              <w:rPr>
                <w:rFonts w:ascii="Times New Roman" w:hAnsi="Times New Roman" w:cs="Times New Roman" w:eastAsia="Times New Roman"/>
                <w:sz w:val="28"/>
                <w:szCs w:val="28"/>
              </w:rPr>
              <w:t xml:space="preserve">, art. 1.</w:t>
            </w:r>
          </w:p>
          <w:p>
            <w:pPr>
              <w:spacing w:before="60" w:after="0" w:line="240" w:lineRule="auto"/>
              <w:jc w:val="both"/>
            </w:pPr>
            <w:r>
              <w:rPr>
                <w:rFonts w:ascii="Times New Roman" w:hAnsi="Times New Roman" w:cs="Times New Roman" w:eastAsia="Times New Roman"/>
                <w:sz w:val="28"/>
                <w:szCs w:val="28"/>
              </w:rPr>
              <w:t xml:space="preserve">Defines marriage as “a special contract of permanent union between a man and a woman,” the core statutory provision excluding same-sex couples from marriage and the main target of the petition in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Family Code</w:t>
            </w:r>
            <w:r>
              <w:rPr>
                <w:rFonts w:ascii="Times New Roman" w:hAnsi="Times New Roman" w:cs="Times New Roman" w:eastAsia="Times New Roman"/>
                <w:sz w:val="28"/>
                <w:szCs w:val="28"/>
              </w:rPr>
              <w:t xml:space="preserve">, art. 2 (1).</w:t>
            </w:r>
          </w:p>
          <w:p>
            <w:pPr>
              <w:spacing w:before="60" w:after="0" w:line="240" w:lineRule="auto"/>
              <w:jc w:val="both"/>
            </w:pPr>
            <w:r>
              <w:rPr>
                <w:rFonts w:ascii="Times New Roman" w:hAnsi="Times New Roman" w:cs="Times New Roman" w:eastAsia="Times New Roman"/>
                <w:sz w:val="28"/>
                <w:szCs w:val="28"/>
              </w:rPr>
              <w:t xml:space="preserve">Requires, as an essential requisite of marriage, the legal capacity of the contracting parties “who must be a male and a female,” the absence of which renders a marriage void </w:t>
            </w:r>
            <w:r>
              <w:rPr>
                <w:rFonts w:ascii="Times New Roman" w:hAnsi="Times New Roman" w:cs="Times New Roman" w:eastAsia="Times New Roman"/>
                <w:i/>
                <w:iCs/>
                <w:sz w:val="28"/>
                <w:szCs w:val="28"/>
              </w:rPr>
              <w:t xml:space="preserve">ab initio</w:t>
            </w:r>
            <w:r>
              <w:rPr>
                <w:rFonts w:ascii="Times New Roman" w:hAnsi="Times New Roman" w:cs="Times New Roman" w:eastAsia="Times New Roman"/>
                <w:sz w:val="28"/>
                <w:szCs w:val="28"/>
              </w:rPr>
              <w:t xml:space="preserve"> under Article 4.</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Family Code</w:t>
            </w:r>
            <w:r>
              <w:rPr>
                <w:rFonts w:ascii="Times New Roman" w:hAnsi="Times New Roman" w:cs="Times New Roman" w:eastAsia="Times New Roman"/>
                <w:sz w:val="28"/>
                <w:szCs w:val="28"/>
              </w:rPr>
              <w:t xml:space="preserve">, art. 26, par. 1.</w:t>
            </w:r>
          </w:p>
          <w:p>
            <w:pPr>
              <w:spacing w:before="60" w:after="0" w:line="240" w:lineRule="auto"/>
              <w:jc w:val="both"/>
            </w:pPr>
            <w:r>
              <w:rPr>
                <w:rFonts w:ascii="Times New Roman" w:hAnsi="Times New Roman" w:cs="Times New Roman" w:eastAsia="Times New Roman"/>
                <w:sz w:val="28"/>
                <w:szCs w:val="28"/>
              </w:rPr>
              <w:t xml:space="preserve">Recognizes as valid in the Philippines marriages validly solemnized abroad, subject to listed exceptions, the provision on which arguments for recognizing same-sex marriages of Filipinos celebrated abroad are built.</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Family Code</w:t>
            </w:r>
            <w:r>
              <w:rPr>
                <w:rFonts w:ascii="Times New Roman" w:hAnsi="Times New Roman" w:cs="Times New Roman" w:eastAsia="Times New Roman"/>
                <w:sz w:val="28"/>
                <w:szCs w:val="28"/>
              </w:rPr>
              <w:t xml:space="preserve">, art. 45 (3), in relation to art. 46 (4).</w:t>
            </w:r>
          </w:p>
          <w:p>
            <w:pPr>
              <w:spacing w:before="60" w:after="0" w:line="240" w:lineRule="auto"/>
              <w:jc w:val="both"/>
            </w:pPr>
            <w:r>
              <w:rPr>
                <w:rFonts w:ascii="Times New Roman" w:hAnsi="Times New Roman" w:cs="Times New Roman" w:eastAsia="Times New Roman"/>
                <w:sz w:val="28"/>
                <w:szCs w:val="28"/>
              </w:rPr>
              <w:t xml:space="preserve">Treats the concealment of “homosexuality or lesbianism existing at the time of the marriage” as fraud that renders a marriage voidable, a provision assailed in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 and applied in </w:t>
            </w:r>
            <w:r>
              <w:rPr>
                <w:rFonts w:ascii="Times New Roman" w:hAnsi="Times New Roman" w:cs="Times New Roman" w:eastAsia="Times New Roman"/>
                <w:i/>
                <w:iCs/>
                <w:sz w:val="28"/>
                <w:szCs w:val="28"/>
              </w:rPr>
              <w:t xml:space="preserve">Salva-Roldan v. Roldan</w:t>
            </w:r>
            <w:r>
              <w:rPr>
                <w:rFonts w:ascii="Times New Roman" w:hAnsi="Times New Roman" w:cs="Times New Roman" w:eastAsia="Times New Roman"/>
                <w:sz w:val="28"/>
                <w:szCs w:val="28"/>
              </w:rPr>
              <w:t xml:space="preserv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Family Code</w:t>
            </w:r>
            <w:r>
              <w:rPr>
                <w:rFonts w:ascii="Times New Roman" w:hAnsi="Times New Roman" w:cs="Times New Roman" w:eastAsia="Times New Roman"/>
                <w:sz w:val="28"/>
                <w:szCs w:val="28"/>
              </w:rPr>
              <w:t xml:space="preserve">, art. 55 (6).</w:t>
            </w:r>
          </w:p>
          <w:p>
            <w:pPr>
              <w:spacing w:before="60" w:after="0" w:line="240" w:lineRule="auto"/>
              <w:jc w:val="both"/>
            </w:pPr>
            <w:r>
              <w:rPr>
                <w:rFonts w:ascii="Times New Roman" w:hAnsi="Times New Roman" w:cs="Times New Roman" w:eastAsia="Times New Roman"/>
                <w:sz w:val="28"/>
                <w:szCs w:val="28"/>
              </w:rPr>
              <w:t xml:space="preserve">Makes the “lesbianism or homosexuality of the respondent” a ground for legal separation, a provision likewise assailed in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 as discriminatory against LGBT persons.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Family Code</w:t>
            </w:r>
            <w:r>
              <w:rPr>
                <w:rFonts w:ascii="Times New Roman" w:hAnsi="Times New Roman" w:cs="Times New Roman" w:eastAsia="Times New Roman"/>
                <w:sz w:val="28"/>
                <w:szCs w:val="28"/>
              </w:rPr>
              <w:t xml:space="preserve">, art. 148.</w:t>
            </w:r>
          </w:p>
          <w:p>
            <w:pPr>
              <w:spacing w:before="60" w:after="0" w:line="240" w:lineRule="auto"/>
              <w:jc w:val="both"/>
            </w:pPr>
            <w:r>
              <w:rPr>
                <w:rFonts w:ascii="Times New Roman" w:hAnsi="Times New Roman" w:cs="Times New Roman" w:eastAsia="Times New Roman"/>
                <w:sz w:val="28"/>
                <w:szCs w:val="28"/>
              </w:rPr>
              <w:t xml:space="preserve">Governs property relations in cohabitation not covered by Article 147, recognizing co-ownership only in proportion to actual joint contributions, the rule the Supreme Court applied to same-sex partners in </w:t>
            </w:r>
            <w:r>
              <w:rPr>
                <w:rFonts w:ascii="Times New Roman" w:hAnsi="Times New Roman" w:cs="Times New Roman" w:eastAsia="Times New Roman"/>
                <w:i/>
                <w:iCs/>
                <w:sz w:val="28"/>
                <w:szCs w:val="28"/>
              </w:rPr>
              <w:t xml:space="preserve">Josef v. Ursua</w:t>
            </w:r>
            <w:r>
              <w:rPr>
                <w:rFonts w:ascii="Times New Roman" w:hAnsi="Times New Roman" w:cs="Times New Roman" w:eastAsia="Times New Roman"/>
                <w:sz w:val="28"/>
                <w:szCs w:val="28"/>
              </w:rPr>
              <w:t xml:space="preserv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Civil Code</w:t>
            </w:r>
            <w:r>
              <w:rPr>
                <w:rFonts w:ascii="Times New Roman" w:hAnsi="Times New Roman" w:cs="Times New Roman" w:eastAsia="Times New Roman"/>
                <w:sz w:val="28"/>
                <w:szCs w:val="28"/>
              </w:rPr>
              <w:t xml:space="preserve">, art. 15.</w:t>
            </w:r>
          </w:p>
          <w:p>
            <w:pPr>
              <w:spacing w:before="60" w:after="0" w:line="240" w:lineRule="auto"/>
              <w:jc w:val="both"/>
            </w:pPr>
            <w:r>
              <w:rPr>
                <w:rFonts w:ascii="Times New Roman" w:hAnsi="Times New Roman" w:cs="Times New Roman" w:eastAsia="Times New Roman"/>
                <w:sz w:val="28"/>
                <w:szCs w:val="28"/>
              </w:rPr>
              <w:t xml:space="preserve">Under the nationality principle, laws on family rights and duties and on the status and legal capacity of persons bind Filipinos even abroad, which bears on whether a same-sex marriage contracted by Filipinos in another country is valid in the Philippines.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8.</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Civil Code</w:t>
            </w:r>
            <w:r>
              <w:rPr>
                <w:rFonts w:ascii="Times New Roman" w:hAnsi="Times New Roman" w:cs="Times New Roman" w:eastAsia="Times New Roman"/>
                <w:sz w:val="28"/>
                <w:szCs w:val="28"/>
              </w:rPr>
              <w:t xml:space="preserve">, art. 17, par. 3.</w:t>
            </w:r>
          </w:p>
          <w:p>
            <w:pPr>
              <w:spacing w:before="60" w:after="0" w:line="240" w:lineRule="auto"/>
              <w:jc w:val="both"/>
            </w:pPr>
            <w:r>
              <w:rPr>
                <w:rFonts w:ascii="Times New Roman" w:hAnsi="Times New Roman" w:cs="Times New Roman" w:eastAsia="Times New Roman"/>
                <w:sz w:val="28"/>
                <w:szCs w:val="28"/>
              </w:rPr>
              <w:t xml:space="preserve">Provides that prohibitive laws concerning persons, and those involving public order, public policy, and good customs, are not rendered ineffective by foreign laws or judgments, a potential limit on recognizing foreign same-sex marriages of Filipinos.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9.</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Rev. Pen. Code</w:t>
            </w:r>
            <w:r>
              <w:rPr>
                <w:rFonts w:ascii="Times New Roman" w:hAnsi="Times New Roman" w:cs="Times New Roman" w:eastAsia="Times New Roman"/>
                <w:sz w:val="28"/>
                <w:szCs w:val="28"/>
              </w:rPr>
              <w:t xml:space="preserve">, art. 352.</w:t>
            </w:r>
          </w:p>
          <w:p>
            <w:pPr>
              <w:spacing w:before="60" w:after="0" w:line="240" w:lineRule="auto"/>
              <w:jc w:val="both"/>
            </w:pPr>
            <w:r>
              <w:rPr>
                <w:rFonts w:ascii="Times New Roman" w:hAnsi="Times New Roman" w:cs="Times New Roman" w:eastAsia="Times New Roman"/>
                <w:sz w:val="28"/>
                <w:szCs w:val="28"/>
              </w:rPr>
              <w:t xml:space="preserve">Penalizes priests, ministers, and civil authorities who perform or authorize any illegal marriage ceremony, exposing officiants of same-sex unions to possible criminal liability.</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10.</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Muslim Code</w:t>
            </w:r>
            <w:r>
              <w:rPr>
                <w:rFonts w:ascii="Times New Roman" w:hAnsi="Times New Roman" w:cs="Times New Roman" w:eastAsia="Times New Roman"/>
                <w:sz w:val="28"/>
                <w:szCs w:val="28"/>
              </w:rPr>
              <w:t xml:space="preserve">, arts. 14, 16.</w:t>
            </w:r>
          </w:p>
          <w:p>
            <w:pPr>
              <w:spacing w:before="60" w:after="0" w:line="240" w:lineRule="auto"/>
              <w:jc w:val="both"/>
            </w:pPr>
            <w:r>
              <w:rPr>
                <w:rFonts w:ascii="Times New Roman" w:hAnsi="Times New Roman" w:cs="Times New Roman" w:eastAsia="Times New Roman"/>
                <w:sz w:val="28"/>
                <w:szCs w:val="28"/>
              </w:rPr>
              <w:t xml:space="preserve">Defines marriage under Muslim personal law as both a civil contract and a social institution governed by the Code and the Shari’a, and confers capacity to marry on “any Muslim male” and “any Muslim female,” excluding same-sex unions among Filipino Muslims.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11.</w:t>
            </w:r>
          </w:p>
        </w:tc>
        <w:tc>
          <w:tcPr>
            <w:tcW w:w="9800" w:type="dxa"/>
          </w:tcPr>
          <w:p>
            <w:pPr>
              <w:spacing w:before="0" w:after="0" w:line="240" w:lineRule="auto"/>
              <w:jc w:val="left"/>
            </w:pPr>
            <w:r>
              <w:rPr>
                <w:rFonts w:ascii="Times New Roman" w:hAnsi="Times New Roman" w:cs="Times New Roman" w:eastAsia="Times New Roman"/>
                <w:sz w:val="28"/>
                <w:szCs w:val="28"/>
              </w:rPr>
              <w:t xml:space="preserve">Rep. Act No. 9262 (2004), sec. 3 (a).</w:t>
            </w:r>
          </w:p>
          <w:p>
            <w:pPr>
              <w:spacing w:before="60" w:after="0" w:line="240" w:lineRule="auto"/>
              <w:jc w:val="both"/>
            </w:pPr>
            <w:r>
              <w:rPr>
                <w:rFonts w:ascii="Times New Roman" w:hAnsi="Times New Roman" w:cs="Times New Roman" w:eastAsia="Times New Roman"/>
                <w:sz w:val="28"/>
                <w:szCs w:val="28"/>
              </w:rPr>
              <w:t xml:space="preserve">Defines violence against women and their children as acts committed by “any person” against a woman with whom the person has or had a sexual or dating relationship, language the Supreme Court has read to cover lesbian relationships.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12.</w:t>
            </w:r>
          </w:p>
        </w:tc>
        <w:tc>
          <w:tcPr>
            <w:tcW w:w="9800" w:type="dxa"/>
          </w:tcPr>
          <w:p>
            <w:pPr>
              <w:spacing w:before="0" w:after="0" w:line="240" w:lineRule="auto"/>
              <w:jc w:val="left"/>
            </w:pPr>
            <w:r>
              <w:rPr>
                <w:rFonts w:ascii="Times New Roman" w:hAnsi="Times New Roman" w:cs="Times New Roman" w:eastAsia="Times New Roman"/>
                <w:sz w:val="28"/>
                <w:szCs w:val="28"/>
              </w:rPr>
              <w:t xml:space="preserve">Rep. Act No. 9710 (2009), sec. 19.</w:t>
            </w:r>
          </w:p>
          <w:p>
            <w:pPr>
              <w:spacing w:before="60" w:after="0" w:line="240" w:lineRule="auto"/>
              <w:jc w:val="both"/>
            </w:pPr>
            <w:r>
              <w:rPr>
                <w:rFonts w:ascii="Times New Roman" w:hAnsi="Times New Roman" w:cs="Times New Roman" w:eastAsia="Times New Roman"/>
                <w:sz w:val="28"/>
                <w:szCs w:val="28"/>
              </w:rPr>
              <w:t xml:space="preserve">The Magna Carta of Women directs the State to eliminate discrimination against women in all matters relating to marriage and family relations, framing marital rights in terms of equality between women and men.</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13.</w:t>
            </w:r>
          </w:p>
        </w:tc>
        <w:tc>
          <w:tcPr>
            <w:tcW w:w="9800" w:type="dxa"/>
          </w:tcPr>
          <w:p>
            <w:pPr>
              <w:spacing w:before="0" w:after="0" w:line="240" w:lineRule="auto"/>
              <w:jc w:val="left"/>
            </w:pPr>
            <w:r>
              <w:rPr>
                <w:rFonts w:ascii="Times New Roman" w:hAnsi="Times New Roman" w:cs="Times New Roman" w:eastAsia="Times New Roman"/>
                <w:sz w:val="28"/>
                <w:szCs w:val="28"/>
              </w:rPr>
              <w:t xml:space="preserve">Rep. Act No. 11313 (2019), sec. 4.</w:t>
            </w:r>
          </w:p>
          <w:p>
            <w:pPr>
              <w:spacing w:before="60" w:after="0" w:line="240" w:lineRule="auto"/>
              <w:jc w:val="both"/>
            </w:pPr>
            <w:r>
              <w:rPr>
                <w:rFonts w:ascii="Times New Roman" w:hAnsi="Times New Roman" w:cs="Times New Roman" w:eastAsia="Times New Roman"/>
                <w:sz w:val="28"/>
                <w:szCs w:val="28"/>
              </w:rPr>
              <w:t xml:space="preserve">The Safe Spaces Act penalizes gender-based sexual harassment in streets and public spaces, expressly including “transphobic, homophobic and sexist slurs,” thereby protecting LGBT persons, including same-sex couples, from harassment in public.</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14.</w:t>
            </w:r>
          </w:p>
        </w:tc>
        <w:tc>
          <w:tcPr>
            <w:tcW w:w="9800" w:type="dxa"/>
          </w:tcPr>
          <w:p>
            <w:pPr>
              <w:spacing w:before="0" w:after="0" w:line="240" w:lineRule="auto"/>
              <w:jc w:val="left"/>
            </w:pPr>
            <w:r>
              <w:rPr>
                <w:rFonts w:ascii="Times New Roman" w:hAnsi="Times New Roman" w:cs="Times New Roman" w:eastAsia="Times New Roman"/>
                <w:sz w:val="28"/>
                <w:szCs w:val="28"/>
              </w:rPr>
              <w:t xml:space="preserve">Rep. Act No. 11199 (2019), sec. 8 (e), (k).</w:t>
            </w:r>
          </w:p>
          <w:p>
            <w:pPr>
              <w:spacing w:before="60" w:after="0" w:line="240" w:lineRule="auto"/>
              <w:jc w:val="both"/>
            </w:pPr>
            <w:r>
              <w:rPr>
                <w:rFonts w:ascii="Times New Roman" w:hAnsi="Times New Roman" w:cs="Times New Roman" w:eastAsia="Times New Roman"/>
                <w:sz w:val="28"/>
                <w:szCs w:val="28"/>
              </w:rPr>
              <w:t xml:space="preserve">Limits a Social Security System member’s dependents and primary beneficiaries to the legal spouse and children, so that a same-sex partner may receive death benefits only as a designated beneficiary in the absence of all legal dependents.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15.</w:t>
            </w:r>
          </w:p>
        </w:tc>
        <w:tc>
          <w:tcPr>
            <w:tcW w:w="9800" w:type="dxa"/>
          </w:tcPr>
          <w:p>
            <w:pPr>
              <w:spacing w:before="0" w:after="0" w:line="240" w:lineRule="auto"/>
              <w:jc w:val="left"/>
            </w:pPr>
            <w:r>
              <w:rPr>
                <w:rFonts w:ascii="Times New Roman" w:hAnsi="Times New Roman" w:cs="Times New Roman" w:eastAsia="Times New Roman"/>
                <w:sz w:val="28"/>
                <w:szCs w:val="28"/>
              </w:rPr>
              <w:t xml:space="preserve">Rep. Act No. 8291 (1997), sec. 2 (f)-(h).</w:t>
            </w:r>
          </w:p>
          <w:p>
            <w:pPr>
              <w:spacing w:before="60" w:after="0" w:line="240" w:lineRule="auto"/>
              <w:jc w:val="both"/>
            </w:pPr>
            <w:r>
              <w:rPr>
                <w:rFonts w:ascii="Times New Roman" w:hAnsi="Times New Roman" w:cs="Times New Roman" w:eastAsia="Times New Roman"/>
                <w:sz w:val="28"/>
                <w:szCs w:val="28"/>
              </w:rPr>
              <w:t xml:space="preserve">Defines the dependents and beneficiaries of GSIS members by reference to the legitimate or legal spouse, leaving same-sex partners of government employees outside the survivorship benefits available to married spouses.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16.</w:t>
            </w:r>
          </w:p>
        </w:tc>
        <w:tc>
          <w:tcPr>
            <w:tcW w:w="9800" w:type="dxa"/>
          </w:tcPr>
          <w:p>
            <w:pPr>
              <w:spacing w:before="0" w:after="0" w:line="240" w:lineRule="auto"/>
              <w:jc w:val="left"/>
            </w:pPr>
            <w:r>
              <w:rPr>
                <w:rFonts w:ascii="Times New Roman" w:hAnsi="Times New Roman" w:cs="Times New Roman" w:eastAsia="Times New Roman"/>
                <w:sz w:val="28"/>
                <w:szCs w:val="28"/>
              </w:rPr>
              <w:t xml:space="preserve">Rep. Act No. 11642 (2022), sec. 21.</w:t>
            </w:r>
          </w:p>
          <w:p>
            <w:pPr>
              <w:spacing w:before="60" w:after="0" w:line="240" w:lineRule="auto"/>
              <w:jc w:val="both"/>
            </w:pPr>
            <w:r>
              <w:rPr>
                <w:rFonts w:ascii="Times New Roman" w:hAnsi="Times New Roman" w:cs="Times New Roman" w:eastAsia="Times New Roman"/>
                <w:sz w:val="28"/>
                <w:szCs w:val="28"/>
              </w:rPr>
              <w:t xml:space="preserve">Enumerates who may adopt under the administrative adoption process; because same-sex unions are not legally recognized, same-sex partners may adopt only as individual adopters and not jointly as spouses.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17.</w:t>
            </w:r>
          </w:p>
        </w:tc>
        <w:tc>
          <w:tcPr>
            <w:tcW w:w="9800" w:type="dxa"/>
          </w:tcPr>
          <w:p>
            <w:pPr>
              <w:spacing w:before="0" w:after="0" w:line="240" w:lineRule="auto"/>
              <w:jc w:val="left"/>
            </w:pPr>
            <w:r>
              <w:rPr>
                <w:rFonts w:ascii="Times New Roman" w:hAnsi="Times New Roman" w:cs="Times New Roman" w:eastAsia="Times New Roman"/>
                <w:sz w:val="28"/>
                <w:szCs w:val="28"/>
              </w:rPr>
              <w:t xml:space="preserve">Rep. Act No. 10172 (2012), sec. 1.</w:t>
            </w:r>
          </w:p>
          <w:p>
            <w:pPr>
              <w:spacing w:before="60" w:after="0" w:line="240" w:lineRule="auto"/>
              <w:jc w:val="both"/>
            </w:pPr>
            <w:r>
              <w:rPr>
                <w:rFonts w:ascii="Times New Roman" w:hAnsi="Times New Roman" w:cs="Times New Roman" w:eastAsia="Times New Roman"/>
                <w:sz w:val="28"/>
                <w:szCs w:val="28"/>
              </w:rPr>
              <w:t xml:space="preserve">Allows the administrative correction of clerical or typographical errors in the sex entry of a birth certificate but not a change of sex, leaving intact the rule in </w:t>
            </w:r>
            <w:r>
              <w:rPr>
                <w:rFonts w:ascii="Times New Roman" w:hAnsi="Times New Roman" w:cs="Times New Roman" w:eastAsia="Times New Roman"/>
                <w:i/>
                <w:iCs/>
                <w:sz w:val="28"/>
                <w:szCs w:val="28"/>
              </w:rPr>
              <w:t xml:space="preserve">Silverio</w:t>
            </w:r>
            <w:r>
              <w:rPr>
                <w:rFonts w:ascii="Times New Roman" w:hAnsi="Times New Roman" w:cs="Times New Roman" w:eastAsia="Times New Roman"/>
                <w:sz w:val="28"/>
                <w:szCs w:val="28"/>
              </w:rPr>
              <w:t xml:space="preserve"> that bears on a person’s sex-based capacity to marry.</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Official Gazette; Supreme Court E-Library</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C.</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INTERNATIONAL LAW (CONVENTIONS, DECLARATIONS, AND DECISIONS OF INTERNATIONAL BODIES) </w:t>
            </w:r>
            <w:r>
              <w:rPr>
                <w:rFonts w:ascii="Times New Roman" w:hAnsi="Times New Roman" w:cs="Times New Roman" w:eastAsia="Times New Roman"/>
                <w:b/>
                <w:bCs/>
                <w:i/>
                <w:iCs/>
                <w:sz w:val="28"/>
                <w:szCs w:val="28"/>
              </w:rPr>
              <w:t xml:space="preserve">(same level as statutes)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International Covenant on Civil and Political Rights, December 19, 1966 (1976), 999 U.N.T.S. 171, art. 23.</w:t>
            </w:r>
          </w:p>
          <w:p>
            <w:pPr>
              <w:spacing w:before="60" w:after="0" w:line="240" w:lineRule="auto"/>
              <w:jc w:val="both"/>
            </w:pPr>
            <w:r>
              <w:rPr>
                <w:rFonts w:ascii="Times New Roman" w:hAnsi="Times New Roman" w:cs="Times New Roman" w:eastAsia="Times New Roman"/>
                <w:sz w:val="28"/>
                <w:szCs w:val="28"/>
              </w:rPr>
              <w:t xml:space="preserve">Protects the family and recognizes “the right of men and women of marriageable age to marry,” gendered wording that the Human Rights Committee in </w:t>
            </w:r>
            <w:r>
              <w:rPr>
                <w:rFonts w:ascii="Times New Roman" w:hAnsi="Times New Roman" w:cs="Times New Roman" w:eastAsia="Times New Roman"/>
                <w:i/>
                <w:iCs/>
                <w:sz w:val="28"/>
                <w:szCs w:val="28"/>
              </w:rPr>
              <w:t xml:space="preserve">Joslin</w:t>
            </w:r>
            <w:r>
              <w:rPr>
                <w:rFonts w:ascii="Times New Roman" w:hAnsi="Times New Roman" w:cs="Times New Roman" w:eastAsia="Times New Roman"/>
                <w:sz w:val="28"/>
                <w:szCs w:val="28"/>
              </w:rPr>
              <w:t xml:space="preserve"> read as not requiring States to open marriage to same-sex couples.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United Nations Treaty Collection (treaties.un.org); OHCHR website (ohchr.org)</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z w:val="28"/>
                <w:szCs w:val="28"/>
              </w:rPr>
              <w:t xml:space="preserve">International Covenant on Civil and Political Rights, December 19, 1966 (1976), 999 U.N.T.S. 171, arts. 2 (1), 17, 26.</w:t>
            </w:r>
          </w:p>
          <w:p>
            <w:pPr>
              <w:spacing w:before="60" w:after="0" w:line="240" w:lineRule="auto"/>
              <w:jc w:val="both"/>
            </w:pPr>
            <w:r>
              <w:rPr>
                <w:rFonts w:ascii="Times New Roman" w:hAnsi="Times New Roman" w:cs="Times New Roman" w:eastAsia="Times New Roman"/>
                <w:sz w:val="28"/>
                <w:szCs w:val="28"/>
              </w:rPr>
              <w:t xml:space="preserve">Guarantees non-discrimination, equality before the law, and protection against interference with privacy and family, which the Human Rights Committee has read to prohibit discrimination based on sexual orientation.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United Nations Treaty Collection (treaties.un.org); OHCHR website (ohchr.org)</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z w:val="28"/>
                <w:szCs w:val="28"/>
              </w:rPr>
              <w:t xml:space="preserve">International Covenant on Economic, Social and Cultural Rights, December 19, 1966 (1976), 993 U.N.T.S. 3, art. 10 (1).</w:t>
            </w:r>
          </w:p>
          <w:p>
            <w:pPr>
              <w:spacing w:before="60" w:after="0" w:line="240" w:lineRule="auto"/>
              <w:jc w:val="both"/>
            </w:pPr>
            <w:r>
              <w:rPr>
                <w:rFonts w:ascii="Times New Roman" w:hAnsi="Times New Roman" w:cs="Times New Roman" w:eastAsia="Times New Roman"/>
                <w:sz w:val="28"/>
                <w:szCs w:val="28"/>
              </w:rPr>
              <w:t xml:space="preserve">Accords “the widest possible protection and assistance” to the family and requires that marriage be entered into with the free consent of the intending spouses, without specifying the sex of the spouses.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United Nations Treaty Collection (treaties.un.org); OHCHR website (ohchr.org)</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z w:val="28"/>
                <w:szCs w:val="28"/>
              </w:rPr>
              <w:t xml:space="preserve">Convention on the Elimination of All Forms of Discrimination against Women, July 15, 1980 (1981), 1249 U.N.T.S. 13, art. 16.</w:t>
            </w:r>
          </w:p>
          <w:p>
            <w:pPr>
              <w:spacing w:before="60" w:after="0" w:line="240" w:lineRule="auto"/>
              <w:jc w:val="both"/>
            </w:pPr>
            <w:r>
              <w:rPr>
                <w:rFonts w:ascii="Times New Roman" w:hAnsi="Times New Roman" w:cs="Times New Roman" w:eastAsia="Times New Roman"/>
                <w:sz w:val="28"/>
                <w:szCs w:val="28"/>
              </w:rPr>
              <w:t xml:space="preserve">Obliges States to eliminate discrimination against women in matters relating to marriage and family relations on a basis of equality of men and women, the source of the Magna Carta of Women’s marriage provisions.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United Nations Treaty Collection (treaties.un.org); OHCHR website (ohchr.org)</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z w:val="28"/>
                <w:szCs w:val="28"/>
              </w:rPr>
              <w:t xml:space="preserve">Universal Declaration of Human Rights, G.A. Res. 217 (III) A, U.N. Doc. A/RES/217(III), art. 16 (December 10, 1948).</w:t>
            </w:r>
          </w:p>
          <w:p>
            <w:pPr>
              <w:spacing w:before="60" w:after="0" w:line="240" w:lineRule="auto"/>
              <w:jc w:val="both"/>
            </w:pPr>
            <w:r>
              <w:rPr>
                <w:rFonts w:ascii="Times New Roman" w:hAnsi="Times New Roman" w:cs="Times New Roman" w:eastAsia="Times New Roman"/>
                <w:sz w:val="28"/>
                <w:szCs w:val="28"/>
              </w:rPr>
              <w:t xml:space="preserve">Declares that “men and women of full age” have the right to marry and to found a family, the model for the marriage provisions of later human rights treaties.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United Nations website (un.org); UN Digital 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sz w:val="28"/>
                <w:szCs w:val="28"/>
              </w:rPr>
              <w:t xml:space="preserve">Toonen v. Australia, Communication No. 488/1992, U.N. Doc. CCPR/C/50/D/488/1992 (Human Rights Comm., March 31, 1994).</w:t>
            </w:r>
          </w:p>
          <w:p>
            <w:pPr>
              <w:spacing w:before="60" w:after="0" w:line="240" w:lineRule="auto"/>
              <w:jc w:val="both"/>
            </w:pPr>
            <w:r>
              <w:rPr>
                <w:rFonts w:ascii="Times New Roman" w:hAnsi="Times New Roman" w:cs="Times New Roman" w:eastAsia="Times New Roman"/>
                <w:sz w:val="28"/>
                <w:szCs w:val="28"/>
              </w:rPr>
              <w:t xml:space="preserve">The Human Rights Committee held that the reference to “sex” in Articles 2 (1) and 26 of the ICCPR includes sexual orientation, laying the foundation for sexual-orientation equality claims under the Covenant.</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OHCHR Jurisprudence Database (juris.ohchr.org); UN Treaty Body Database</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sz w:val="28"/>
                <w:szCs w:val="28"/>
              </w:rPr>
              <w:t xml:space="preserve">Joslin v. New Zealand, Communication No. 902/1999, U.N. Doc. CCPR/C/75/D/902/1999 (Human Rights Comm., July 17, 2002).</w:t>
            </w:r>
          </w:p>
          <w:p>
            <w:pPr>
              <w:spacing w:before="60" w:after="0" w:line="240" w:lineRule="auto"/>
              <w:jc w:val="both"/>
            </w:pPr>
            <w:r>
              <w:rPr>
                <w:rFonts w:ascii="Times New Roman" w:hAnsi="Times New Roman" w:cs="Times New Roman" w:eastAsia="Times New Roman"/>
                <w:sz w:val="28"/>
                <w:szCs w:val="28"/>
              </w:rPr>
              <w:t xml:space="preserve">The Committee held that a State’s refusal to allow same-sex couples to marry does not violate the ICCPR because Article 23 (2) refers specifically to “men and women.”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OHCHR Jurisprudence Database (juris.ohchr.org); UN Treaty Body Database</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8.</w:t>
            </w:r>
          </w:p>
        </w:tc>
        <w:tc>
          <w:tcPr>
            <w:tcW w:w="9800" w:type="dxa"/>
          </w:tcPr>
          <w:p>
            <w:pPr>
              <w:spacing w:before="0" w:after="0" w:line="240" w:lineRule="auto"/>
              <w:jc w:val="left"/>
            </w:pPr>
            <w:r>
              <w:rPr>
                <w:rFonts w:ascii="Times New Roman" w:hAnsi="Times New Roman" w:cs="Times New Roman" w:eastAsia="Times New Roman"/>
                <w:sz w:val="28"/>
                <w:szCs w:val="28"/>
              </w:rPr>
              <w:t xml:space="preserve">Young v. Australia, Communication No. 941/2000, U.N. Doc. CCPR/C/78/D/941/2000 (Human Rights Comm., August 6, 2003).</w:t>
            </w:r>
          </w:p>
          <w:p>
            <w:pPr>
              <w:spacing w:before="60" w:after="0" w:line="240" w:lineRule="auto"/>
              <w:jc w:val="both"/>
            </w:pPr>
            <w:r>
              <w:rPr>
                <w:rFonts w:ascii="Times New Roman" w:hAnsi="Times New Roman" w:cs="Times New Roman" w:eastAsia="Times New Roman"/>
                <w:sz w:val="28"/>
                <w:szCs w:val="28"/>
              </w:rPr>
              <w:t xml:space="preserve">The Committee found that denying a veterans’ pension to the surviving same-sex partner of a veteran violated the equality guarantee of Article 26.</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OHCHR Jurisprudence Database (juris.ohchr.org); UN Treaty Body Database</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9.</w:t>
            </w:r>
          </w:p>
        </w:tc>
        <w:tc>
          <w:tcPr>
            <w:tcW w:w="9800" w:type="dxa"/>
          </w:tcPr>
          <w:p>
            <w:pPr>
              <w:spacing w:before="0" w:after="0" w:line="240" w:lineRule="auto"/>
              <w:jc w:val="left"/>
            </w:pPr>
            <w:r>
              <w:rPr>
                <w:rFonts w:ascii="Times New Roman" w:hAnsi="Times New Roman" w:cs="Times New Roman" w:eastAsia="Times New Roman"/>
                <w:sz w:val="28"/>
                <w:szCs w:val="28"/>
              </w:rPr>
              <w:t xml:space="preserve">X v. Colombia, Communication No. 1361/2005, U.N. Doc. CCPR/C/89/D/1361/2005 (Human Rights Comm., March 30, 2007).</w:t>
            </w:r>
          </w:p>
          <w:p>
            <w:pPr>
              <w:spacing w:before="60" w:after="0" w:line="240" w:lineRule="auto"/>
              <w:jc w:val="both"/>
            </w:pPr>
            <w:r>
              <w:rPr>
                <w:rFonts w:ascii="Times New Roman" w:hAnsi="Times New Roman" w:cs="Times New Roman" w:eastAsia="Times New Roman"/>
                <w:sz w:val="28"/>
                <w:szCs w:val="28"/>
              </w:rPr>
              <w:t xml:space="preserve">The Committee held that denying a pension to the surviving partner of a same-sex union, where unmarried heterosexual partners were entitled, was discrimination based on sexual orientation under Article 26.</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OHCHR Jurisprudence Database (juris.ohchr.org); UN Treaty Body Database</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10.</w:t>
            </w:r>
          </w:p>
        </w:tc>
        <w:tc>
          <w:tcPr>
            <w:tcW w:w="9800" w:type="dxa"/>
          </w:tcPr>
          <w:p>
            <w:pPr>
              <w:spacing w:before="0" w:after="0" w:line="240" w:lineRule="auto"/>
              <w:jc w:val="left"/>
            </w:pPr>
            <w:r>
              <w:rPr>
                <w:rFonts w:ascii="Times New Roman" w:hAnsi="Times New Roman" w:cs="Times New Roman" w:eastAsia="Times New Roman"/>
                <w:sz w:val="28"/>
                <w:szCs w:val="28"/>
              </w:rPr>
              <w:t xml:space="preserve">Human Rights Comm., Concluding Observations: Philippines, U.N. Doc. CCPR/C/PHL/CO/4 (November 13, 2012).</w:t>
            </w:r>
          </w:p>
          <w:p>
            <w:pPr>
              <w:spacing w:before="60" w:after="0" w:line="240" w:lineRule="auto"/>
              <w:jc w:val="both"/>
            </w:pPr>
            <w:r>
              <w:rPr>
                <w:rFonts w:ascii="Times New Roman" w:hAnsi="Times New Roman" w:cs="Times New Roman" w:eastAsia="Times New Roman"/>
                <w:sz w:val="28"/>
                <w:szCs w:val="28"/>
              </w:rPr>
              <w:t xml:space="preserve">The Committee urged the Philippines to adopt a comprehensive anti-discrimination law that covers sexual orientation and gender identity, noting that the pending bill had not been passed.</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UN Treaty Body Database (tbinternet.ohchr.org); UN Digital 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11.</w:t>
            </w:r>
          </w:p>
        </w:tc>
        <w:tc>
          <w:tcPr>
            <w:tcW w:w="9800" w:type="dxa"/>
          </w:tcPr>
          <w:p>
            <w:pPr>
              <w:spacing w:before="0" w:after="0" w:line="240" w:lineRule="auto"/>
              <w:jc w:val="left"/>
            </w:pPr>
            <w:r>
              <w:rPr>
                <w:rFonts w:ascii="Times New Roman" w:hAnsi="Times New Roman" w:cs="Times New Roman" w:eastAsia="Times New Roman"/>
                <w:sz w:val="28"/>
                <w:szCs w:val="28"/>
              </w:rPr>
              <w:t xml:space="preserve">Human Rights Council Res. 17/19, U.N. Doc. A/HRC/RES/17/19 (June 17, 2011).</w:t>
            </w:r>
          </w:p>
          <w:p>
            <w:pPr>
              <w:spacing w:before="60" w:after="0" w:line="240" w:lineRule="auto"/>
              <w:jc w:val="both"/>
            </w:pPr>
            <w:r>
              <w:rPr>
                <w:rFonts w:ascii="Times New Roman" w:hAnsi="Times New Roman" w:cs="Times New Roman" w:eastAsia="Times New Roman"/>
                <w:sz w:val="28"/>
                <w:szCs w:val="28"/>
              </w:rPr>
              <w:t xml:space="preserve">The first United Nations resolution on human rights, sexual orientation, and gender identity, expressing grave concern over violence and discrimination on these grounds.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UN Digital Library; OHCHR website (ohchr.org)</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12.</w:t>
            </w:r>
          </w:p>
        </w:tc>
        <w:tc>
          <w:tcPr>
            <w:tcW w:w="9800" w:type="dxa"/>
          </w:tcPr>
          <w:p>
            <w:pPr>
              <w:spacing w:before="0" w:after="0" w:line="240" w:lineRule="auto"/>
              <w:jc w:val="left"/>
            </w:pPr>
            <w:r>
              <w:rPr>
                <w:rFonts w:ascii="Times New Roman" w:hAnsi="Times New Roman" w:cs="Times New Roman" w:eastAsia="Times New Roman"/>
                <w:sz w:val="28"/>
                <w:szCs w:val="28"/>
              </w:rPr>
              <w:t xml:space="preserve">Human Rights Council Res. 32/2, U.N. Doc. A/HRC/RES/32/2 (June 30, 2016).</w:t>
            </w:r>
          </w:p>
          <w:p>
            <w:pPr>
              <w:spacing w:before="60" w:after="0" w:line="240" w:lineRule="auto"/>
              <w:jc w:val="both"/>
            </w:pPr>
            <w:r>
              <w:rPr>
                <w:rFonts w:ascii="Times New Roman" w:hAnsi="Times New Roman" w:cs="Times New Roman" w:eastAsia="Times New Roman"/>
                <w:sz w:val="28"/>
                <w:szCs w:val="28"/>
              </w:rPr>
              <w:t xml:space="preserve">Created the mandate of the Independent Expert on protection against violence and discrimination based on sexual orientation and gender identity.</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UN Digital Library; OHCHR website (ohchr.org)</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D.</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JUDICIAL ISSUANCES OF THE SUPREME COURT </w:t>
            </w:r>
            <w:r>
              <w:rPr>
                <w:rFonts w:ascii="Times New Roman" w:hAnsi="Times New Roman" w:cs="Times New Roman" w:eastAsia="Times New Roman"/>
                <w:b/>
                <w:bCs/>
                <w:i/>
                <w:iCs/>
                <w:sz w:val="28"/>
                <w:szCs w:val="28"/>
              </w:rPr>
              <w:t xml:space="preserve">(same level as statutes)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Rules of Court</w:t>
            </w:r>
            <w:r>
              <w:rPr>
                <w:rFonts w:ascii="Times New Roman" w:hAnsi="Times New Roman" w:cs="Times New Roman" w:eastAsia="Times New Roman"/>
                <w:sz w:val="28"/>
                <w:szCs w:val="28"/>
              </w:rPr>
              <w:t xml:space="preserve">, Rule 108.</w:t>
            </w:r>
          </w:p>
          <w:p>
            <w:pPr>
              <w:spacing w:before="60" w:after="0" w:line="240" w:lineRule="auto"/>
              <w:jc w:val="both"/>
            </w:pPr>
            <w:r>
              <w:rPr>
                <w:rFonts w:ascii="Times New Roman" w:hAnsi="Times New Roman" w:cs="Times New Roman" w:eastAsia="Times New Roman"/>
                <w:sz w:val="28"/>
                <w:szCs w:val="28"/>
              </w:rPr>
              <w:t xml:space="preserve">Provides the judicial procedure for the cancellation or correction of entries in the civil register, the remedy invoked in </w:t>
            </w:r>
            <w:r>
              <w:rPr>
                <w:rFonts w:ascii="Times New Roman" w:hAnsi="Times New Roman" w:cs="Times New Roman" w:eastAsia="Times New Roman"/>
                <w:i/>
                <w:iCs/>
                <w:sz w:val="28"/>
                <w:szCs w:val="28"/>
              </w:rPr>
              <w:t xml:space="preserve">Silverio</w:t>
            </w:r>
            <w:r>
              <w:rPr>
                <w:rFonts w:ascii="Times New Roman" w:hAnsi="Times New Roman" w:cs="Times New Roman" w:eastAsia="Times New Roman"/>
                <w:sz w:val="28"/>
                <w:szCs w:val="28"/>
              </w:rPr>
              <w:t xml:space="preserve"> and </w:t>
            </w:r>
            <w:r>
              <w:rPr>
                <w:rFonts w:ascii="Times New Roman" w:hAnsi="Times New Roman" w:cs="Times New Roman" w:eastAsia="Times New Roman"/>
                <w:i/>
                <w:iCs/>
                <w:sz w:val="28"/>
                <w:szCs w:val="28"/>
              </w:rPr>
              <w:t xml:space="preserve">Cagandahan</w:t>
            </w:r>
            <w:r>
              <w:rPr>
                <w:rFonts w:ascii="Times New Roman" w:hAnsi="Times New Roman" w:cs="Times New Roman" w:eastAsia="Times New Roman"/>
                <w:sz w:val="28"/>
                <w:szCs w:val="28"/>
              </w:rPr>
              <w:t xml:space="preserve"> to change the sex entry that determines capacity to marry under the Family Code.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 Supreme Court 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Void and Voidable Marriages Rule</w:t>
            </w:r>
            <w:r>
              <w:rPr>
                <w:rFonts w:ascii="Times New Roman" w:hAnsi="Times New Roman" w:cs="Times New Roman" w:eastAsia="Times New Roman"/>
                <w:sz w:val="28"/>
                <w:szCs w:val="28"/>
              </w:rPr>
              <w:t xml:space="preserve">, A.M. No. 02-11-10-SC, effective March 15, 2003.</w:t>
            </w:r>
          </w:p>
          <w:p>
            <w:pPr>
              <w:spacing w:before="60" w:after="0" w:line="240" w:lineRule="auto"/>
              <w:jc w:val="both"/>
            </w:pPr>
            <w:r>
              <w:rPr>
                <w:rFonts w:ascii="Times New Roman" w:hAnsi="Times New Roman" w:cs="Times New Roman" w:eastAsia="Times New Roman"/>
                <w:sz w:val="28"/>
                <w:szCs w:val="28"/>
              </w:rPr>
              <w:t xml:space="preserve">Governs the procedure in petitions for declaration of nullity and annulment of marriage, including annulment actions grounded on the fraudulent concealment of homosexuality under Article 46 (4) of the Family Code.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 Supreme Court 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Legal Separation Rule</w:t>
            </w:r>
            <w:r>
              <w:rPr>
                <w:rFonts w:ascii="Times New Roman" w:hAnsi="Times New Roman" w:cs="Times New Roman" w:eastAsia="Times New Roman"/>
                <w:sz w:val="28"/>
                <w:szCs w:val="28"/>
              </w:rPr>
              <w:t xml:space="preserve">, A.M. No. 02-11-11-SC, effective March 15, 2003.</w:t>
            </w:r>
          </w:p>
          <w:p>
            <w:pPr>
              <w:spacing w:before="60" w:after="0" w:line="240" w:lineRule="auto"/>
              <w:jc w:val="both"/>
            </w:pPr>
            <w:r>
              <w:rPr>
                <w:rFonts w:ascii="Times New Roman" w:hAnsi="Times New Roman" w:cs="Times New Roman" w:eastAsia="Times New Roman"/>
                <w:sz w:val="28"/>
                <w:szCs w:val="28"/>
              </w:rPr>
              <w:t xml:space="preserve">Governs petitions for legal separation, including those grounded on the lesbianism or homosexuality of the respondent under Article 55 (6) of the Family Code.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 Supreme Court 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z w:val="28"/>
                <w:szCs w:val="28"/>
              </w:rPr>
              <w:t xml:space="preserve">New Code of Judicial Conduct for the Philippine Judiciary, A.M. No. 03-05-01-SC, Canon 5, secs. 1-2 (2004).</w:t>
            </w:r>
          </w:p>
          <w:p>
            <w:pPr>
              <w:spacing w:before="60" w:after="0" w:line="240" w:lineRule="auto"/>
              <w:jc w:val="both"/>
            </w:pPr>
            <w:r>
              <w:rPr>
                <w:rFonts w:ascii="Times New Roman" w:hAnsi="Times New Roman" w:cs="Times New Roman" w:eastAsia="Times New Roman"/>
                <w:sz w:val="28"/>
                <w:szCs w:val="28"/>
              </w:rPr>
              <w:t xml:space="preserve">Requires judges to understand diversity in society and not to manifest bias or prejudice on irrelevant grounds, standards the Supreme Court enforced in </w:t>
            </w:r>
            <w:r>
              <w:rPr>
                <w:rFonts w:ascii="Times New Roman" w:hAnsi="Times New Roman" w:cs="Times New Roman" w:eastAsia="Times New Roman"/>
                <w:i/>
                <w:iCs/>
                <w:sz w:val="28"/>
                <w:szCs w:val="28"/>
              </w:rPr>
              <w:t xml:space="preserve">Espejon v. Lorredo</w:t>
            </w:r>
            <w:r>
              <w:rPr>
                <w:rFonts w:ascii="Times New Roman" w:hAnsi="Times New Roman" w:cs="Times New Roman" w:eastAsia="Times New Roman"/>
                <w:sz w:val="28"/>
                <w:szCs w:val="28"/>
              </w:rPr>
              <w:t xml:space="preserve"> against a judge who disparaged litigants’ same-sex relationship.</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 Supreme Court 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z w:val="28"/>
                <w:szCs w:val="28"/>
              </w:rPr>
              <w:t xml:space="preserve">Code of Professional Responsibility and Accountability, A.M. No. 22-09-01-SC, Canon V, sec. 1 (2023).</w:t>
            </w:r>
          </w:p>
          <w:p>
            <w:pPr>
              <w:spacing w:before="60" w:after="0" w:line="240" w:lineRule="auto"/>
              <w:jc w:val="both"/>
            </w:pPr>
            <w:r>
              <w:rPr>
                <w:rFonts w:ascii="Times New Roman" w:hAnsi="Times New Roman" w:cs="Times New Roman" w:eastAsia="Times New Roman"/>
                <w:sz w:val="28"/>
                <w:szCs w:val="28"/>
              </w:rPr>
              <w:t xml:space="preserve">Prohibits a lawyer from declining to represent a person solely on account of sexual orientation or gender identity, among other grounds, securing access to counsel for same-sex couples asserting their rights.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 Supreme Court Library</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E.</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JUDICIAL DECISIONS OF THE SUPREME COURT </w:t>
            </w:r>
            <w:r>
              <w:rPr>
                <w:rFonts w:ascii="Times New Roman" w:hAnsi="Times New Roman" w:cs="Times New Roman" w:eastAsia="Times New Roman"/>
                <w:b/>
                <w:bCs/>
                <w:i/>
                <w:iCs/>
                <w:sz w:val="28"/>
                <w:szCs w:val="28"/>
              </w:rPr>
              <w:t xml:space="preserve">(same level as statutes)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Falcis III v. Civil Registrar General, G.R. No. 217910, September 3, 2019.</w:t>
            </w:r>
          </w:p>
          <w:p>
            <w:pPr>
              <w:spacing w:before="60" w:after="0" w:line="240" w:lineRule="auto"/>
              <w:jc w:val="both"/>
            </w:pPr>
            <w:r>
              <w:rPr>
                <w:rFonts w:ascii="Times New Roman" w:hAnsi="Times New Roman" w:cs="Times New Roman" w:eastAsia="Times New Roman"/>
                <w:sz w:val="28"/>
                <w:szCs w:val="28"/>
              </w:rPr>
              <w:t xml:space="preserve">The Court En Banc dismissed the first petition to declare Family Code Articles 1, 2, 46 (4), and 55 (6) unconstitutional for lack of an actual case, lack of standing, and disregard of the hierarchy of courts, while noting that the Constitution does not restrict marriage on the basis of sex or sexual orientation and leaving the matter to Congress.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z w:val="28"/>
                <w:szCs w:val="28"/>
              </w:rPr>
              <w:t xml:space="preserve">Garcia v. Drilon, G.R. No. 179267, June 25, 2013.</w:t>
            </w:r>
          </w:p>
          <w:p>
            <w:pPr>
              <w:spacing w:before="60" w:after="0" w:line="240" w:lineRule="auto"/>
              <w:jc w:val="both"/>
            </w:pPr>
            <w:r>
              <w:rPr>
                <w:rFonts w:ascii="Times New Roman" w:hAnsi="Times New Roman" w:cs="Times New Roman" w:eastAsia="Times New Roman"/>
                <w:sz w:val="28"/>
                <w:szCs w:val="28"/>
              </w:rPr>
              <w:t xml:space="preserve">In upholding R.A. No. 9262, the Court En Banc recognized that the law’s gender-neutral term “any person” may cover a woman offender in a lesbian relationship, a point later applied in </w:t>
            </w:r>
            <w:r>
              <w:rPr>
                <w:rFonts w:ascii="Times New Roman" w:hAnsi="Times New Roman" w:cs="Times New Roman" w:eastAsia="Times New Roman"/>
                <w:i/>
                <w:iCs/>
                <w:sz w:val="28"/>
                <w:szCs w:val="28"/>
              </w:rPr>
              <w:t xml:space="preserve">Jacinto v. Fouts</w:t>
            </w:r>
            <w:r>
              <w:rPr>
                <w:rFonts w:ascii="Times New Roman" w:hAnsi="Times New Roman" w:cs="Times New Roman" w:eastAsia="Times New Roman"/>
                <w:sz w:val="28"/>
                <w:szCs w:val="28"/>
              </w:rPr>
              <w:t xml:space="preserv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z w:val="28"/>
                <w:szCs w:val="28"/>
              </w:rPr>
              <w:t xml:space="preserve">Ang Ladlad LGBT Party v. Commission on Elections, 632 Phil. 32 (2010).</w:t>
            </w:r>
          </w:p>
          <w:p>
            <w:pPr>
              <w:spacing w:before="60" w:after="0" w:line="240" w:lineRule="auto"/>
              <w:jc w:val="both"/>
            </w:pPr>
            <w:r>
              <w:rPr>
                <w:rFonts w:ascii="Times New Roman" w:hAnsi="Times New Roman" w:cs="Times New Roman" w:eastAsia="Times New Roman"/>
                <w:sz w:val="28"/>
                <w:szCs w:val="28"/>
              </w:rPr>
              <w:t xml:space="preserve">The Court held that denying party-list accreditation to an LGBT group on religious and moral grounds violated the non-establishment clause, equal protection, and freedom of expression and association, while describing the Yogyakarta Principles as at best </w:t>
            </w:r>
            <w:r>
              <w:rPr>
                <w:rFonts w:ascii="Times New Roman" w:hAnsi="Times New Roman" w:cs="Times New Roman" w:eastAsia="Times New Roman"/>
                <w:i/>
                <w:iCs/>
                <w:sz w:val="28"/>
                <w:szCs w:val="28"/>
              </w:rPr>
              <w:t xml:space="preserve">de lege ferenda</w:t>
            </w:r>
            <w:r>
              <w:rPr>
                <w:rFonts w:ascii="Times New Roman" w:hAnsi="Times New Roman" w:cs="Times New Roman" w:eastAsia="Times New Roman"/>
                <w:sz w:val="28"/>
                <w:szCs w:val="28"/>
              </w:rPr>
              <w:t xml:space="preserv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Philippine Reports, vol. 632;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z w:val="28"/>
                <w:szCs w:val="28"/>
              </w:rPr>
              <w:t xml:space="preserve">Estrada v. Escritor, 455 Phil. 411 (2003); 525 Phil. 110 (2006).</w:t>
            </w:r>
          </w:p>
          <w:p>
            <w:pPr>
              <w:spacing w:before="60" w:after="0" w:line="240" w:lineRule="auto"/>
              <w:jc w:val="both"/>
            </w:pPr>
            <w:r>
              <w:rPr>
                <w:rFonts w:ascii="Times New Roman" w:hAnsi="Times New Roman" w:cs="Times New Roman" w:eastAsia="Times New Roman"/>
                <w:sz w:val="28"/>
                <w:szCs w:val="28"/>
              </w:rPr>
              <w:t xml:space="preserve">Adopted benevolent neutrality and the compelling state interest test in resolving a religiously sanctioned non-marital union, the framework for weighing religious claims on both sides of the same-sex marriage debate.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Philippine Reports, vols. 455 &amp; 525;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z w:val="28"/>
                <w:szCs w:val="28"/>
              </w:rPr>
              <w:t xml:space="preserve">Goitia v. Campos Rueda, 35 Phil. 252 (1916).</w:t>
            </w:r>
          </w:p>
          <w:p>
            <w:pPr>
              <w:spacing w:before="60" w:after="0" w:line="240" w:lineRule="auto"/>
              <w:jc w:val="both"/>
            </w:pPr>
            <w:r>
              <w:rPr>
                <w:rFonts w:ascii="Times New Roman" w:hAnsi="Times New Roman" w:cs="Times New Roman" w:eastAsia="Times New Roman"/>
                <w:sz w:val="28"/>
                <w:szCs w:val="28"/>
              </w:rPr>
              <w:t xml:space="preserve">Described marriage as “something more than a mere contract,” a relation whose rights and duties rest on the general law rather than on the parties’ agreement, a characterization central to whether the State may redefine who may marry.</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Philippine Reports, vol. 35;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sz w:val="28"/>
                <w:szCs w:val="28"/>
              </w:rPr>
              <w:t xml:space="preserve">Josef v. Ursua, G.R. No. 267469, February 5, 2025.</w:t>
            </w:r>
          </w:p>
          <w:p>
            <w:pPr>
              <w:spacing w:before="60" w:after="0" w:line="240" w:lineRule="auto"/>
              <w:jc w:val="both"/>
            </w:pPr>
            <w:r>
              <w:rPr>
                <w:rFonts w:ascii="Times New Roman" w:hAnsi="Times New Roman" w:cs="Times New Roman" w:eastAsia="Times New Roman"/>
                <w:sz w:val="28"/>
                <w:szCs w:val="28"/>
              </w:rPr>
              <w:t xml:space="preserve">The Court held that the property relations of cohabiting same-sex partners are governed by Article 148 of the Family Code, so that a partner who proves actual contribution is a co-owner, while stating that broader protection for same-sex couples is for Congress to provide.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sz w:val="28"/>
                <w:szCs w:val="28"/>
              </w:rPr>
              <w:t xml:space="preserve">Salva-Roldan v. Roldan, G.R. No. 268109, March 3, 2025.</w:t>
            </w:r>
          </w:p>
          <w:p>
            <w:pPr>
              <w:spacing w:before="60" w:after="0" w:line="240" w:lineRule="auto"/>
              <w:jc w:val="both"/>
            </w:pPr>
            <w:r>
              <w:rPr>
                <w:rFonts w:ascii="Times New Roman" w:hAnsi="Times New Roman" w:cs="Times New Roman" w:eastAsia="Times New Roman"/>
                <w:sz w:val="28"/>
                <w:szCs w:val="28"/>
              </w:rPr>
              <w:t xml:space="preserve">The Court annulled a marriage on the ground of the husband’s fraudulent concealment of his homosexuality under Article 45 (3) in relation to Article 46 (4), reiterating that concealment, not homosexuality itself, vitiates consent.</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8.</w:t>
            </w:r>
          </w:p>
        </w:tc>
        <w:tc>
          <w:tcPr>
            <w:tcW w:w="9800" w:type="dxa"/>
          </w:tcPr>
          <w:p>
            <w:pPr>
              <w:spacing w:before="0" w:after="0" w:line="240" w:lineRule="auto"/>
              <w:jc w:val="left"/>
            </w:pPr>
            <w:r>
              <w:rPr>
                <w:rFonts w:ascii="Times New Roman" w:hAnsi="Times New Roman" w:cs="Times New Roman" w:eastAsia="Times New Roman"/>
                <w:sz w:val="28"/>
                <w:szCs w:val="28"/>
              </w:rPr>
              <w:t xml:space="preserve">Jacinto v. Fouts, G.R. No. 250627 (Resolution), December 7, 2022.</w:t>
            </w:r>
          </w:p>
          <w:p>
            <w:pPr>
              <w:spacing w:before="60" w:after="0" w:line="240" w:lineRule="auto"/>
              <w:jc w:val="both"/>
            </w:pPr>
            <w:r>
              <w:rPr>
                <w:rFonts w:ascii="Times New Roman" w:hAnsi="Times New Roman" w:cs="Times New Roman" w:eastAsia="Times New Roman"/>
                <w:sz w:val="28"/>
                <w:szCs w:val="28"/>
              </w:rPr>
              <w:t xml:space="preserve">The Court sustained a prosecution under R.A. No. 9262 between former female live-in partners, holding that the law’s application to lesbian relationships had already been settled in </w:t>
            </w:r>
            <w:r>
              <w:rPr>
                <w:rFonts w:ascii="Times New Roman" w:hAnsi="Times New Roman" w:cs="Times New Roman" w:eastAsia="Times New Roman"/>
                <w:i/>
                <w:iCs/>
                <w:sz w:val="28"/>
                <w:szCs w:val="28"/>
              </w:rPr>
              <w:t xml:space="preserve">Garcia v. Drilon</w:t>
            </w:r>
            <w:r>
              <w:rPr>
                <w:rFonts w:ascii="Times New Roman" w:hAnsi="Times New Roman" w:cs="Times New Roman" w:eastAsia="Times New Roman"/>
                <w:sz w:val="28"/>
                <w:szCs w:val="28"/>
              </w:rPr>
              <w:t xml:space="preserv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9.</w:t>
            </w:r>
          </w:p>
        </w:tc>
        <w:tc>
          <w:tcPr>
            <w:tcW w:w="9800" w:type="dxa"/>
          </w:tcPr>
          <w:p>
            <w:pPr>
              <w:spacing w:before="0" w:after="0" w:line="240" w:lineRule="auto"/>
              <w:jc w:val="left"/>
            </w:pPr>
            <w:r>
              <w:rPr>
                <w:rFonts w:ascii="Times New Roman" w:hAnsi="Times New Roman" w:cs="Times New Roman" w:eastAsia="Times New Roman"/>
                <w:sz w:val="28"/>
                <w:szCs w:val="28"/>
              </w:rPr>
              <w:t xml:space="preserve">Espejon v. Lorredo, A.M. No. MTJ-22-007, March 9, 2022.</w:t>
            </w:r>
          </w:p>
          <w:p>
            <w:pPr>
              <w:spacing w:before="60" w:after="0" w:line="240" w:lineRule="auto"/>
              <w:jc w:val="both"/>
            </w:pPr>
            <w:r>
              <w:rPr>
                <w:rFonts w:ascii="Times New Roman" w:hAnsi="Times New Roman" w:cs="Times New Roman" w:eastAsia="Times New Roman"/>
                <w:sz w:val="28"/>
                <w:szCs w:val="28"/>
              </w:rPr>
              <w:t xml:space="preserve">The Court suspended and fined a judge for homophobic remarks against litigants on account of their perceived same-sex relationship, finding a violation of the New Code of Judicial Conduct and work-related sexual harassment.</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10.</w:t>
            </w:r>
          </w:p>
        </w:tc>
        <w:tc>
          <w:tcPr>
            <w:tcW w:w="9800" w:type="dxa"/>
          </w:tcPr>
          <w:p>
            <w:pPr>
              <w:spacing w:before="0" w:after="0" w:line="240" w:lineRule="auto"/>
              <w:jc w:val="left"/>
            </w:pPr>
            <w:r>
              <w:rPr>
                <w:rFonts w:ascii="Times New Roman" w:hAnsi="Times New Roman" w:cs="Times New Roman" w:eastAsia="Times New Roman"/>
                <w:sz w:val="28"/>
                <w:szCs w:val="28"/>
              </w:rPr>
              <w:t xml:space="preserve">Republic v. Cagandahan, 586 Phil. 637 (2008).</w:t>
            </w:r>
          </w:p>
          <w:p>
            <w:pPr>
              <w:spacing w:before="60" w:after="0" w:line="240" w:lineRule="auto"/>
              <w:jc w:val="both"/>
            </w:pPr>
            <w:r>
              <w:rPr>
                <w:rFonts w:ascii="Times New Roman" w:hAnsi="Times New Roman" w:cs="Times New Roman" w:eastAsia="Times New Roman"/>
                <w:sz w:val="28"/>
                <w:szCs w:val="28"/>
              </w:rPr>
              <w:t xml:space="preserve">The Court allowed an intersex person with congenital adrenal hyperplasia to change the registered sex from female to male and the registered name, bearing on how “male” and “female” are determined for purposes of capacity to marry.</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Philippine Reports, vol. 586;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11.</w:t>
            </w:r>
          </w:p>
        </w:tc>
        <w:tc>
          <w:tcPr>
            <w:tcW w:w="9800" w:type="dxa"/>
          </w:tcPr>
          <w:p>
            <w:pPr>
              <w:spacing w:before="0" w:after="0" w:line="240" w:lineRule="auto"/>
              <w:jc w:val="left"/>
            </w:pPr>
            <w:r>
              <w:rPr>
                <w:rFonts w:ascii="Times New Roman" w:hAnsi="Times New Roman" w:cs="Times New Roman" w:eastAsia="Times New Roman"/>
                <w:sz w:val="28"/>
                <w:szCs w:val="28"/>
              </w:rPr>
              <w:t xml:space="preserve">Almelor v. Regional Trial Court of Las Piñas City, G.R. No. 179620, August 26, 2008.</w:t>
            </w:r>
          </w:p>
          <w:p>
            <w:pPr>
              <w:spacing w:before="60" w:after="0" w:line="240" w:lineRule="auto"/>
              <w:jc w:val="both"/>
            </w:pPr>
            <w:r>
              <w:rPr>
                <w:rFonts w:ascii="Times New Roman" w:hAnsi="Times New Roman" w:cs="Times New Roman" w:eastAsia="Times New Roman"/>
                <w:sz w:val="28"/>
                <w:szCs w:val="28"/>
              </w:rPr>
              <w:t xml:space="preserve">The Court ruled that it is the concealment of homosexuality, not homosexuality </w:t>
            </w:r>
            <w:r>
              <w:rPr>
                <w:rFonts w:ascii="Times New Roman" w:hAnsi="Times New Roman" w:cs="Times New Roman" w:eastAsia="Times New Roman"/>
                <w:i/>
                <w:iCs/>
                <w:sz w:val="28"/>
                <w:szCs w:val="28"/>
              </w:rPr>
              <w:t xml:space="preserve">per se</w:t>
            </w:r>
            <w:r>
              <w:rPr>
                <w:rFonts w:ascii="Times New Roman" w:hAnsi="Times New Roman" w:cs="Times New Roman" w:eastAsia="Times New Roman"/>
                <w:sz w:val="28"/>
                <w:szCs w:val="28"/>
              </w:rPr>
              <w:t xml:space="preserve">, that constitutes fraud under Article 46 (4), and found the evidence insufficient to annul the marriage.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E-Library; Supreme Court website (sc.judiciary.gov.ph)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12.</w:t>
            </w:r>
          </w:p>
        </w:tc>
        <w:tc>
          <w:tcPr>
            <w:tcW w:w="9800" w:type="dxa"/>
          </w:tcPr>
          <w:p>
            <w:pPr>
              <w:spacing w:before="0" w:after="0" w:line="240" w:lineRule="auto"/>
              <w:jc w:val="left"/>
            </w:pPr>
            <w:r>
              <w:rPr>
                <w:rFonts w:ascii="Times New Roman" w:hAnsi="Times New Roman" w:cs="Times New Roman" w:eastAsia="Times New Roman"/>
                <w:sz w:val="28"/>
                <w:szCs w:val="28"/>
              </w:rPr>
              <w:t xml:space="preserve">Silverio v. Republic, 562 Phil. 953 (2007).</w:t>
            </w:r>
          </w:p>
          <w:p>
            <w:pPr>
              <w:spacing w:before="60" w:after="0" w:line="240" w:lineRule="auto"/>
              <w:jc w:val="both"/>
            </w:pPr>
            <w:r>
              <w:rPr>
                <w:rFonts w:ascii="Times New Roman" w:hAnsi="Times New Roman" w:cs="Times New Roman" w:eastAsia="Times New Roman"/>
                <w:sz w:val="28"/>
                <w:szCs w:val="28"/>
              </w:rPr>
              <w:t xml:space="preserve">The Court denied a transsexual woman’s petition to change the name and sex entries in her birth certificate, reasoning that no law allows it and that granting it would permit a union between two persons of the same birth sex despite marriage being between a man and a woman.</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Philippine Reports, vol. 562; Supreme Court E-Library</w:t>
            </w:r>
          </w:p>
        </w:tc>
      </w:tr>
      <w:tr w:rsidR="00C9537E" w:rsidRPr="00962418" w14:paraId="28E31327" w14:textId="77777777" w:rsidTr="00962418">
        <w:trPr>
          <w:cantSplit/>
        </w:trPr>
        <w:tc>
          <w:tcPr>
            <w:tcW w:w="760" w:type="dxa"/>
          </w:tcPr>
          <w:p>
            <w:pPr>
              <w:keepNext/>
              <w:spacing w:before="0" w:after="0" w:line="240" w:lineRule="auto"/>
              <w:jc w:val="left"/>
            </w:pPr>
          </w:p>
        </w:tc>
        <w:tc>
          <w:tcPr>
            <w:tcW w:w="16425" w:type="dxa"/>
            <w:gridSpan w:val="3"/>
          </w:tcPr>
          <w:p>
            <w:pPr>
              <w:keepNext/>
              <w:spacing w:before="0" w:after="0" w:line="240" w:lineRule="auto"/>
              <w:jc w:val="both"/>
            </w:pPr>
            <w:r>
              <w:rPr>
                <w:rFonts w:ascii="Times New Roman" w:hAnsi="Times New Roman" w:cs="Times New Roman" w:eastAsia="Times New Roman"/>
                <w:b/>
                <w:bCs/>
                <w:sz w:val="28"/>
                <w:szCs w:val="28"/>
              </w:rPr>
              <w:t xml:space="preserve">THIRD LEVEL: EXECUTIVE AND ADMINISTRATIVE ISSUANCES AND DECISIONS, AND CONGRESSIONAL RESOLUTIONS (F to H).</w:t>
            </w:r>
            <w:r>
              <w:rPr>
                <w:rFonts w:ascii="Times New Roman" w:hAnsi="Times New Roman" w:cs="Times New Roman" w:eastAsia="Times New Roman"/>
                <w:sz w:val="28"/>
                <w:szCs w:val="28"/>
              </w:rPr>
              <w:t xml:space="preserve"> Administrative or executive acts, orders, and regulations are valid only when they are not contrary to the laws or the Constitution (</w:t>
            </w:r>
            <w:r>
              <w:rPr>
                <w:rFonts w:ascii="Times New Roman" w:hAnsi="Times New Roman" w:cs="Times New Roman" w:eastAsia="Times New Roman"/>
                <w:smallCaps/>
                <w:sz w:val="28"/>
                <w:szCs w:val="28"/>
              </w:rPr>
              <w:t xml:space="preserve">Civil Code</w:t>
            </w:r>
            <w:r>
              <w:rPr>
                <w:rFonts w:ascii="Times New Roman" w:hAnsi="Times New Roman" w:cs="Times New Roman" w:eastAsia="Times New Roman"/>
                <w:sz w:val="28"/>
                <w:szCs w:val="28"/>
              </w:rPr>
              <w:t xml:space="preserve">, art. 7). Bills, committee reports, and simple resolutions are not law and are persuasive only.</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F.</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EXECUTIVE AND ADMINISTRATIVE ISSUANCES (QUASI-LEGISLATIVE)</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CSC Res. No. 01-0940 (2001).</w:t>
            </w:r>
          </w:p>
          <w:p>
            <w:pPr>
              <w:spacing w:before="60" w:after="0" w:line="240" w:lineRule="auto"/>
              <w:jc w:val="both"/>
            </w:pPr>
            <w:r>
              <w:rPr>
                <w:rFonts w:ascii="Times New Roman" w:hAnsi="Times New Roman" w:cs="Times New Roman" w:eastAsia="Times New Roman"/>
                <w:sz w:val="28"/>
                <w:szCs w:val="28"/>
              </w:rPr>
              <w:t xml:space="preserve">The Administrative Disciplinary Rules on Sexual Harassment Cases classify degrading remarks or innuendoes directed at a person’s sexual orientation as an offense, a rule applied by the Supreme Court in </w:t>
            </w:r>
            <w:r>
              <w:rPr>
                <w:rFonts w:ascii="Times New Roman" w:hAnsi="Times New Roman" w:cs="Times New Roman" w:eastAsia="Times New Roman"/>
                <w:i/>
                <w:iCs/>
                <w:sz w:val="28"/>
                <w:szCs w:val="28"/>
              </w:rPr>
              <w:t xml:space="preserve">Espejon v. Lorredo</w:t>
            </w:r>
            <w:r>
              <w:rPr>
                <w:rFonts w:ascii="Times New Roman" w:hAnsi="Times New Roman" w:cs="Times New Roman" w:eastAsia="Times New Roman"/>
                <w:sz w:val="28"/>
                <w:szCs w:val="28"/>
              </w:rPr>
              <w:t xml:space="preserve"> to a judge’s remarks against a same-sex couple.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Civil Service Commission (csc.gov.ph); Office of the National Administrative Register (ONAR), U.P. Law Center</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G.</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EXECUTIVE AND ADMINISTRATIVE DECISIONS (QUASI-JUDICIAL) </w:t>
            </w:r>
            <w:r>
              <w:rPr>
                <w:rFonts w:ascii="Times New Roman" w:hAnsi="Times New Roman" w:cs="Times New Roman" w:eastAsia="Times New Roman"/>
                <w:b/>
                <w:bCs/>
                <w:i/>
                <w:iCs/>
                <w:sz w:val="28"/>
                <w:szCs w:val="28"/>
              </w:rPr>
              <w:t xml:space="preserve">(same level as executive and administrative issuances)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In re</w:t>
            </w:r>
            <w:r>
              <w:rPr>
                <w:rFonts w:ascii="Times New Roman" w:hAnsi="Times New Roman" w:cs="Times New Roman" w:eastAsia="Times New Roman"/>
                <w:sz w:val="28"/>
                <w:szCs w:val="28"/>
              </w:rPr>
              <w:t xml:space="preserve"> Ang Ladlad LGBT Party, COMELEC SPP No. 09-228 (PL), November 11, 2009.</w:t>
            </w:r>
          </w:p>
          <w:p>
            <w:pPr>
              <w:spacing w:before="60" w:after="0" w:line="240" w:lineRule="auto"/>
              <w:jc w:val="both"/>
            </w:pPr>
            <w:r>
              <w:rPr>
                <w:rFonts w:ascii="Times New Roman" w:hAnsi="Times New Roman" w:cs="Times New Roman" w:eastAsia="Times New Roman"/>
                <w:sz w:val="28"/>
                <w:szCs w:val="28"/>
              </w:rPr>
              <w:t xml:space="preserve">The COMELEC Second Division denied an LGBT group’s petition for party-list registration on moral grounds, citing Biblical and Koranic passages, a ruling the Supreme Court later set aside.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Commission on Elections (deciding agency); quoted in </w:t>
            </w:r>
            <w:r>
              <w:rPr>
                <w:rFonts w:ascii="Times New Roman" w:hAnsi="Times New Roman" w:cs="Times New Roman" w:eastAsia="Times New Roman"/>
                <w:i/>
                <w:iCs/>
                <w:sz w:val="28"/>
                <w:szCs w:val="28"/>
              </w:rPr>
              <w:t xml:space="preserve">Ang Ladlad</w:t>
            </w:r>
            <w:r>
              <w:rPr>
                <w:rFonts w:ascii="Times New Roman" w:hAnsi="Times New Roman" w:cs="Times New Roman" w:eastAsia="Times New Roman"/>
                <w:sz w:val="28"/>
                <w:szCs w:val="28"/>
              </w:rPr>
              <w:t xml:space="preserve"> (Supreme Court E-Library)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In re</w:t>
            </w:r>
            <w:r>
              <w:rPr>
                <w:rFonts w:ascii="Times New Roman" w:hAnsi="Times New Roman" w:cs="Times New Roman" w:eastAsia="Times New Roman"/>
                <w:sz w:val="28"/>
                <w:szCs w:val="28"/>
              </w:rPr>
              <w:t xml:space="preserve"> Ang Ladlad LGBT Party, COMELEC SPP No. 09-228 (PL), December 16, 2009.</w:t>
            </w:r>
          </w:p>
          <w:p>
            <w:pPr>
              <w:spacing w:before="60" w:after="0" w:line="240" w:lineRule="auto"/>
              <w:jc w:val="both"/>
            </w:pPr>
            <w:r>
              <w:rPr>
                <w:rFonts w:ascii="Times New Roman" w:hAnsi="Times New Roman" w:cs="Times New Roman" w:eastAsia="Times New Roman"/>
                <w:sz w:val="28"/>
                <w:szCs w:val="28"/>
              </w:rPr>
              <w:t xml:space="preserve">The COMELEC En Banc, in a divided vote, denied reconsideration, prompting the certiorari petition that produced the Supreme Court’s leading decision on LGBT equality.</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Commission on Elections (deciding agency); quoted in </w:t>
            </w:r>
            <w:r>
              <w:rPr>
                <w:rFonts w:ascii="Times New Roman" w:hAnsi="Times New Roman" w:cs="Times New Roman" w:eastAsia="Times New Roman"/>
                <w:i/>
                <w:iCs/>
                <w:sz w:val="28"/>
                <w:szCs w:val="28"/>
              </w:rPr>
              <w:t xml:space="preserve">Ang Ladlad</w:t>
            </w:r>
            <w:r>
              <w:rPr>
                <w:rFonts w:ascii="Times New Roman" w:hAnsi="Times New Roman" w:cs="Times New Roman" w:eastAsia="Times New Roman"/>
                <w:sz w:val="28"/>
                <w:szCs w:val="28"/>
              </w:rPr>
              <w:t xml:space="preserve"> (Supreme Court E-Library)</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H.</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CONGRESSIONAL BILLS, RESOLUTIONS, AND COMMITTEE REPORTS </w:t>
            </w:r>
            <w:r>
              <w:rPr>
                <w:rFonts w:ascii="Times New Roman" w:hAnsi="Times New Roman" w:cs="Times New Roman" w:eastAsia="Times New Roman"/>
                <w:b/>
                <w:bCs/>
                <w:i/>
                <w:iCs/>
                <w:sz w:val="28"/>
                <w:szCs w:val="28"/>
              </w:rPr>
              <w:t xml:space="preserve">(grouped with executive and administrative issuances; not law)</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S. No. 1600, 19th Cong., 1st Sess. (2022).</w:t>
            </w:r>
          </w:p>
          <w:p>
            <w:pPr>
              <w:spacing w:before="60" w:after="0" w:line="240" w:lineRule="auto"/>
              <w:jc w:val="both"/>
            </w:pPr>
            <w:r>
              <w:rPr>
                <w:rFonts w:ascii="Times New Roman" w:hAnsi="Times New Roman" w:cs="Times New Roman" w:eastAsia="Times New Roman"/>
                <w:sz w:val="28"/>
                <w:szCs w:val="28"/>
              </w:rPr>
              <w:t xml:space="preserve">The Senate’s consolidated “SOGIESC Equality Act,” which would penalize discrimination on the basis of sexual orientation, gender identity or expression, and sex characteristics, but which was never approved in plenary.</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Senate Legislative Information System (web.senate.gov.ph); Senate Legislative Reference Bureau</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z w:val="28"/>
                <w:szCs w:val="28"/>
              </w:rPr>
              <w:t xml:space="preserve">Comm. on Women, Children, Family Relations and Gender Equality &amp; Comm. on Finance, S. Rpt. 15, 19th Cong., 1st Sess. (2022).</w:t>
            </w:r>
          </w:p>
          <w:p>
            <w:pPr>
              <w:spacing w:before="60" w:after="0" w:line="240" w:lineRule="auto"/>
              <w:jc w:val="both"/>
            </w:pPr>
            <w:r>
              <w:rPr>
                <w:rFonts w:ascii="Times New Roman" w:hAnsi="Times New Roman" w:cs="Times New Roman" w:eastAsia="Times New Roman"/>
                <w:sz w:val="28"/>
                <w:szCs w:val="28"/>
              </w:rPr>
              <w:t xml:space="preserve">The joint committee report recommending approval of S. No. 1600, signed by a majority of senators but referred back to the Committee on Rules after opposition from religious groups.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Senate Legislative Information System (web.senate.gov.ph); Senate Legislative Reference Bureau</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z w:val="28"/>
                <w:szCs w:val="28"/>
              </w:rPr>
              <w:t xml:space="preserve">S. No. 449, 19th Cong., 1st Sess. (2022).</w:t>
            </w:r>
          </w:p>
          <w:p>
            <w:pPr>
              <w:spacing w:before="60" w:after="0" w:line="240" w:lineRule="auto"/>
              <w:jc w:val="both"/>
            </w:pPr>
            <w:r>
              <w:rPr>
                <w:rFonts w:ascii="Times New Roman" w:hAnsi="Times New Roman" w:cs="Times New Roman" w:eastAsia="Times New Roman"/>
                <w:sz w:val="28"/>
                <w:szCs w:val="28"/>
              </w:rPr>
              <w:t xml:space="preserve">Senator Robinhood Padilla’s bill “Institutionalizing Civil Unions of Same Sex Couples, Establishing Their Rights and Obligations,” which would grant same-sex civil partners the benefits and protections enjoyed by married couples.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Senate Legislative Information System (web.senate.gov.ph); Senate Legislative Reference Bureau</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z w:val="28"/>
                <w:szCs w:val="28"/>
              </w:rPr>
              <w:t xml:space="preserve">H. No. 1015, 19th Cong., 1st Sess. (2022).</w:t>
            </w:r>
          </w:p>
          <w:p>
            <w:pPr>
              <w:spacing w:before="60" w:after="0" w:line="240" w:lineRule="auto"/>
              <w:jc w:val="both"/>
            </w:pPr>
            <w:r>
              <w:rPr>
                <w:rFonts w:ascii="Times New Roman" w:hAnsi="Times New Roman" w:cs="Times New Roman" w:eastAsia="Times New Roman"/>
                <w:sz w:val="28"/>
                <w:szCs w:val="28"/>
              </w:rPr>
              <w:t xml:space="preserve">The “Civil Partnership Act,” which would allow couples of the same or opposite sex to enter into civil partnerships with rights such as designating partners as beneficiaries and inheriting from them by intestate succession.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House of Representatives Legislative Information System (congress.gov.ph)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z w:val="28"/>
                <w:szCs w:val="28"/>
              </w:rPr>
              <w:t xml:space="preserve">H. No. 2264, 18th Cong., 1st Sess. (2019).</w:t>
            </w:r>
          </w:p>
          <w:p>
            <w:pPr>
              <w:spacing w:before="60" w:after="0" w:line="240" w:lineRule="auto"/>
              <w:jc w:val="both"/>
            </w:pPr>
            <w:r>
              <w:rPr>
                <w:rFonts w:ascii="Times New Roman" w:hAnsi="Times New Roman" w:cs="Times New Roman" w:eastAsia="Times New Roman"/>
                <w:sz w:val="28"/>
                <w:szCs w:val="28"/>
              </w:rPr>
              <w:t xml:space="preserve">Representative Pantaleon Alvarez’s refiled Civil Partnership bill allowing couples of the same or opposite sex to form civil partnerships, which remained pending at the committee level.</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House of Representatives Legislative Information System (congress.gov.ph)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sz w:val="28"/>
                <w:szCs w:val="28"/>
              </w:rPr>
              <w:t xml:space="preserve">H. No. 6595, 17th Cong., 2d Sess. (2017).</w:t>
            </w:r>
          </w:p>
          <w:p>
            <w:pPr>
              <w:spacing w:before="60" w:after="0" w:line="240" w:lineRule="auto"/>
              <w:jc w:val="both"/>
            </w:pPr>
            <w:r>
              <w:rPr>
                <w:rFonts w:ascii="Times New Roman" w:hAnsi="Times New Roman" w:cs="Times New Roman" w:eastAsia="Times New Roman"/>
                <w:sz w:val="28"/>
                <w:szCs w:val="28"/>
              </w:rPr>
              <w:t xml:space="preserve">The Civil Partnership Act filed by then Speaker Pantaleon Alvarez, proposing to extend the benefits and protections granted to spouses to same-sex and opposite-sex civil partners.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House of Representatives Legislative Information System (congress.gov.ph)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sz w:val="28"/>
                <w:szCs w:val="28"/>
              </w:rPr>
              <w:t xml:space="preserve">H. No. 4982, 17th Cong., 1st Sess. (2017).</w:t>
            </w:r>
          </w:p>
          <w:p>
            <w:pPr>
              <w:spacing w:before="60" w:after="0" w:line="240" w:lineRule="auto"/>
              <w:jc w:val="both"/>
            </w:pPr>
            <w:r>
              <w:rPr>
                <w:rFonts w:ascii="Times New Roman" w:hAnsi="Times New Roman" w:cs="Times New Roman" w:eastAsia="Times New Roman"/>
                <w:sz w:val="28"/>
                <w:szCs w:val="28"/>
              </w:rPr>
              <w:t xml:space="preserve">The SOGIE Equality Act, approved by the House of Representatives on third reading on September 20, 2017 by a vote of 198–0, but never enacted after stalling in the Senate.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House of Representatives Legislative Information System (congress.gov.ph)</w:t>
            </w:r>
          </w:p>
        </w:tc>
      </w:tr>
      <w:tr w:rsidR="00C9537E" w:rsidRPr="00962418" w14:paraId="28E31327" w14:textId="77777777" w:rsidTr="00962418">
        <w:trPr>
          <w:cantSplit/>
        </w:trPr>
        <w:tc>
          <w:tcPr>
            <w:tcW w:w="760" w:type="dxa"/>
          </w:tcPr>
          <w:p>
            <w:pPr>
              <w:keepNext/>
              <w:spacing w:before="0" w:after="0" w:line="240" w:lineRule="auto"/>
              <w:jc w:val="left"/>
            </w:pPr>
          </w:p>
        </w:tc>
        <w:tc>
          <w:tcPr>
            <w:tcW w:w="16425" w:type="dxa"/>
            <w:gridSpan w:val="3"/>
          </w:tcPr>
          <w:p>
            <w:pPr>
              <w:keepNext/>
              <w:spacing w:before="0" w:after="0" w:line="240" w:lineRule="auto"/>
              <w:jc w:val="both"/>
            </w:pPr>
            <w:r>
              <w:rPr>
                <w:rFonts w:ascii="Times New Roman" w:hAnsi="Times New Roman" w:cs="Times New Roman" w:eastAsia="Times New Roman"/>
                <w:b/>
                <w:bCs/>
                <w:sz w:val="28"/>
                <w:szCs w:val="28"/>
              </w:rPr>
              <w:t xml:space="preserve">FOURTH LEVEL: LOCAL ORDINANCES.</w:t>
            </w:r>
            <w:r>
              <w:rPr>
                <w:rFonts w:ascii="Times New Roman" w:hAnsi="Times New Roman" w:cs="Times New Roman" w:eastAsia="Times New Roman"/>
                <w:sz w:val="28"/>
                <w:szCs w:val="28"/>
              </w:rPr>
              <w:t xml:space="preserve"> Delegated legislation that must not contravene the Constitution or any statute (Magtajas v. Pryce Properties Corp., G.R. No. 111097, July 20, 1994).</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I.</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LOCAL ORDINANCES AND RESOLUTIONS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Quezon City Ordinance No. SP-3221, S-2023, September 25, 2023.</w:t>
            </w:r>
          </w:p>
          <w:p>
            <w:pPr>
              <w:spacing w:before="60" w:after="0" w:line="240" w:lineRule="auto"/>
              <w:jc w:val="both"/>
            </w:pPr>
            <w:r>
              <w:rPr>
                <w:rFonts w:ascii="Times New Roman" w:hAnsi="Times New Roman" w:cs="Times New Roman" w:eastAsia="Times New Roman"/>
                <w:sz w:val="28"/>
                <w:szCs w:val="28"/>
              </w:rPr>
              <w:t xml:space="preserve">Requires health facilities in Quezon City to recognize health care proxies, institutionalizing the “Right to Care” card that allows same-sex partners to make medical decisions for each other through a special power of attorney.</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Sangguniang Panlungsod ng Quezon City; Quezon City Public Library digital repository (LIBROS)</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z w:val="28"/>
                <w:szCs w:val="28"/>
              </w:rPr>
              <w:t xml:space="preserve">San Juan City Ordinance No. 16, S-2025 (2025).</w:t>
            </w:r>
          </w:p>
          <w:p>
            <w:pPr>
              <w:spacing w:before="60" w:after="0" w:line="240" w:lineRule="auto"/>
              <w:jc w:val="both"/>
            </w:pPr>
            <w:r>
              <w:rPr>
                <w:rFonts w:ascii="Times New Roman" w:hAnsi="Times New Roman" w:cs="Times New Roman" w:eastAsia="Times New Roman"/>
                <w:sz w:val="28"/>
                <w:szCs w:val="28"/>
              </w:rPr>
              <w:t xml:space="preserve">San Juan’s “Right to Care” Ordinance requires public and private health facilities in the city to honor the Right to Care Card, through which LGBTQIA+ partners may make medical decisions for one another.</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Sangguniang Panlungsod ng San Juan City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z w:val="28"/>
                <w:szCs w:val="28"/>
              </w:rPr>
              <w:t xml:space="preserve">Quezon City Ordinance No. SP-3417, S-2025, June 16, 2025.</w:t>
            </w:r>
          </w:p>
          <w:p>
            <w:pPr>
              <w:spacing w:before="60" w:after="0" w:line="240" w:lineRule="auto"/>
              <w:jc w:val="both"/>
            </w:pPr>
            <w:r>
              <w:rPr>
                <w:rFonts w:ascii="Times New Roman" w:hAnsi="Times New Roman" w:cs="Times New Roman" w:eastAsia="Times New Roman"/>
                <w:sz w:val="28"/>
                <w:szCs w:val="28"/>
              </w:rPr>
              <w:t xml:space="preserve">Revises the Quezon City Gender-Fair Ordinance into a comprehensive anti-discrimination policy on the basis of sexual orientation, gender identity and expression, and sex characteristics (SOGIESC).</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Sangguniang Panlungsod ng Quezon City; Quezon City Public Library digital repository (LIBROS)</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z w:val="28"/>
                <w:szCs w:val="28"/>
              </w:rPr>
              <w:t xml:space="preserve">Quezon City Ordinance No. SP-2357, S-2014, November 28, 2014.</w:t>
            </w:r>
          </w:p>
          <w:p>
            <w:pPr>
              <w:spacing w:before="60" w:after="0" w:line="240" w:lineRule="auto"/>
              <w:jc w:val="both"/>
            </w:pPr>
            <w:r>
              <w:rPr>
                <w:rFonts w:ascii="Times New Roman" w:hAnsi="Times New Roman" w:cs="Times New Roman" w:eastAsia="Times New Roman"/>
                <w:sz w:val="28"/>
                <w:szCs w:val="28"/>
              </w:rPr>
              <w:t xml:space="preserve">The Quezon City Gender-Fair Ordinance prohibits discrimination on the basis of sexual orientation and gender identity and expression in employment, education, accommodation, and the delivery of goods and services.</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Sangguniang Panlungsod ng Quezon City; Quezon City Public Library digital repository (LIBROS)</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z w:val="28"/>
                <w:szCs w:val="28"/>
              </w:rPr>
              <w:t xml:space="preserve">Quezon City Ordinance No. SP-1309, S-2003.</w:t>
            </w:r>
          </w:p>
          <w:p>
            <w:pPr>
              <w:spacing w:before="60" w:after="0" w:line="240" w:lineRule="auto"/>
              <w:jc w:val="both"/>
            </w:pPr>
            <w:r>
              <w:rPr>
                <w:rFonts w:ascii="Times New Roman" w:hAnsi="Times New Roman" w:cs="Times New Roman" w:eastAsia="Times New Roman"/>
                <w:sz w:val="28"/>
                <w:szCs w:val="28"/>
              </w:rPr>
              <w:t xml:space="preserve">An early local ordinance prohibiting discrimination against homosexuals in the workplace, later expanded by the Gender-Fair Ordinance.</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Sangguniang Panlungsod ng Quezon City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sz w:val="28"/>
                <w:szCs w:val="28"/>
              </w:rPr>
              <w:t xml:space="preserve">Davao City Ordinance No. 0417-12 (2012).</w:t>
            </w:r>
          </w:p>
          <w:p>
            <w:pPr>
              <w:spacing w:before="60" w:after="0" w:line="240" w:lineRule="auto"/>
              <w:jc w:val="both"/>
            </w:pPr>
            <w:r>
              <w:rPr>
                <w:rFonts w:ascii="Times New Roman" w:hAnsi="Times New Roman" w:cs="Times New Roman" w:eastAsia="Times New Roman"/>
                <w:sz w:val="28"/>
                <w:szCs w:val="28"/>
              </w:rPr>
              <w:t xml:space="preserve">Davao City’s Anti-Discrimination Ordinance declares unlawful acts of discrimination based on, among others, sex, gender identity, and sexual orientation.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Sangguniang Panlungsod ng Davao City</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sz w:val="28"/>
                <w:szCs w:val="28"/>
              </w:rPr>
              <w:t xml:space="preserve">Cebu City Ordinance No. 2339 (2012).</w:t>
            </w:r>
          </w:p>
          <w:p>
            <w:pPr>
              <w:spacing w:before="60" w:after="0" w:line="240" w:lineRule="auto"/>
              <w:jc w:val="both"/>
            </w:pPr>
            <w:r>
              <w:rPr>
                <w:rFonts w:ascii="Times New Roman" w:hAnsi="Times New Roman" w:cs="Times New Roman" w:eastAsia="Times New Roman"/>
                <w:sz w:val="28"/>
                <w:szCs w:val="28"/>
              </w:rPr>
              <w:t xml:space="preserve">Prohibits discrimination on the basis of, among others, sexual orientation and gender identity, illustrating how LGBT protection has developed through local legislation in the absence of a national law.</w:t>
            </w:r>
          </w:p>
        </w:tc>
        <w:tc>
          <w:tcPr>
            <w:tcW w:w="2400" w:type="dxa"/>
          </w:tcPr>
          <w:p>
            <w:pPr>
              <w:spacing w:before="0" w:after="0" w:line="240" w:lineRule="auto"/>
              <w:jc w:val="left"/>
            </w:pPr>
            <w:r>
              <w:rPr>
                <w:rFonts w:ascii="Times New Roman" w:hAnsi="Times New Roman" w:cs="Times New Roman" w:eastAsia="Times New Roman"/>
                <w:sz w:val="28"/>
                <w:szCs w:val="28"/>
              </w:rPr>
              <w:t xml:space="preserve">Mandatory</w:t>
            </w:r>
          </w:p>
        </w:tc>
        <w:tc>
          <w:tcPr>
            <w:tcW w:w="4225" w:type="dxa"/>
          </w:tcPr>
          <w:p>
            <w:pPr>
              <w:spacing w:before="0" w:after="0" w:line="240" w:lineRule="auto"/>
              <w:jc w:val="left"/>
            </w:pPr>
            <w:r>
              <w:rPr>
                <w:rFonts w:ascii="Times New Roman" w:hAnsi="Times New Roman" w:cs="Times New Roman" w:eastAsia="Times New Roman"/>
                <w:sz w:val="28"/>
                <w:szCs w:val="28"/>
              </w:rPr>
              <w:t xml:space="preserve">Sangguniang Panlungsod ng Cebu City</w:t>
            </w:r>
          </w:p>
        </w:tc>
      </w:tr>
      <w:tr w:rsidR="00C9537E" w:rsidRPr="00962418" w14:paraId="28E31327" w14:textId="77777777" w:rsidTr="00962418">
        <w:trPr>
          <w:cantSplit/>
        </w:trPr>
        <w:tc>
          <w:tcPr>
            <w:tcW w:w="760" w:type="dxa"/>
          </w:tcPr>
          <w:p>
            <w:pPr>
              <w:keepNext/>
              <w:spacing w:before="0" w:after="0" w:line="240" w:lineRule="auto"/>
              <w:jc w:val="left"/>
            </w:pPr>
          </w:p>
        </w:tc>
        <w:tc>
          <w:tcPr>
            <w:tcW w:w="16425" w:type="dxa"/>
            <w:gridSpan w:val="3"/>
          </w:tcPr>
          <w:p>
            <w:pPr>
              <w:keepNext/>
              <w:spacing w:before="0" w:after="0" w:line="240" w:lineRule="auto"/>
              <w:jc w:val="both"/>
            </w:pPr>
            <w:r>
              <w:rPr>
                <w:rFonts w:ascii="Times New Roman" w:hAnsi="Times New Roman" w:cs="Times New Roman" w:eastAsia="Times New Roman"/>
                <w:b/>
                <w:bCs/>
                <w:sz w:val="28"/>
                <w:szCs w:val="28"/>
              </w:rPr>
              <w:t xml:space="preserve">OUTSIDE THE PHILIPPINE HIERARCHY: REGIONAL AND FOREIGN SOURCES OF LAW (J and K are on the same level).</w:t>
            </w:r>
            <w:r>
              <w:rPr>
                <w:rFonts w:ascii="Times New Roman" w:hAnsi="Times New Roman" w:cs="Times New Roman" w:eastAsia="Times New Roman"/>
                <w:sz w:val="28"/>
                <w:szCs w:val="28"/>
              </w:rPr>
              <w:t xml:space="preserve"> Not binding in the Philippines; persuasive only, especially where Philippine law was patterned after them.</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J.</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REGIONAL SOURCES OF LAW</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ASEAN Human Rights Declaration, art. 19 (November 18, 2012).</w:t>
            </w:r>
          </w:p>
          <w:p>
            <w:pPr>
              <w:spacing w:before="60" w:after="0" w:line="240" w:lineRule="auto"/>
              <w:jc w:val="both"/>
            </w:pPr>
            <w:r>
              <w:rPr>
                <w:rFonts w:ascii="Times New Roman" w:hAnsi="Times New Roman" w:cs="Times New Roman" w:eastAsia="Times New Roman"/>
                <w:sz w:val="28"/>
                <w:szCs w:val="28"/>
              </w:rPr>
              <w:t xml:space="preserve">Adopted by ASEAN leaders including the Philippines, it recognizes the right of “men and women of full age” to marry and found a family “as prescribed by law,” deferring to national law on the definition of marriage.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ASEAN Secretariat website (asean.org)</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z w:val="28"/>
                <w:szCs w:val="28"/>
              </w:rPr>
              <w:t xml:space="preserve">Convention for the Protection of Human Rights and Fundamental Freedoms, November 4, 1950 (1953), 213 U.N.T.S. 221, arts. 8, 12, 14.</w:t>
            </w:r>
          </w:p>
          <w:p>
            <w:pPr>
              <w:spacing w:before="60" w:after="0" w:line="240" w:lineRule="auto"/>
              <w:jc w:val="both"/>
            </w:pPr>
            <w:r>
              <w:rPr>
                <w:rFonts w:ascii="Times New Roman" w:hAnsi="Times New Roman" w:cs="Times New Roman" w:eastAsia="Times New Roman"/>
                <w:sz w:val="28"/>
                <w:szCs w:val="28"/>
              </w:rPr>
              <w:t xml:space="preserve">The European Convention’s guarantees of private and family life, the right to marry, and non-discrimination, through which the European Court of Human Rights developed its case law on same-sex couples.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Council of Europe Treaty Office (coe.int); United Nations Treaty Series</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z w:val="28"/>
                <w:szCs w:val="28"/>
              </w:rPr>
              <w:t xml:space="preserve">Schalk &amp; Kopf v. Austria, App. No. 30141/04, Eur. Ct. H.R. (June 24, 2010).</w:t>
            </w:r>
          </w:p>
          <w:p>
            <w:pPr>
              <w:spacing w:before="60" w:after="0" w:line="240" w:lineRule="auto"/>
              <w:jc w:val="both"/>
            </w:pPr>
            <w:r>
              <w:rPr>
                <w:rFonts w:ascii="Times New Roman" w:hAnsi="Times New Roman" w:cs="Times New Roman" w:eastAsia="Times New Roman"/>
                <w:sz w:val="28"/>
                <w:szCs w:val="28"/>
              </w:rPr>
              <w:t xml:space="preserve">Held that the European Convention does not oblige States to open marriage to same-sex couples, while recognizing that a cohabiting same-sex couple enjoys “family life.”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HUDOC database of the European Court of Human Rights (hudoc.echr.coe.int)</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z w:val="28"/>
                <w:szCs w:val="28"/>
              </w:rPr>
              <w:t xml:space="preserve">Oliari v. Italy, App. Nos. 18766/11 &amp; 36030/11, Eur. Ct. H.R. (July 21, 2015).</w:t>
            </w:r>
          </w:p>
          <w:p>
            <w:pPr>
              <w:spacing w:before="60" w:after="0" w:line="240" w:lineRule="auto"/>
              <w:jc w:val="both"/>
            </w:pPr>
            <w:r>
              <w:rPr>
                <w:rFonts w:ascii="Times New Roman" w:hAnsi="Times New Roman" w:cs="Times New Roman" w:eastAsia="Times New Roman"/>
                <w:sz w:val="28"/>
                <w:szCs w:val="28"/>
              </w:rPr>
              <w:t xml:space="preserve">Found that Italy violated Article 8 by failing to provide any legal framework recognizing and protecting same-sex unions.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HUDOC database of the European Court of Human Rights (hudoc.echr.coe.int)</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z w:val="28"/>
                <w:szCs w:val="28"/>
              </w:rPr>
              <w:t xml:space="preserve">Orlandi v. Italy, App. No. 26431/12, Eur. Ct. H.R. (December 14, 2017).</w:t>
            </w:r>
          </w:p>
          <w:p>
            <w:pPr>
              <w:spacing w:before="60" w:after="0" w:line="240" w:lineRule="auto"/>
              <w:jc w:val="both"/>
            </w:pPr>
            <w:r>
              <w:rPr>
                <w:rFonts w:ascii="Times New Roman" w:hAnsi="Times New Roman" w:cs="Times New Roman" w:eastAsia="Times New Roman"/>
                <w:sz w:val="28"/>
                <w:szCs w:val="28"/>
              </w:rPr>
              <w:t xml:space="preserve">Held that Italy’s refusal to give any form of recognition to same-sex marriages its nationals contracted abroad violated Article 8, a parallel to Filipino same-sex couples married abroad.</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HUDOC database of the European Court of Human Rights (hudoc.echr.coe.int)</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sz w:val="28"/>
                <w:szCs w:val="28"/>
              </w:rPr>
              <w:t xml:space="preserve">Fedotova v. Russia, App. Nos. 40792/10, 30538/14 &amp; 43439/14, Eur. Ct. H.R. (Grand Chamber, January 17, 2023).</w:t>
            </w:r>
          </w:p>
          <w:p>
            <w:pPr>
              <w:spacing w:before="60" w:after="0" w:line="240" w:lineRule="auto"/>
              <w:jc w:val="both"/>
            </w:pPr>
            <w:r>
              <w:rPr>
                <w:rFonts w:ascii="Times New Roman" w:hAnsi="Times New Roman" w:cs="Times New Roman" w:eastAsia="Times New Roman"/>
                <w:sz w:val="28"/>
                <w:szCs w:val="28"/>
              </w:rPr>
              <w:t xml:space="preserve">The Grand Chamber held that Article 8 imposes a positive obligation on States to provide a legal framework for the recognition and protection of same-sex couples.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HUDOC database of the European Court of Human Rights (hudoc.echr.coe.int)</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sz w:val="28"/>
                <w:szCs w:val="28"/>
              </w:rPr>
              <w:t xml:space="preserve">Case C-673/16, Coman v. Inspectoratul General pentru Imigrări, ECLI:EU:C:2018:385 (June 5, 2018).</w:t>
            </w:r>
          </w:p>
          <w:p>
            <w:pPr>
              <w:spacing w:before="60" w:after="0" w:line="240" w:lineRule="auto"/>
              <w:jc w:val="both"/>
            </w:pPr>
            <w:r>
              <w:rPr>
                <w:rFonts w:ascii="Times New Roman" w:hAnsi="Times New Roman" w:cs="Times New Roman" w:eastAsia="Times New Roman"/>
                <w:sz w:val="28"/>
                <w:szCs w:val="28"/>
              </w:rPr>
              <w:t xml:space="preserve">The Court of Justice of the European Union held that the term “spouse” in EU free-movement law includes a same-sex spouse, even in a Member State that does not allow same-sex marriage.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CURIA (curia.europa.eu); EUR-Lex (eur-lex.europa.eu)</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8.</w:t>
            </w:r>
          </w:p>
        </w:tc>
        <w:tc>
          <w:tcPr>
            <w:tcW w:w="9800" w:type="dxa"/>
          </w:tcPr>
          <w:p>
            <w:pPr>
              <w:spacing w:before="0" w:after="0" w:line="240" w:lineRule="auto"/>
              <w:jc w:val="left"/>
            </w:pPr>
            <w:r>
              <w:rPr>
                <w:rFonts w:ascii="Times New Roman" w:hAnsi="Times New Roman" w:cs="Times New Roman" w:eastAsia="Times New Roman"/>
                <w:sz w:val="28"/>
                <w:szCs w:val="28"/>
              </w:rPr>
              <w:t xml:space="preserve">Gender Identity, and Equality and Non-Discrimination of Same-Sex Couples, Advisory Opinion OC-24/17, Inter-Am. Ct. H.R. (ser. A) No. 24 (November 24, 2017).</w:t>
            </w:r>
          </w:p>
          <w:p>
            <w:pPr>
              <w:spacing w:before="60" w:after="0" w:line="240" w:lineRule="auto"/>
              <w:jc w:val="both"/>
            </w:pPr>
            <w:r>
              <w:rPr>
                <w:rFonts w:ascii="Times New Roman" w:hAnsi="Times New Roman" w:cs="Times New Roman" w:eastAsia="Times New Roman"/>
                <w:sz w:val="28"/>
                <w:szCs w:val="28"/>
              </w:rPr>
              <w:t xml:space="preserve">The Inter-American Court of Human Rights opined that States must recognize and protect same-sex couples, including access to marriage, without discrimination.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Inter-American Court of Human Rights website (corteidh.or.cr)</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9.</w:t>
            </w:r>
          </w:p>
        </w:tc>
        <w:tc>
          <w:tcPr>
            <w:tcW w:w="9800" w:type="dxa"/>
          </w:tcPr>
          <w:p>
            <w:pPr>
              <w:spacing w:before="0" w:after="0" w:line="240" w:lineRule="auto"/>
              <w:jc w:val="left"/>
            </w:pPr>
            <w:r>
              <w:rPr>
                <w:rFonts w:ascii="Times New Roman" w:hAnsi="Times New Roman" w:cs="Times New Roman" w:eastAsia="Times New Roman"/>
                <w:sz w:val="28"/>
                <w:szCs w:val="28"/>
              </w:rPr>
              <w:t xml:space="preserve">Atala Riffo &amp; Daughters v. Chile, Merits, Reparations and Costs, Inter-Am. Ct. H.R. (ser. C) No. 239 (February 24, 2012).</w:t>
            </w:r>
          </w:p>
          <w:p>
            <w:pPr>
              <w:spacing w:before="60" w:after="0" w:line="240" w:lineRule="auto"/>
              <w:jc w:val="both"/>
            </w:pPr>
            <w:r>
              <w:rPr>
                <w:rFonts w:ascii="Times New Roman" w:hAnsi="Times New Roman" w:cs="Times New Roman" w:eastAsia="Times New Roman"/>
                <w:sz w:val="28"/>
                <w:szCs w:val="28"/>
              </w:rPr>
              <w:t xml:space="preserve">Held that denying a lesbian mother custody of her daughters because of her sexual orientation and her cohabitation with a same-sex partner violated the American Convention on Human Rights.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Inter-American Court of Human Rights website (corteidh.or.cr)</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K.</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SOURCES OF LAW FROM OTHER JURISDICTIONS </w:t>
            </w:r>
            <w:r>
              <w:rPr>
                <w:rFonts w:ascii="Times New Roman" w:hAnsi="Times New Roman" w:cs="Times New Roman" w:eastAsia="Times New Roman"/>
                <w:b/>
                <w:bCs/>
                <w:i/>
                <w:iCs/>
                <w:sz w:val="28"/>
                <w:szCs w:val="28"/>
              </w:rPr>
              <w:t xml:space="preserve">(same level as regional sources of law)</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Obergefell v. Hodges, 576 U.S. 644 (2015).</w:t>
            </w:r>
          </w:p>
          <w:p>
            <w:pPr>
              <w:spacing w:before="60" w:after="0" w:line="240" w:lineRule="auto"/>
              <w:jc w:val="both"/>
            </w:pPr>
            <w:r>
              <w:rPr>
                <w:rFonts w:ascii="Times New Roman" w:hAnsi="Times New Roman" w:cs="Times New Roman" w:eastAsia="Times New Roman"/>
                <w:sz w:val="28"/>
                <w:szCs w:val="28"/>
              </w:rPr>
              <w:t xml:space="preserve">The United States Supreme Court held that the Fourteenth Amendment requires States to license marriages between two persons of the same sex and to recognize such marriages performed elsewhere.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United States Reports; Supreme Court of the United States website; Cornell Legal Information Institute</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z w:val="28"/>
                <w:szCs w:val="28"/>
              </w:rPr>
              <w:t xml:space="preserve">United States v. Windsor, 570 U.S. 744 (2013).</w:t>
            </w:r>
          </w:p>
          <w:p>
            <w:pPr>
              <w:spacing w:before="60" w:after="0" w:line="240" w:lineRule="auto"/>
              <w:jc w:val="both"/>
            </w:pPr>
            <w:r>
              <w:rPr>
                <w:rFonts w:ascii="Times New Roman" w:hAnsi="Times New Roman" w:cs="Times New Roman" w:eastAsia="Times New Roman"/>
                <w:sz w:val="28"/>
                <w:szCs w:val="28"/>
              </w:rPr>
              <w:t xml:space="preserve">Struck down Section 3 of the Defense of Marriage Act, which had defined marriage for federal purposes as only between a man and a woman.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United States Reports; Supreme Court of the United States website; Cornell Legal Information Institute</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z w:val="28"/>
                <w:szCs w:val="28"/>
              </w:rPr>
              <w:t xml:space="preserve">Lawrence v. Texas, 539 U.S. 558 (2003).</w:t>
            </w:r>
          </w:p>
          <w:p>
            <w:pPr>
              <w:spacing w:before="60" w:after="0" w:line="240" w:lineRule="auto"/>
              <w:jc w:val="both"/>
            </w:pPr>
            <w:r>
              <w:rPr>
                <w:rFonts w:ascii="Times New Roman" w:hAnsi="Times New Roman" w:cs="Times New Roman" w:eastAsia="Times New Roman"/>
                <w:sz w:val="28"/>
                <w:szCs w:val="28"/>
              </w:rPr>
              <w:t xml:space="preserve">Invalidated laws criminalizing intimate same-sex conduct as violating the liberty protected by the due process clause, paving the way for later recognition of same-sex relationships.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United States Reports; Supreme Court of the United States website; Cornell Legal Information Institute</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z w:val="28"/>
                <w:szCs w:val="28"/>
              </w:rPr>
              <w:t xml:space="preserve">Loving v. Virginia, 388 U.S. 1 (1967).</w:t>
            </w:r>
          </w:p>
          <w:p>
            <w:pPr>
              <w:spacing w:before="60" w:after="0" w:line="240" w:lineRule="auto"/>
              <w:jc w:val="both"/>
            </w:pPr>
            <w:r>
              <w:rPr>
                <w:rFonts w:ascii="Times New Roman" w:hAnsi="Times New Roman" w:cs="Times New Roman" w:eastAsia="Times New Roman"/>
                <w:sz w:val="28"/>
                <w:szCs w:val="28"/>
              </w:rPr>
              <w:t xml:space="preserve">Struck down bans on interracial marriage and affirmed marriage as a fundamental right, the precedent most often analogized in same-sex marriage litigation.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United States Reports; Supreme Court of the United States website; Cornell Legal Information Institute</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z w:val="28"/>
                <w:szCs w:val="28"/>
              </w:rPr>
              <w:t xml:space="preserve">Goodridge v. Department of Public Health, 798 N.E.2d 941 (Mass. 2003).</w:t>
            </w:r>
          </w:p>
          <w:p>
            <w:pPr>
              <w:spacing w:before="60" w:after="0" w:line="240" w:lineRule="auto"/>
              <w:jc w:val="both"/>
            </w:pPr>
            <w:r>
              <w:rPr>
                <w:rFonts w:ascii="Times New Roman" w:hAnsi="Times New Roman" w:cs="Times New Roman" w:eastAsia="Times New Roman"/>
                <w:sz w:val="28"/>
                <w:szCs w:val="28"/>
              </w:rPr>
              <w:t xml:space="preserve">The Supreme Judicial Court of Massachusetts became the first United States state high court to hold that excluding same-sex couples from civil marriage violated a state constitution.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North Eastern Reporter, Second Series; Justia; Westlaw</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sz w:val="28"/>
                <w:szCs w:val="28"/>
              </w:rPr>
              <w:t xml:space="preserve">303 Creative LLC v. Elenis, 600 U.S. 570 (2023).</w:t>
            </w:r>
          </w:p>
          <w:p>
            <w:pPr>
              <w:spacing w:before="60" w:after="0" w:line="240" w:lineRule="auto"/>
              <w:jc w:val="both"/>
            </w:pPr>
            <w:r>
              <w:rPr>
                <w:rFonts w:ascii="Times New Roman" w:hAnsi="Times New Roman" w:cs="Times New Roman" w:eastAsia="Times New Roman"/>
                <w:sz w:val="28"/>
                <w:szCs w:val="28"/>
              </w:rPr>
              <w:t xml:space="preserve">Held that the First Amendment bars a State from compelling a web designer to create expressive wedding websites for same-sex couples contrary to her beliefs, illustrating the religious-liberty conflicts that accompany marriage equality.</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United States Reports; Supreme Court of the United States website; Cornell Legal Information Institute</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sz w:val="28"/>
                <w:szCs w:val="28"/>
              </w:rPr>
              <w:t xml:space="preserve">U.S. Respect for Marriage Act, Pub. L. No. 117-228, 136 Stat. 2305 (2022).</w:t>
            </w:r>
          </w:p>
          <w:p>
            <w:pPr>
              <w:spacing w:before="60" w:after="0" w:line="240" w:lineRule="auto"/>
              <w:jc w:val="both"/>
            </w:pPr>
            <w:r>
              <w:rPr>
                <w:rFonts w:ascii="Times New Roman" w:hAnsi="Times New Roman" w:cs="Times New Roman" w:eastAsia="Times New Roman"/>
                <w:sz w:val="28"/>
                <w:szCs w:val="28"/>
              </w:rPr>
              <w:t xml:space="preserve">Repealed the Defense of Marriage Act and requires federal and interstate recognition of same-sex and interracial marriages validly entered into under State law.</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Congress.gov; U.S. Government Publishing Office (govinfo.gov)</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8.</w:t>
            </w:r>
          </w:p>
        </w:tc>
        <w:tc>
          <w:tcPr>
            <w:tcW w:w="9800" w:type="dxa"/>
          </w:tcPr>
          <w:p>
            <w:pPr>
              <w:spacing w:before="0" w:after="0" w:line="240" w:lineRule="auto"/>
              <w:jc w:val="left"/>
            </w:pPr>
            <w:r>
              <w:rPr>
                <w:rFonts w:ascii="Times New Roman" w:hAnsi="Times New Roman" w:cs="Times New Roman" w:eastAsia="Times New Roman"/>
                <w:sz w:val="28"/>
                <w:szCs w:val="28"/>
              </w:rPr>
              <w:t xml:space="preserve">Reference re Same-Sex Marriage, [2004] 3 S.C.R. 698 (Can.).</w:t>
            </w:r>
          </w:p>
          <w:p>
            <w:pPr>
              <w:spacing w:before="60" w:after="0" w:line="240" w:lineRule="auto"/>
              <w:jc w:val="both"/>
            </w:pPr>
            <w:r>
              <w:rPr>
                <w:rFonts w:ascii="Times New Roman" w:hAnsi="Times New Roman" w:cs="Times New Roman" w:eastAsia="Times New Roman"/>
                <w:sz w:val="28"/>
                <w:szCs w:val="28"/>
              </w:rPr>
              <w:t xml:space="preserve">The Supreme Court of Canada advised that Parliament has the authority to extend civil marriage to same-sex couples and that doing so is consistent with the Canadian Charter of Rights and Freedoms.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of Canada Judgments (scc-csc.lexum.com); CanLII</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9.</w:t>
            </w:r>
          </w:p>
        </w:tc>
        <w:tc>
          <w:tcPr>
            <w:tcW w:w="9800" w:type="dxa"/>
          </w:tcPr>
          <w:p>
            <w:pPr>
              <w:spacing w:before="0" w:after="0" w:line="240" w:lineRule="auto"/>
              <w:jc w:val="left"/>
            </w:pPr>
            <w:r>
              <w:rPr>
                <w:rFonts w:ascii="Times New Roman" w:hAnsi="Times New Roman" w:cs="Times New Roman" w:eastAsia="Times New Roman"/>
                <w:sz w:val="28"/>
                <w:szCs w:val="28"/>
              </w:rPr>
              <w:t xml:space="preserve">Can. Civil Marriage Act, S.C. 2005, c. 33.</w:t>
            </w:r>
          </w:p>
          <w:p>
            <w:pPr>
              <w:spacing w:before="60" w:after="0" w:line="240" w:lineRule="auto"/>
              <w:jc w:val="both"/>
            </w:pPr>
            <w:r>
              <w:rPr>
                <w:rFonts w:ascii="Times New Roman" w:hAnsi="Times New Roman" w:cs="Times New Roman" w:eastAsia="Times New Roman"/>
                <w:sz w:val="28"/>
                <w:szCs w:val="28"/>
              </w:rPr>
              <w:t xml:space="preserve">Defines marriage for civil purposes as “the lawful union of two persons to the exclusion of all others,” legalizing same-sex marriage throughout Canada.</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Justice Laws Website (laws-lois.justice.gc.ca)</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10.</w:t>
            </w:r>
          </w:p>
        </w:tc>
        <w:tc>
          <w:tcPr>
            <w:tcW w:w="9800" w:type="dxa"/>
          </w:tcPr>
          <w:p>
            <w:pPr>
              <w:spacing w:before="0" w:after="0" w:line="240" w:lineRule="auto"/>
              <w:jc w:val="left"/>
            </w:pPr>
            <w:r>
              <w:rPr>
                <w:rFonts w:ascii="Times New Roman" w:hAnsi="Times New Roman" w:cs="Times New Roman" w:eastAsia="Times New Roman"/>
                <w:sz w:val="28"/>
                <w:szCs w:val="28"/>
              </w:rPr>
              <w:t xml:space="preserve">Minister of Home Affairs v. Fourie, 2006 (1) SA 524 (CC) (S. Afr.).</w:t>
            </w:r>
          </w:p>
          <w:p>
            <w:pPr>
              <w:spacing w:before="60" w:after="0" w:line="240" w:lineRule="auto"/>
              <w:jc w:val="both"/>
            </w:pPr>
            <w:r>
              <w:rPr>
                <w:rFonts w:ascii="Times New Roman" w:hAnsi="Times New Roman" w:cs="Times New Roman" w:eastAsia="Times New Roman"/>
                <w:sz w:val="28"/>
                <w:szCs w:val="28"/>
              </w:rPr>
              <w:t xml:space="preserve">The Constitutional Court of South Africa held that excluding same-sex couples from marriage violated their rights to equality and dignity and directed Parliament to cure the defect, leading to the Civil Union Act 17 of 2006.</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SAFLII (saflii.org); Constitutional Court of South Africa website</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11.</w:t>
            </w:r>
          </w:p>
        </w:tc>
        <w:tc>
          <w:tcPr>
            <w:tcW w:w="9800" w:type="dxa"/>
          </w:tcPr>
          <w:p>
            <w:pPr>
              <w:spacing w:before="0" w:after="0" w:line="240" w:lineRule="auto"/>
              <w:jc w:val="left"/>
            </w:pPr>
            <w:r>
              <w:rPr>
                <w:rFonts w:ascii="Times New Roman" w:hAnsi="Times New Roman" w:cs="Times New Roman" w:eastAsia="Times New Roman"/>
                <w:sz w:val="28"/>
                <w:szCs w:val="28"/>
              </w:rPr>
              <w:t xml:space="preserve">U.K. Marriage (Same Sex Couples) Act 2013, c. 30.</w:t>
            </w:r>
          </w:p>
          <w:p>
            <w:pPr>
              <w:spacing w:before="60" w:after="0" w:line="240" w:lineRule="auto"/>
              <w:jc w:val="both"/>
            </w:pPr>
            <w:r>
              <w:rPr>
                <w:rFonts w:ascii="Times New Roman" w:hAnsi="Times New Roman" w:cs="Times New Roman" w:eastAsia="Times New Roman"/>
                <w:sz w:val="28"/>
                <w:szCs w:val="28"/>
              </w:rPr>
              <w:t xml:space="preserve">Extended marriage to same-sex couples in England and Wales while protecting religious organizations that decline to solemnize such marriages.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legislation.gov.uk</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12.</w:t>
            </w:r>
          </w:p>
        </w:tc>
        <w:tc>
          <w:tcPr>
            <w:tcW w:w="9800" w:type="dxa"/>
          </w:tcPr>
          <w:p>
            <w:pPr>
              <w:spacing w:before="0" w:after="0" w:line="240" w:lineRule="auto"/>
              <w:jc w:val="left"/>
            </w:pPr>
            <w:r>
              <w:rPr>
                <w:rFonts w:ascii="Times New Roman" w:hAnsi="Times New Roman" w:cs="Times New Roman" w:eastAsia="Times New Roman"/>
                <w:sz w:val="28"/>
                <w:szCs w:val="28"/>
              </w:rPr>
              <w:t xml:space="preserve">Austl. Marriage Amendment (Definition and Religious Freedoms) Act 2017 (Cth).</w:t>
            </w:r>
          </w:p>
          <w:p>
            <w:pPr>
              <w:spacing w:before="60" w:after="0" w:line="240" w:lineRule="auto"/>
              <w:jc w:val="both"/>
            </w:pPr>
            <w:r>
              <w:rPr>
                <w:rFonts w:ascii="Times New Roman" w:hAnsi="Times New Roman" w:cs="Times New Roman" w:eastAsia="Times New Roman"/>
                <w:sz w:val="28"/>
                <w:szCs w:val="28"/>
              </w:rPr>
              <w:t xml:space="preserve">Redefined marriage in the Marriage Act 1961 as a union of two people rather than of a man and a woman, following a national postal survey, while allowing religious celebrants to decline to solemnize same-sex marriages.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Federal Register of Legislation (legislation.gov.au)</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13.</w:t>
            </w:r>
          </w:p>
        </w:tc>
        <w:tc>
          <w:tcPr>
            <w:tcW w:w="9800" w:type="dxa"/>
          </w:tcPr>
          <w:p>
            <w:pPr>
              <w:spacing w:before="0" w:after="0" w:line="240" w:lineRule="auto"/>
              <w:jc w:val="left"/>
            </w:pPr>
            <w:r>
              <w:rPr>
                <w:rFonts w:ascii="Times New Roman" w:hAnsi="Times New Roman" w:cs="Times New Roman" w:eastAsia="Times New Roman"/>
                <w:sz w:val="28"/>
                <w:szCs w:val="28"/>
              </w:rPr>
              <w:t xml:space="preserve">J.Y. Interpretation No. 748 (Judicial Yuan, May 24, 2017) (Taiwan).</w:t>
            </w:r>
          </w:p>
          <w:p>
            <w:pPr>
              <w:spacing w:before="60" w:after="0" w:line="240" w:lineRule="auto"/>
              <w:jc w:val="both"/>
            </w:pPr>
            <w:r>
              <w:rPr>
                <w:rFonts w:ascii="Times New Roman" w:hAnsi="Times New Roman" w:cs="Times New Roman" w:eastAsia="Times New Roman"/>
                <w:sz w:val="28"/>
                <w:szCs w:val="28"/>
              </w:rPr>
              <w:t xml:space="preserve">Taiwan’s Constitutional Court held that the Civil Code’s failure to allow same-sex couples to form a permanent union violated the freedom of marriage and the right to equality, giving the legislature two years to act.</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Constitutional Court, Republic of China (Taiwan) website (cons.judicial.gov.tw)</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14.</w:t>
            </w:r>
          </w:p>
        </w:tc>
        <w:tc>
          <w:tcPr>
            <w:tcW w:w="9800" w:type="dxa"/>
          </w:tcPr>
          <w:p>
            <w:pPr>
              <w:spacing w:before="0" w:after="0" w:line="240" w:lineRule="auto"/>
              <w:jc w:val="left"/>
            </w:pPr>
            <w:r>
              <w:rPr>
                <w:rFonts w:ascii="Times New Roman" w:hAnsi="Times New Roman" w:cs="Times New Roman" w:eastAsia="Times New Roman"/>
                <w:sz w:val="28"/>
                <w:szCs w:val="28"/>
              </w:rPr>
              <w:t xml:space="preserve">Taiwan Act for Implementation of J.Y. Interpretation No. 748 (2019).</w:t>
            </w:r>
          </w:p>
          <w:p>
            <w:pPr>
              <w:spacing w:before="60" w:after="0" w:line="240" w:lineRule="auto"/>
              <w:jc w:val="both"/>
            </w:pPr>
            <w:r>
              <w:rPr>
                <w:rFonts w:ascii="Times New Roman" w:hAnsi="Times New Roman" w:cs="Times New Roman" w:eastAsia="Times New Roman"/>
                <w:sz w:val="28"/>
                <w:szCs w:val="28"/>
              </w:rPr>
              <w:t xml:space="preserve">Made Taiwan the first jurisdiction in Asia to allow same-sex couples to register marriages, through a special statute rather than an amendment of the Civil Code.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Laws &amp; Regulations Database of the Republic of China (law.moj.gov.tw)</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15.</w:t>
            </w:r>
          </w:p>
        </w:tc>
        <w:tc>
          <w:tcPr>
            <w:tcW w:w="9800" w:type="dxa"/>
          </w:tcPr>
          <w:p>
            <w:pPr>
              <w:spacing w:before="0" w:after="0" w:line="240" w:lineRule="auto"/>
              <w:jc w:val="left"/>
            </w:pPr>
            <w:r>
              <w:rPr>
                <w:rFonts w:ascii="Times New Roman" w:hAnsi="Times New Roman" w:cs="Times New Roman" w:eastAsia="Times New Roman"/>
                <w:sz w:val="28"/>
                <w:szCs w:val="28"/>
              </w:rPr>
              <w:t xml:space="preserve">Thai. Civil and Commercial Code Amendment Act (No. 24), B.E. 2567 (2024).</w:t>
            </w:r>
          </w:p>
          <w:p>
            <w:pPr>
              <w:spacing w:before="60" w:after="0" w:line="240" w:lineRule="auto"/>
              <w:jc w:val="both"/>
            </w:pPr>
            <w:r>
              <w:rPr>
                <w:rFonts w:ascii="Times New Roman" w:hAnsi="Times New Roman" w:cs="Times New Roman" w:eastAsia="Times New Roman"/>
                <w:sz w:val="28"/>
                <w:szCs w:val="28"/>
              </w:rPr>
              <w:t xml:space="preserve">Thailand’s Marriage Equality Act, effective January 23, 2025, replaced gendered terms with gender-neutral ones and made Thailand the first ASEAN member State to legalize same-sex marriage.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Royal Thai Government Gazette (ratchakitcha.soc.go.th)</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16.</w:t>
            </w:r>
          </w:p>
        </w:tc>
        <w:tc>
          <w:tcPr>
            <w:tcW w:w="9800" w:type="dxa"/>
          </w:tcPr>
          <w:p>
            <w:pPr>
              <w:spacing w:before="0" w:after="0" w:line="240" w:lineRule="auto"/>
              <w:jc w:val="left"/>
            </w:pPr>
            <w:r>
              <w:rPr>
                <w:rFonts w:ascii="Times New Roman" w:hAnsi="Times New Roman" w:cs="Times New Roman" w:eastAsia="Times New Roman"/>
                <w:sz w:val="28"/>
                <w:szCs w:val="28"/>
              </w:rPr>
              <w:t xml:space="preserve">Sham Tsz Kit v. Secretary for Justice, [2023] HKCFA 28 (H.K.).</w:t>
            </w:r>
          </w:p>
          <w:p>
            <w:pPr>
              <w:spacing w:before="60" w:after="0" w:line="240" w:lineRule="auto"/>
              <w:jc w:val="both"/>
            </w:pPr>
            <w:r>
              <w:rPr>
                <w:rFonts w:ascii="Times New Roman" w:hAnsi="Times New Roman" w:cs="Times New Roman" w:eastAsia="Times New Roman"/>
                <w:sz w:val="28"/>
                <w:szCs w:val="28"/>
              </w:rPr>
              <w:t xml:space="preserve">Hong Kong’s Court of Final Appeal required the government to establish an alternative framework for recognizing same-sex partnerships without requiring same-sex marriage; the resulting bill was rejected by the Legislative Council in September 2025.</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Hong Kong Judiciary Legal Reference System (legalref.judiciary.hk); HKLII</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17.</w:t>
            </w:r>
          </w:p>
        </w:tc>
        <w:tc>
          <w:tcPr>
            <w:tcW w:w="9800" w:type="dxa"/>
          </w:tcPr>
          <w:p>
            <w:pPr>
              <w:spacing w:before="0" w:after="0" w:line="240" w:lineRule="auto"/>
              <w:jc w:val="left"/>
            </w:pPr>
            <w:r>
              <w:rPr>
                <w:rFonts w:ascii="Times New Roman" w:hAnsi="Times New Roman" w:cs="Times New Roman" w:eastAsia="Times New Roman"/>
                <w:sz w:val="28"/>
                <w:szCs w:val="28"/>
              </w:rPr>
              <w:t xml:space="preserve">QT v. Director of Immigration, [2018] HKCFA 28 (H.K.).</w:t>
            </w:r>
          </w:p>
          <w:p>
            <w:pPr>
              <w:spacing w:before="60" w:after="0" w:line="240" w:lineRule="auto"/>
              <w:jc w:val="both"/>
            </w:pPr>
            <w:r>
              <w:rPr>
                <w:rFonts w:ascii="Times New Roman" w:hAnsi="Times New Roman" w:cs="Times New Roman" w:eastAsia="Times New Roman"/>
                <w:sz w:val="28"/>
                <w:szCs w:val="28"/>
              </w:rPr>
              <w:t xml:space="preserve">Held that denying a dependant visa to the same-sex civil partner of an employment-visa holder was unjustified, prompting recognition of foreign same-sex unions for immigration purposes.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Hong Kong Judiciary Legal Reference System (legalref.judiciary.hk); HKLII</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18.</w:t>
            </w:r>
          </w:p>
        </w:tc>
        <w:tc>
          <w:tcPr>
            <w:tcW w:w="9800" w:type="dxa"/>
          </w:tcPr>
          <w:p>
            <w:pPr>
              <w:spacing w:before="0" w:after="0" w:line="240" w:lineRule="auto"/>
              <w:jc w:val="left"/>
            </w:pPr>
            <w:r>
              <w:rPr>
                <w:rFonts w:ascii="Times New Roman" w:hAnsi="Times New Roman" w:cs="Times New Roman" w:eastAsia="Times New Roman"/>
                <w:sz w:val="28"/>
                <w:szCs w:val="28"/>
              </w:rPr>
              <w:t xml:space="preserve">Supriyo Chakraborty v. Union of India, 2023 INSC 920 (India).</w:t>
            </w:r>
          </w:p>
          <w:p>
            <w:pPr>
              <w:spacing w:before="60" w:after="0" w:line="240" w:lineRule="auto"/>
              <w:jc w:val="both"/>
            </w:pPr>
            <w:r>
              <w:rPr>
                <w:rFonts w:ascii="Times New Roman" w:hAnsi="Times New Roman" w:cs="Times New Roman" w:eastAsia="Times New Roman"/>
                <w:sz w:val="28"/>
                <w:szCs w:val="28"/>
              </w:rPr>
              <w:t xml:space="preserve">The Supreme Court of India declined to recognize a fundamental right of queer couples to marry or to read same-sex marriage into the Special Marriage Act, leaving the matter to Parliament.</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Supreme Court of India website (sci.gov.in); Indian Kanoon</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19.</w:t>
            </w:r>
          </w:p>
        </w:tc>
        <w:tc>
          <w:tcPr>
            <w:tcW w:w="9800" w:type="dxa"/>
          </w:tcPr>
          <w:p>
            <w:pPr>
              <w:spacing w:before="0" w:after="0" w:line="240" w:lineRule="auto"/>
              <w:jc w:val="left"/>
            </w:pPr>
            <w:r>
              <w:rPr>
                <w:rFonts w:ascii="Times New Roman" w:hAnsi="Times New Roman" w:cs="Times New Roman" w:eastAsia="Times New Roman"/>
                <w:sz w:val="28"/>
                <w:szCs w:val="28"/>
              </w:rPr>
              <w:t xml:space="preserve">Judgment of March 14, 2024, Sapporo Kōtō Saibansho [Sapporo High Court] (Japan).</w:t>
            </w:r>
          </w:p>
          <w:p>
            <w:pPr>
              <w:spacing w:before="60" w:after="0" w:line="240" w:lineRule="auto"/>
              <w:jc w:val="both"/>
            </w:pPr>
            <w:r>
              <w:rPr>
                <w:rFonts w:ascii="Times New Roman" w:hAnsi="Times New Roman" w:cs="Times New Roman" w:eastAsia="Times New Roman"/>
                <w:sz w:val="28"/>
                <w:szCs w:val="28"/>
              </w:rPr>
              <w:t xml:space="preserve">Held that Japan’s non-recognition of same-sex marriage is unconstitutional, one of several high court rulings referred in 2026 to the Grand Bench of the Supreme Court of Japan.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Courts in Japan website (courts.go.jp)</w:t>
            </w: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20.</w:t>
            </w:r>
          </w:p>
        </w:tc>
        <w:tc>
          <w:tcPr>
            <w:tcW w:w="9800" w:type="dxa"/>
          </w:tcPr>
          <w:p>
            <w:pPr>
              <w:spacing w:before="0" w:after="0" w:line="240" w:lineRule="auto"/>
              <w:jc w:val="left"/>
            </w:pPr>
            <w:r>
              <w:rPr>
                <w:rFonts w:ascii="Times New Roman" w:hAnsi="Times New Roman" w:cs="Times New Roman" w:eastAsia="Times New Roman"/>
                <w:sz w:val="28"/>
                <w:szCs w:val="28"/>
              </w:rPr>
              <w:t xml:space="preserve">Code of Canon Law (1983), can. 1055, § 1 (Holy See).</w:t>
            </w:r>
          </w:p>
          <w:p>
            <w:pPr>
              <w:spacing w:before="60" w:after="0" w:line="240" w:lineRule="auto"/>
              <w:jc w:val="both"/>
            </w:pPr>
            <w:r>
              <w:rPr>
                <w:rFonts w:ascii="Times New Roman" w:hAnsi="Times New Roman" w:cs="Times New Roman" w:eastAsia="Times New Roman"/>
                <w:sz w:val="28"/>
                <w:szCs w:val="28"/>
              </w:rPr>
              <w:t xml:space="preserve">Defines the matrimonial covenant as one “by which a man and a woman establish between themselves a partnership of the whole of life,” a canonical source given persuasive weight in Philippine family law.</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r>
              <w:rPr>
                <w:rFonts w:ascii="Times New Roman" w:hAnsi="Times New Roman" w:cs="Times New Roman" w:eastAsia="Times New Roman"/>
                <w:sz w:val="28"/>
                <w:szCs w:val="28"/>
              </w:rPr>
              <w:t xml:space="preserve">Holy See website (vatican.va)</w:t>
            </w:r>
          </w:p>
        </w:tc>
      </w:tr>
      <w:tr w:rsidR="00C9537E" w:rsidRPr="00962418" w14:paraId="277F7A0D" w14:textId="77777777" w:rsidTr="00962418">
        <w:tc>
          <w:tcPr>
            <w:tcW w:w="760" w:type="dxa"/>
            <w:tcBorders>
              <w:top w:val="single" w:sz="24" w:space="0" w:color="auto"/>
            </w:tcBorders>
          </w:tcPr>
          <w:p w14:paraId="478B2AE6" w14:textId="77777777" w:rsidR="00C9537E" w:rsidRPr="00962418" w:rsidRDefault="00C9537E" w:rsidP="00C154F1">
            <w:pPr>
              <w:jc w:val="both"/>
              <w:rPr>
                <w:rFonts w:ascii="Times New Roman" w:hAnsi="Times New Roman" w:cs="Times New Roman" w:eastAsia="Times New Roman"/>
                <w:b/>
                <w:bCs/>
                <w:sz w:val="28"/>
                <w:szCs w:val="28"/>
              </w:rPr>
            </w:pPr>
          </w:p>
        </w:tc>
        <w:tc>
          <w:tcPr>
            <w:tcW w:w="16425" w:type="dxa"/>
            <w:gridSpan w:val="3"/>
            <w:tcBorders>
              <w:top w:val="single" w:sz="24" w:space="0" w:color="auto"/>
            </w:tcBorders>
          </w:tcPr>
          <w:p w14:paraId="2E630339" w14:textId="53CB742B" w:rsidR="00C9537E" w:rsidRPr="00962418" w:rsidRDefault="00C9537E" w:rsidP="00C9537E">
            <w:pPr>
              <w:jc w:val="center"/>
              <w:rPr>
                <w:rFonts w:ascii="Times New Roman" w:hAnsi="Times New Roman" w:cs="Times New Roman" w:eastAsia="Times New Roman"/>
                <w:b/>
                <w:bCs/>
                <w:sz w:val="28"/>
                <w:szCs w:val="28"/>
              </w:rPr>
            </w:pPr>
            <w:r w:rsidRPr="00962418">
              <w:rPr>
                <w:rFonts w:ascii="Times New Roman" w:hAnsi="Times New Roman" w:cs="Times New Roman" w:eastAsia="Times New Roman"/>
                <w:b/>
                <w:bCs/>
                <w:sz w:val="28"/>
                <w:szCs w:val="28"/>
              </w:rPr>
              <w:t xml:space="preserve">SECONDARY </w:t>
            </w:r>
            <w:r w:rsidR="008C1B6A">
              <w:rPr>
                <w:rFonts w:ascii="Times New Roman" w:hAnsi="Times New Roman" w:cs="Times New Roman" w:eastAsia="Times New Roman"/>
                <w:b/>
                <w:bCs/>
                <w:sz w:val="28"/>
                <w:szCs w:val="28"/>
              </w:rPr>
              <w:t>SOURCES</w:t>
            </w: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A.</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TREATISES AND LEGAL BOOKS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1 </w:t>
            </w:r>
            <w:r>
              <w:rPr>
                <w:rFonts w:ascii="Times New Roman" w:hAnsi="Times New Roman" w:cs="Times New Roman" w:eastAsia="Times New Roman"/>
                <w:smallCaps/>
                <w:sz w:val="28"/>
                <w:szCs w:val="28"/>
              </w:rPr>
              <w:t xml:space="preserve">Arturo M. Tolentino, Commentaries and Jurisprudence on the Civil Code of the Philippines</w:t>
            </w:r>
            <w:r>
              <w:rPr>
                <w:rFonts w:ascii="Times New Roman" w:hAnsi="Times New Roman" w:cs="Times New Roman" w:eastAsia="Times New Roman"/>
                <w:sz w:val="28"/>
                <w:szCs w:val="28"/>
              </w:rPr>
              <w:t xml:space="preserve"> (1990).</w:t>
            </w:r>
          </w:p>
          <w:p>
            <w:pPr>
              <w:spacing w:before="60" w:after="0" w:line="240" w:lineRule="auto"/>
              <w:jc w:val="both"/>
            </w:pPr>
            <w:r>
              <w:rPr>
                <w:rFonts w:ascii="Times New Roman" w:hAnsi="Times New Roman" w:cs="Times New Roman" w:eastAsia="Times New Roman"/>
                <w:sz w:val="28"/>
                <w:szCs w:val="28"/>
              </w:rPr>
              <w:t xml:space="preserve">The leading civil law treatise by a member of the Code Commission, explaining the nature, requisites, and effects of marriage under the Family Code.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Alicia V. Sempio-Diy, Handbook on the Family Code of the Philippines</w:t>
            </w:r>
            <w:r>
              <w:rPr>
                <w:rFonts w:ascii="Times New Roman" w:hAnsi="Times New Roman" w:cs="Times New Roman" w:eastAsia="Times New Roman"/>
                <w:sz w:val="28"/>
                <w:szCs w:val="28"/>
              </w:rPr>
              <w:t xml:space="preserve"> (1988).</w:t>
            </w:r>
          </w:p>
          <w:p>
            <w:pPr>
              <w:spacing w:before="60" w:after="0" w:line="240" w:lineRule="auto"/>
              <w:jc w:val="both"/>
            </w:pPr>
            <w:r>
              <w:rPr>
                <w:rFonts w:ascii="Times New Roman" w:hAnsi="Times New Roman" w:cs="Times New Roman" w:eastAsia="Times New Roman"/>
                <w:sz w:val="28"/>
                <w:szCs w:val="28"/>
              </w:rPr>
              <w:t xml:space="preserve">Written by a member of the committees that drafted the Family Code, it explains the drafters’ rationale for the requisites of marriage and the grounds for annulment and legal separation, including those involving homosexuality.</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Melencio S. Sta. Maria, Jr., Persons and Family Relations Law</w:t>
            </w:r>
            <w:r>
              <w:rPr>
                <w:rFonts w:ascii="Times New Roman" w:hAnsi="Times New Roman" w:cs="Times New Roman" w:eastAsia="Times New Roman"/>
                <w:sz w:val="28"/>
                <w:szCs w:val="28"/>
              </w:rPr>
              <w:t xml:space="preserve"> (5th ed., 2010).</w:t>
            </w:r>
          </w:p>
          <w:p>
            <w:pPr>
              <w:spacing w:before="60" w:after="0" w:line="240" w:lineRule="auto"/>
              <w:jc w:val="both"/>
            </w:pPr>
            <w:r>
              <w:rPr>
                <w:rFonts w:ascii="Times New Roman" w:hAnsi="Times New Roman" w:cs="Times New Roman" w:eastAsia="Times New Roman"/>
                <w:sz w:val="28"/>
                <w:szCs w:val="28"/>
              </w:rPr>
              <w:t xml:space="preserve">A widely used treatise on the Family Code that discusses the essential requisites of marriage, including the requirement that the contracting parties be a male and a female.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Joaquin G. Bernas, S.J., The 1987 Constitution of the Republic of the Philippines: A Commentary</w:t>
            </w:r>
            <w:r>
              <w:rPr>
                <w:rFonts w:ascii="Times New Roman" w:hAnsi="Times New Roman" w:cs="Times New Roman" w:eastAsia="Times New Roman"/>
                <w:sz w:val="28"/>
                <w:szCs w:val="28"/>
              </w:rPr>
              <w:t xml:space="preserve"> (2009).</w:t>
            </w:r>
          </w:p>
          <w:p>
            <w:pPr>
              <w:spacing w:before="60" w:after="0" w:line="240" w:lineRule="auto"/>
              <w:jc w:val="both"/>
            </w:pPr>
            <w:r>
              <w:rPr>
                <w:rFonts w:ascii="Times New Roman" w:hAnsi="Times New Roman" w:cs="Times New Roman" w:eastAsia="Times New Roman"/>
                <w:sz w:val="28"/>
                <w:szCs w:val="28"/>
              </w:rPr>
              <w:t xml:space="preserve">The authoritative commentary by a member of the 1986 Constitutional Commission on the equal protection clause and on Article XV’s provisions on marriage and the family.</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Joaquin G. Bernas, S.J., The Intent of the 1986 Constitution Writers</w:t>
            </w:r>
            <w:r>
              <w:rPr>
                <w:rFonts w:ascii="Times New Roman" w:hAnsi="Times New Roman" w:cs="Times New Roman" w:eastAsia="Times New Roman"/>
                <w:sz w:val="28"/>
                <w:szCs w:val="28"/>
              </w:rPr>
              <w:t xml:space="preserve"> (1995).</w:t>
            </w:r>
          </w:p>
          <w:p>
            <w:pPr>
              <w:spacing w:before="60" w:after="0" w:line="240" w:lineRule="auto"/>
              <w:jc w:val="both"/>
            </w:pPr>
            <w:r>
              <w:rPr>
                <w:rFonts w:ascii="Times New Roman" w:hAnsi="Times New Roman" w:cs="Times New Roman" w:eastAsia="Times New Roman"/>
                <w:sz w:val="28"/>
                <w:szCs w:val="28"/>
              </w:rPr>
              <w:t xml:space="preserve">Reconstructs the deliberations of the Constitutional Commission, useful in determining what the framers intended by the protection of marriage in Article XV.</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Legal Recognition of Same-Sex Partnerships: A Study of National, European and International Law</w:t>
            </w:r>
            <w:r>
              <w:rPr>
                <w:rFonts w:ascii="Times New Roman" w:hAnsi="Times New Roman" w:cs="Times New Roman" w:eastAsia="Times New Roman"/>
                <w:sz w:val="28"/>
                <w:szCs w:val="28"/>
              </w:rPr>
              <w:t xml:space="preserve"> (Robert Wintemute &amp; Mads Andenæs eds., 2001).</w:t>
            </w:r>
          </w:p>
          <w:p>
            <w:pPr>
              <w:spacing w:before="60" w:after="0" w:line="240" w:lineRule="auto"/>
              <w:jc w:val="both"/>
            </w:pPr>
            <w:r>
              <w:rPr>
                <w:rFonts w:ascii="Times New Roman" w:hAnsi="Times New Roman" w:cs="Times New Roman" w:eastAsia="Times New Roman"/>
                <w:sz w:val="28"/>
                <w:szCs w:val="28"/>
              </w:rPr>
              <w:t xml:space="preserve">A comprehensive comparative study of registered partnership and marriage regimes for same-sex couples across national, European, and international law.</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William N. Eskridge, Jr., The Case for Same-Sex Marriage: From Sexual Liberty to Civilized Commitment</w:t>
            </w:r>
            <w:r>
              <w:rPr>
                <w:rFonts w:ascii="Times New Roman" w:hAnsi="Times New Roman" w:cs="Times New Roman" w:eastAsia="Times New Roman"/>
                <w:sz w:val="28"/>
                <w:szCs w:val="28"/>
              </w:rPr>
              <w:t xml:space="preserve"> (1996).</w:t>
            </w:r>
          </w:p>
          <w:p>
            <w:pPr>
              <w:spacing w:before="60" w:after="0" w:line="240" w:lineRule="auto"/>
              <w:jc w:val="both"/>
            </w:pPr>
            <w:r>
              <w:rPr>
                <w:rFonts w:ascii="Times New Roman" w:hAnsi="Times New Roman" w:cs="Times New Roman" w:eastAsia="Times New Roman"/>
                <w:sz w:val="28"/>
                <w:szCs w:val="28"/>
              </w:rPr>
              <w:t xml:space="preserve">A foundational legal argument for same-sex marriage grounded on history, equality, and the social value of committed relationships.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8.</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William N. Eskridge, Jr. &amp; Christopher R. Riano, Marriage Equality: From Outlaws to In-Laws</w:t>
            </w:r>
            <w:r>
              <w:rPr>
                <w:rFonts w:ascii="Times New Roman" w:hAnsi="Times New Roman" w:cs="Times New Roman" w:eastAsia="Times New Roman"/>
                <w:sz w:val="28"/>
                <w:szCs w:val="28"/>
              </w:rPr>
              <w:t xml:space="preserve"> (2020).</w:t>
            </w:r>
          </w:p>
          <w:p>
            <w:pPr>
              <w:spacing w:before="60" w:after="0" w:line="240" w:lineRule="auto"/>
              <w:jc w:val="both"/>
            </w:pPr>
            <w:r>
              <w:rPr>
                <w:rFonts w:ascii="Times New Roman" w:hAnsi="Times New Roman" w:cs="Times New Roman" w:eastAsia="Times New Roman"/>
                <w:sz w:val="28"/>
                <w:szCs w:val="28"/>
              </w:rPr>
              <w:t xml:space="preserve">A comprehensive legal history of the movement that culminated in </w:t>
            </w:r>
            <w:r>
              <w:rPr>
                <w:rFonts w:ascii="Times New Roman" w:hAnsi="Times New Roman" w:cs="Times New Roman" w:eastAsia="Times New Roman"/>
                <w:i/>
                <w:iCs/>
                <w:sz w:val="28"/>
                <w:szCs w:val="28"/>
              </w:rPr>
              <w:t xml:space="preserve">Obergefell v. Hodges</w:t>
            </w:r>
            <w:r>
              <w:rPr>
                <w:rFonts w:ascii="Times New Roman" w:hAnsi="Times New Roman" w:cs="Times New Roman" w:eastAsia="Times New Roman"/>
                <w:sz w:val="28"/>
                <w:szCs w:val="28"/>
              </w:rPr>
              <w:t xml:space="preserve">, useful for comparing litigation and legislative strategies.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9.</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Michael J. Klarman, From the Closet to the Altar: Courts, Backlash, and the Struggle for Same-Sex Marriage</w:t>
            </w:r>
            <w:r>
              <w:rPr>
                <w:rFonts w:ascii="Times New Roman" w:hAnsi="Times New Roman" w:cs="Times New Roman" w:eastAsia="Times New Roman"/>
                <w:sz w:val="28"/>
                <w:szCs w:val="28"/>
              </w:rPr>
              <w:t xml:space="preserve"> (2013).</w:t>
            </w:r>
          </w:p>
          <w:p>
            <w:pPr>
              <w:spacing w:before="60" w:after="0" w:line="240" w:lineRule="auto"/>
              <w:jc w:val="both"/>
            </w:pPr>
            <w:r>
              <w:rPr>
                <w:rFonts w:ascii="Times New Roman" w:hAnsi="Times New Roman" w:cs="Times New Roman" w:eastAsia="Times New Roman"/>
                <w:sz w:val="28"/>
                <w:szCs w:val="28"/>
              </w:rPr>
              <w:t xml:space="preserve">Examines how court rulings on same-sex marriage in the United States provoked political backlash, offering perspective on the Philippine Supreme Court’s deference to Congress in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10.</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Yuval Merin, Equality for Same-Sex Couples: The Legal Recognition of Gay Partnerships in Europe and the United States</w:t>
            </w:r>
            <w:r>
              <w:rPr>
                <w:rFonts w:ascii="Times New Roman" w:hAnsi="Times New Roman" w:cs="Times New Roman" w:eastAsia="Times New Roman"/>
                <w:sz w:val="28"/>
                <w:szCs w:val="28"/>
              </w:rPr>
              <w:t xml:space="preserve"> (2002).</w:t>
            </w:r>
          </w:p>
          <w:p>
            <w:pPr>
              <w:spacing w:before="60" w:after="0" w:line="240" w:lineRule="auto"/>
              <w:jc w:val="both"/>
            </w:pPr>
            <w:r>
              <w:rPr>
                <w:rFonts w:ascii="Times New Roman" w:hAnsi="Times New Roman" w:cs="Times New Roman" w:eastAsia="Times New Roman"/>
                <w:sz w:val="28"/>
                <w:szCs w:val="28"/>
              </w:rPr>
              <w:t xml:space="preserve">Compares models of partnership recognition short of marriage, informing the civil partnership alternative proposed in Philippine bills.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11.</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Paul Johnson, Homosexuality and the European Court of Human Rights</w:t>
            </w:r>
            <w:r>
              <w:rPr>
                <w:rFonts w:ascii="Times New Roman" w:hAnsi="Times New Roman" w:cs="Times New Roman" w:eastAsia="Times New Roman"/>
                <w:sz w:val="28"/>
                <w:szCs w:val="28"/>
              </w:rPr>
              <w:t xml:space="preserve"> (2013).</w:t>
            </w:r>
          </w:p>
          <w:p>
            <w:pPr>
              <w:spacing w:before="60" w:after="0" w:line="240" w:lineRule="auto"/>
              <w:jc w:val="both"/>
            </w:pPr>
            <w:r>
              <w:rPr>
                <w:rFonts w:ascii="Times New Roman" w:hAnsi="Times New Roman" w:cs="Times New Roman" w:eastAsia="Times New Roman"/>
                <w:sz w:val="28"/>
                <w:szCs w:val="28"/>
              </w:rPr>
              <w:t xml:space="preserve">Analyzes the European Court of Human Rights’ case law on sexual orientation, including its gradual approach to recognizing same-sex relationships.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12.</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Sherif Girgis, Ryan T. Anderson &amp; Robert P. George, What Is Marriage? Man and Woman: A Defense</w:t>
            </w:r>
            <w:r>
              <w:rPr>
                <w:rFonts w:ascii="Times New Roman" w:hAnsi="Times New Roman" w:cs="Times New Roman" w:eastAsia="Times New Roman"/>
                <w:sz w:val="28"/>
                <w:szCs w:val="28"/>
              </w:rPr>
              <w:t xml:space="preserve"> (2012).</w:t>
            </w:r>
          </w:p>
          <w:p>
            <w:pPr>
              <w:spacing w:before="60" w:after="0" w:line="240" w:lineRule="auto"/>
              <w:jc w:val="both"/>
            </w:pPr>
            <w:r>
              <w:rPr>
                <w:rFonts w:ascii="Times New Roman" w:hAnsi="Times New Roman" w:cs="Times New Roman" w:eastAsia="Times New Roman"/>
                <w:sz w:val="28"/>
                <w:szCs w:val="28"/>
              </w:rPr>
              <w:t xml:space="preserve">Presents the leading natural-law argument for the conjugal, man-and-woman conception of marriage, representing the opposing view in the debate.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B.</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LAW JOURNAL AND LAW REVIEW ARTICLES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Ignacio Lorenzo Dela Cruz Villareal, </w:t>
            </w:r>
            <w:r>
              <w:rPr>
                <w:rFonts w:ascii="Times New Roman" w:hAnsi="Times New Roman" w:cs="Times New Roman" w:eastAsia="Times New Roman"/>
                <w:i/>
                <w:iCs/>
                <w:sz w:val="28"/>
                <w:szCs w:val="28"/>
              </w:rPr>
              <w:t xml:space="preserve">A Comprehensive Case for the Recognition in the Philippines of Same-Sex Marriages Between Filipinos Abroad</w:t>
            </w:r>
            <w:r>
              <w:rPr>
                <w:rFonts w:ascii="Times New Roman" w:hAnsi="Times New Roman" w:cs="Times New Roman" w:eastAsia="Times New Roman"/>
                <w:sz w:val="28"/>
                <w:szCs w:val="28"/>
              </w:rPr>
              <w:t xml:space="preserve">, 99 </w:t>
            </w:r>
            <w:r>
              <w:rPr>
                <w:rFonts w:ascii="Times New Roman" w:hAnsi="Times New Roman" w:cs="Times New Roman" w:eastAsia="Times New Roman"/>
                <w:smallCaps/>
                <w:sz w:val="28"/>
                <w:szCs w:val="28"/>
              </w:rPr>
              <w:t xml:space="preserve">Phil. L.J.</w:t>
            </w:r>
            <w:r>
              <w:rPr>
                <w:rFonts w:ascii="Times New Roman" w:hAnsi="Times New Roman" w:cs="Times New Roman" w:eastAsia="Times New Roman"/>
                <w:sz w:val="28"/>
                <w:szCs w:val="28"/>
              </w:rPr>
              <w:t xml:space="preserve"> 1 (2025).</w:t>
            </w:r>
          </w:p>
          <w:p>
            <w:pPr>
              <w:spacing w:before="60" w:after="0" w:line="240" w:lineRule="auto"/>
              <w:jc w:val="both"/>
            </w:pPr>
            <w:r>
              <w:rPr>
                <w:rFonts w:ascii="Times New Roman" w:hAnsi="Times New Roman" w:cs="Times New Roman" w:eastAsia="Times New Roman"/>
                <w:sz w:val="28"/>
                <w:szCs w:val="28"/>
              </w:rPr>
              <w:t xml:space="preserve">Argues that same-sex marriages of Filipinos validly celebrated abroad can and should be recognized under Article 26 of the Family Code without further legislation.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z w:val="28"/>
                <w:szCs w:val="28"/>
              </w:rPr>
              <w:t xml:space="preserve">Maria Janina Ann Bordon, </w:t>
            </w:r>
            <w:r>
              <w:rPr>
                <w:rFonts w:ascii="Times New Roman" w:hAnsi="Times New Roman" w:cs="Times New Roman" w:eastAsia="Times New Roman"/>
                <w:i/>
                <w:iCs/>
                <w:sz w:val="28"/>
                <w:szCs w:val="28"/>
              </w:rPr>
              <w:t xml:space="preserve">The Universal Human Rights to Marry and to Found a Family</w:t>
            </w:r>
            <w:r>
              <w:rPr>
                <w:rFonts w:ascii="Times New Roman" w:hAnsi="Times New Roman" w:cs="Times New Roman" w:eastAsia="Times New Roman"/>
                <w:sz w:val="28"/>
                <w:szCs w:val="28"/>
              </w:rPr>
              <w:t xml:space="preserve">, 88 </w:t>
            </w:r>
            <w:r>
              <w:rPr>
                <w:rFonts w:ascii="Times New Roman" w:hAnsi="Times New Roman" w:cs="Times New Roman" w:eastAsia="Times New Roman"/>
                <w:smallCaps/>
                <w:sz w:val="28"/>
                <w:szCs w:val="28"/>
              </w:rPr>
              <w:t xml:space="preserve">Phil. L.J.</w:t>
            </w:r>
            <w:r>
              <w:rPr>
                <w:rFonts w:ascii="Times New Roman" w:hAnsi="Times New Roman" w:cs="Times New Roman" w:eastAsia="Times New Roman"/>
                <w:sz w:val="28"/>
                <w:szCs w:val="28"/>
              </w:rPr>
              <w:t xml:space="preserve"> 848 (2014).</w:t>
            </w:r>
          </w:p>
          <w:p>
            <w:pPr>
              <w:spacing w:before="60" w:after="0" w:line="240" w:lineRule="auto"/>
              <w:jc w:val="both"/>
            </w:pPr>
            <w:r>
              <w:rPr>
                <w:rFonts w:ascii="Times New Roman" w:hAnsi="Times New Roman" w:cs="Times New Roman" w:eastAsia="Times New Roman"/>
                <w:sz w:val="28"/>
                <w:szCs w:val="28"/>
              </w:rPr>
              <w:t xml:space="preserve">Invokes the Yogyakarta Principles and international human rights law as a soft-law basis for the marriage rights of LGBT Filipinos.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z w:val="28"/>
                <w:szCs w:val="28"/>
              </w:rPr>
              <w:t xml:space="preserve">Oscar Franklin B. Tan, </w:t>
            </w:r>
            <w:r>
              <w:rPr>
                <w:rFonts w:ascii="Times New Roman" w:hAnsi="Times New Roman" w:cs="Times New Roman" w:eastAsia="Times New Roman"/>
                <w:i/>
                <w:iCs/>
                <w:sz w:val="28"/>
                <w:szCs w:val="28"/>
              </w:rPr>
              <w:t xml:space="preserve">Marriage Through Another Lens: Weighing the Validity of Same-Sex Marriages by Applying Arguments to Bisexuals and Transsexuals</w:t>
            </w:r>
            <w:r>
              <w:rPr>
                <w:rFonts w:ascii="Times New Roman" w:hAnsi="Times New Roman" w:cs="Times New Roman" w:eastAsia="Times New Roman"/>
                <w:sz w:val="28"/>
                <w:szCs w:val="28"/>
              </w:rPr>
              <w:t xml:space="preserve">, 81 </w:t>
            </w:r>
            <w:r>
              <w:rPr>
                <w:rFonts w:ascii="Times New Roman" w:hAnsi="Times New Roman" w:cs="Times New Roman" w:eastAsia="Times New Roman"/>
                <w:smallCaps/>
                <w:sz w:val="28"/>
                <w:szCs w:val="28"/>
              </w:rPr>
              <w:t xml:space="preserve">Phil. L.J.</w:t>
            </w:r>
            <w:r>
              <w:rPr>
                <w:rFonts w:ascii="Times New Roman" w:hAnsi="Times New Roman" w:cs="Times New Roman" w:eastAsia="Times New Roman"/>
                <w:sz w:val="28"/>
                <w:szCs w:val="28"/>
              </w:rPr>
              <w:t xml:space="preserve"> 789 (2007).</w:t>
            </w:r>
          </w:p>
          <w:p>
            <w:pPr>
              <w:spacing w:before="60" w:after="0" w:line="240" w:lineRule="auto"/>
              <w:jc w:val="both"/>
            </w:pPr>
            <w:r>
              <w:rPr>
                <w:rFonts w:ascii="Times New Roman" w:hAnsi="Times New Roman" w:cs="Times New Roman" w:eastAsia="Times New Roman"/>
                <w:sz w:val="28"/>
                <w:szCs w:val="28"/>
              </w:rPr>
              <w:t xml:space="preserve">Tests the arguments on the validity of same-sex marriages under Philippine law by applying them to bisexual and transsexual persons.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z w:val="28"/>
                <w:szCs w:val="28"/>
              </w:rPr>
              <w:t xml:space="preserve">Joseph T. Gonzales, </w:t>
            </w:r>
            <w:r>
              <w:rPr>
                <w:rFonts w:ascii="Times New Roman" w:hAnsi="Times New Roman" w:cs="Times New Roman" w:eastAsia="Times New Roman"/>
                <w:i/>
                <w:iCs/>
                <w:sz w:val="28"/>
                <w:szCs w:val="28"/>
              </w:rPr>
              <w:t xml:space="preserve">International Legal Protection for Homosexual Sexual Conduct</w:t>
            </w:r>
            <w:r>
              <w:rPr>
                <w:rFonts w:ascii="Times New Roman" w:hAnsi="Times New Roman" w:cs="Times New Roman" w:eastAsia="Times New Roman"/>
                <w:sz w:val="28"/>
                <w:szCs w:val="28"/>
              </w:rPr>
              <w:t xml:space="preserve">, 72 </w:t>
            </w:r>
            <w:r>
              <w:rPr>
                <w:rFonts w:ascii="Times New Roman" w:hAnsi="Times New Roman" w:cs="Times New Roman" w:eastAsia="Times New Roman"/>
                <w:smallCaps/>
                <w:sz w:val="28"/>
                <w:szCs w:val="28"/>
              </w:rPr>
              <w:t xml:space="preserve">Phil. L.J.</w:t>
            </w:r>
            <w:r>
              <w:rPr>
                <w:rFonts w:ascii="Times New Roman" w:hAnsi="Times New Roman" w:cs="Times New Roman" w:eastAsia="Times New Roman"/>
                <w:sz w:val="28"/>
                <w:szCs w:val="28"/>
              </w:rPr>
              <w:t xml:space="preserve"> 1 (1997).</w:t>
            </w:r>
          </w:p>
          <w:p>
            <w:pPr>
              <w:spacing w:before="60" w:after="0" w:line="240" w:lineRule="auto"/>
              <w:jc w:val="both"/>
            </w:pPr>
            <w:r>
              <w:rPr>
                <w:rFonts w:ascii="Times New Roman" w:hAnsi="Times New Roman" w:cs="Times New Roman" w:eastAsia="Times New Roman"/>
                <w:sz w:val="28"/>
                <w:szCs w:val="28"/>
              </w:rPr>
              <w:t xml:space="preserve">An early Philippine scholarly survey of international human rights protection based on sexual orientation, providing background for later claims to recognize same-sex relationships.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z w:val="28"/>
                <w:szCs w:val="28"/>
              </w:rPr>
              <w:t xml:space="preserve">Luis Jose F. Geronimo, </w:t>
            </w:r>
            <w:r>
              <w:rPr>
                <w:rFonts w:ascii="Times New Roman" w:hAnsi="Times New Roman" w:cs="Times New Roman" w:eastAsia="Times New Roman"/>
                <w:i/>
                <w:iCs/>
                <w:sz w:val="28"/>
                <w:szCs w:val="28"/>
              </w:rPr>
              <w:t xml:space="preserve">Rising above Contempt: SOGIESC Equality and LGBTQI+ Rights in Philippine Law through the Lens of Falcis v. Civil Registrar General</w:t>
            </w:r>
            <w:r>
              <w:rPr>
                <w:rFonts w:ascii="Times New Roman" w:hAnsi="Times New Roman" w:cs="Times New Roman" w:eastAsia="Times New Roman"/>
                <w:sz w:val="28"/>
                <w:szCs w:val="28"/>
              </w:rPr>
              <w:t xml:space="preserve">, 64 </w:t>
            </w:r>
            <w:r>
              <w:rPr>
                <w:rFonts w:ascii="Times New Roman" w:hAnsi="Times New Roman" w:cs="Times New Roman" w:eastAsia="Times New Roman"/>
                <w:smallCaps/>
                <w:sz w:val="28"/>
                <w:szCs w:val="28"/>
              </w:rPr>
              <w:t xml:space="preserve">Ateneo L.J.</w:t>
            </w:r>
            <w:r>
              <w:rPr>
                <w:rFonts w:ascii="Times New Roman" w:hAnsi="Times New Roman" w:cs="Times New Roman" w:eastAsia="Times New Roman"/>
                <w:sz w:val="28"/>
                <w:szCs w:val="28"/>
              </w:rPr>
              <w:t xml:space="preserve"> (2020), </w:t>
            </w:r>
            <w:r>
              <w:rPr>
                <w:rFonts w:ascii="Times New Roman" w:hAnsi="Times New Roman" w:cs="Times New Roman" w:eastAsia="Times New Roman"/>
                <w:i/>
                <w:iCs/>
                <w:sz w:val="28"/>
                <w:szCs w:val="28"/>
              </w:rPr>
              <w:t xml:space="preserve">available at</w:t>
            </w:r>
            <w:r>
              <w:rPr>
                <w:rFonts w:ascii="Times New Roman" w:hAnsi="Times New Roman" w:cs="Times New Roman" w:eastAsia="Times New Roman"/>
                <w:sz w:val="28"/>
                <w:szCs w:val="28"/>
              </w:rPr>
              <w:t xml:space="preserve"> </w:t>
            </w:r>
            <w:hyperlink r:id="rId10">
              <w:r>
                <w:rPr>
                  <w:rFonts w:ascii="Times New Roman" w:hAnsi="Times New Roman" w:cs="Times New Roman" w:eastAsia="Times New Roman"/>
                  <w:sz w:val="28"/>
                  <w:szCs w:val="28"/>
                </w:rPr>
                <w:t xml:space="preserve">https://ateneolj.com/archive/article/930</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Examines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 and its implications for SOGIESC equality and the rights of LGBTQI+ persons under Philippine law.</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sz w:val="28"/>
                <w:szCs w:val="28"/>
              </w:rPr>
              <w:t xml:space="preserve">William N. Eskridge, Jr., </w:t>
            </w:r>
            <w:r>
              <w:rPr>
                <w:rFonts w:ascii="Times New Roman" w:hAnsi="Times New Roman" w:cs="Times New Roman" w:eastAsia="Times New Roman"/>
                <w:i/>
                <w:iCs/>
                <w:sz w:val="28"/>
                <w:szCs w:val="28"/>
              </w:rPr>
              <w:t xml:space="preserve">A History of Same-Sex Marriage</w:t>
            </w:r>
            <w:r>
              <w:rPr>
                <w:rFonts w:ascii="Times New Roman" w:hAnsi="Times New Roman" w:cs="Times New Roman" w:eastAsia="Times New Roman"/>
                <w:sz w:val="28"/>
                <w:szCs w:val="28"/>
              </w:rPr>
              <w:t xml:space="preserve">, 79 </w:t>
            </w:r>
            <w:r>
              <w:rPr>
                <w:rFonts w:ascii="Times New Roman" w:hAnsi="Times New Roman" w:cs="Times New Roman" w:eastAsia="Times New Roman"/>
                <w:smallCaps/>
                <w:sz w:val="28"/>
                <w:szCs w:val="28"/>
              </w:rPr>
              <w:t xml:space="preserve">Va. L. Rev.</w:t>
            </w:r>
            <w:r>
              <w:rPr>
                <w:rFonts w:ascii="Times New Roman" w:hAnsi="Times New Roman" w:cs="Times New Roman" w:eastAsia="Times New Roman"/>
                <w:sz w:val="28"/>
                <w:szCs w:val="28"/>
              </w:rPr>
              <w:t xml:space="preserve"> 1419 (1993).</w:t>
            </w:r>
          </w:p>
          <w:p>
            <w:pPr>
              <w:spacing w:before="60" w:after="0" w:line="240" w:lineRule="auto"/>
              <w:jc w:val="both"/>
            </w:pPr>
            <w:r>
              <w:rPr>
                <w:rFonts w:ascii="Times New Roman" w:hAnsi="Times New Roman" w:cs="Times New Roman" w:eastAsia="Times New Roman"/>
                <w:sz w:val="28"/>
                <w:szCs w:val="28"/>
              </w:rPr>
              <w:t xml:space="preserve">Documents historical and cross-cultural recognition of same-sex unions to rebut the definitional argument that marriage has always been between a man and a woman.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sz w:val="28"/>
                <w:szCs w:val="28"/>
              </w:rPr>
              <w:t xml:space="preserve">Andrew Koppelman, </w:t>
            </w:r>
            <w:r>
              <w:rPr>
                <w:rFonts w:ascii="Times New Roman" w:hAnsi="Times New Roman" w:cs="Times New Roman" w:eastAsia="Times New Roman"/>
                <w:i/>
                <w:iCs/>
                <w:sz w:val="28"/>
                <w:szCs w:val="28"/>
              </w:rPr>
              <w:t xml:space="preserve">Why Discrimination Against Lesbians and Gay Men Is Sex Discrimination</w:t>
            </w:r>
            <w:r>
              <w:rPr>
                <w:rFonts w:ascii="Times New Roman" w:hAnsi="Times New Roman" w:cs="Times New Roman" w:eastAsia="Times New Roman"/>
                <w:sz w:val="28"/>
                <w:szCs w:val="28"/>
              </w:rPr>
              <w:t xml:space="preserve">, 69 </w:t>
            </w:r>
            <w:r>
              <w:rPr>
                <w:rFonts w:ascii="Times New Roman" w:hAnsi="Times New Roman" w:cs="Times New Roman" w:eastAsia="Times New Roman"/>
                <w:smallCaps/>
                <w:sz w:val="28"/>
                <w:szCs w:val="28"/>
              </w:rPr>
              <w:t xml:space="preserve">N.Y.U. L. Rev.</w:t>
            </w:r>
            <w:r>
              <w:rPr>
                <w:rFonts w:ascii="Times New Roman" w:hAnsi="Times New Roman" w:cs="Times New Roman" w:eastAsia="Times New Roman"/>
                <w:sz w:val="28"/>
                <w:szCs w:val="28"/>
              </w:rPr>
              <w:t xml:space="preserve"> 197 (1994).</w:t>
            </w:r>
          </w:p>
          <w:p>
            <w:pPr>
              <w:spacing w:before="60" w:after="0" w:line="240" w:lineRule="auto"/>
              <w:jc w:val="both"/>
            </w:pPr>
            <w:r>
              <w:rPr>
                <w:rFonts w:ascii="Times New Roman" w:hAnsi="Times New Roman" w:cs="Times New Roman" w:eastAsia="Times New Roman"/>
                <w:sz w:val="28"/>
                <w:szCs w:val="28"/>
              </w:rPr>
              <w:t xml:space="preserve">Develops the theory that restricting marriage to a man and a woman is a sex-based classification, an argument relevant to equal protection challenges such as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8.</w:t>
            </w:r>
          </w:p>
        </w:tc>
        <w:tc>
          <w:tcPr>
            <w:tcW w:w="9800" w:type="dxa"/>
          </w:tcPr>
          <w:p>
            <w:pPr>
              <w:spacing w:before="0" w:after="0" w:line="240" w:lineRule="auto"/>
              <w:jc w:val="left"/>
            </w:pPr>
            <w:r>
              <w:rPr>
                <w:rFonts w:ascii="Times New Roman" w:hAnsi="Times New Roman" w:cs="Times New Roman" w:eastAsia="Times New Roman"/>
                <w:sz w:val="28"/>
                <w:szCs w:val="28"/>
              </w:rPr>
              <w:t xml:space="preserve">Laurence R. Helfer &amp; Alice M. Miller, </w:t>
            </w:r>
            <w:r>
              <w:rPr>
                <w:rFonts w:ascii="Times New Roman" w:hAnsi="Times New Roman" w:cs="Times New Roman" w:eastAsia="Times New Roman"/>
                <w:i/>
                <w:iCs/>
                <w:sz w:val="28"/>
                <w:szCs w:val="28"/>
              </w:rPr>
              <w:t xml:space="preserve">Sexual Orientation and Human Rights: Toward a United States and Transnational Jurisprudence</w:t>
            </w:r>
            <w:r>
              <w:rPr>
                <w:rFonts w:ascii="Times New Roman" w:hAnsi="Times New Roman" w:cs="Times New Roman" w:eastAsia="Times New Roman"/>
                <w:sz w:val="28"/>
                <w:szCs w:val="28"/>
              </w:rPr>
              <w:t xml:space="preserve">, 9 </w:t>
            </w:r>
            <w:r>
              <w:rPr>
                <w:rFonts w:ascii="Times New Roman" w:hAnsi="Times New Roman" w:cs="Times New Roman" w:eastAsia="Times New Roman"/>
                <w:smallCaps/>
                <w:sz w:val="28"/>
                <w:szCs w:val="28"/>
              </w:rPr>
              <w:t xml:space="preserve">Harv. Hum. Rts. J.</w:t>
            </w:r>
            <w:r>
              <w:rPr>
                <w:rFonts w:ascii="Times New Roman" w:hAnsi="Times New Roman" w:cs="Times New Roman" w:eastAsia="Times New Roman"/>
                <w:sz w:val="28"/>
                <w:szCs w:val="28"/>
              </w:rPr>
              <w:t xml:space="preserve"> 61 (1996).</w:t>
            </w:r>
          </w:p>
          <w:p>
            <w:pPr>
              <w:spacing w:before="60" w:after="0" w:line="240" w:lineRule="auto"/>
              <w:jc w:val="both"/>
            </w:pPr>
            <w:r>
              <w:rPr>
                <w:rFonts w:ascii="Times New Roman" w:hAnsi="Times New Roman" w:cs="Times New Roman" w:eastAsia="Times New Roman"/>
                <w:sz w:val="28"/>
                <w:szCs w:val="28"/>
              </w:rPr>
              <w:t xml:space="preserve">Traces the emergence of sexual orientation as a protected ground in international and comparative human rights law.</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9.</w:t>
            </w:r>
          </w:p>
        </w:tc>
        <w:tc>
          <w:tcPr>
            <w:tcW w:w="9800" w:type="dxa"/>
          </w:tcPr>
          <w:p>
            <w:pPr>
              <w:spacing w:before="0" w:after="0" w:line="240" w:lineRule="auto"/>
              <w:jc w:val="left"/>
            </w:pPr>
            <w:r>
              <w:rPr>
                <w:rFonts w:ascii="Times New Roman" w:hAnsi="Times New Roman" w:cs="Times New Roman" w:eastAsia="Times New Roman"/>
                <w:sz w:val="28"/>
                <w:szCs w:val="28"/>
              </w:rPr>
              <w:t xml:space="preserve">Kees Waaldijk, </w:t>
            </w:r>
            <w:r>
              <w:rPr>
                <w:rFonts w:ascii="Times New Roman" w:hAnsi="Times New Roman" w:cs="Times New Roman" w:eastAsia="Times New Roman"/>
                <w:i/>
                <w:iCs/>
                <w:sz w:val="28"/>
                <w:szCs w:val="28"/>
              </w:rPr>
              <w:t xml:space="preserve">Others May Follow: The Introduction of Marriage, Quasi-Marriage, and Semi-Marriage for Same-Sex Couples in European Countries</w:t>
            </w:r>
            <w:r>
              <w:rPr>
                <w:rFonts w:ascii="Times New Roman" w:hAnsi="Times New Roman" w:cs="Times New Roman" w:eastAsia="Times New Roman"/>
                <w:sz w:val="28"/>
                <w:szCs w:val="28"/>
              </w:rPr>
              <w:t xml:space="preserve">, 38 </w:t>
            </w:r>
            <w:r>
              <w:rPr>
                <w:rFonts w:ascii="Times New Roman" w:hAnsi="Times New Roman" w:cs="Times New Roman" w:eastAsia="Times New Roman"/>
                <w:smallCaps/>
                <w:sz w:val="28"/>
                <w:szCs w:val="28"/>
              </w:rPr>
              <w:t xml:space="preserve">New Eng. L. Rev.</w:t>
            </w:r>
            <w:r>
              <w:rPr>
                <w:rFonts w:ascii="Times New Roman" w:hAnsi="Times New Roman" w:cs="Times New Roman" w:eastAsia="Times New Roman"/>
                <w:sz w:val="28"/>
                <w:szCs w:val="28"/>
              </w:rPr>
              <w:t xml:space="preserve"> 569 (2004).</w:t>
            </w:r>
          </w:p>
          <w:p>
            <w:pPr>
              <w:spacing w:before="60" w:after="0" w:line="240" w:lineRule="auto"/>
              <w:jc w:val="both"/>
            </w:pPr>
            <w:r>
              <w:rPr>
                <w:rFonts w:ascii="Times New Roman" w:hAnsi="Times New Roman" w:cs="Times New Roman" w:eastAsia="Times New Roman"/>
                <w:sz w:val="28"/>
                <w:szCs w:val="28"/>
              </w:rPr>
              <w:t xml:space="preserve">Classifies European models of recognition into marriage, quasi-marriage, and semi-marriage, a framework useful for evaluating Philippine civil partnership proposals.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10.</w:t>
            </w:r>
          </w:p>
        </w:tc>
        <w:tc>
          <w:tcPr>
            <w:tcW w:w="9800" w:type="dxa"/>
          </w:tcPr>
          <w:p>
            <w:pPr>
              <w:spacing w:before="0" w:after="0" w:line="240" w:lineRule="auto"/>
              <w:jc w:val="left"/>
            </w:pPr>
            <w:r>
              <w:rPr>
                <w:rFonts w:ascii="Times New Roman" w:hAnsi="Times New Roman" w:cs="Times New Roman" w:eastAsia="Times New Roman"/>
                <w:sz w:val="28"/>
                <w:szCs w:val="28"/>
              </w:rPr>
              <w:t xml:space="preserve">Kenji Yoshino, </w:t>
            </w:r>
            <w:r>
              <w:rPr>
                <w:rFonts w:ascii="Times New Roman" w:hAnsi="Times New Roman" w:cs="Times New Roman" w:eastAsia="Times New Roman"/>
                <w:i/>
                <w:iCs/>
                <w:sz w:val="28"/>
                <w:szCs w:val="28"/>
              </w:rPr>
              <w:t xml:space="preserve">A New Birth of Freedom?: Obergefell v. Hodges</w:t>
            </w:r>
            <w:r>
              <w:rPr>
                <w:rFonts w:ascii="Times New Roman" w:hAnsi="Times New Roman" w:cs="Times New Roman" w:eastAsia="Times New Roman"/>
                <w:sz w:val="28"/>
                <w:szCs w:val="28"/>
              </w:rPr>
              <w:t xml:space="preserve">, 129 </w:t>
            </w:r>
            <w:r>
              <w:rPr>
                <w:rFonts w:ascii="Times New Roman" w:hAnsi="Times New Roman" w:cs="Times New Roman" w:eastAsia="Times New Roman"/>
                <w:smallCaps/>
                <w:sz w:val="28"/>
                <w:szCs w:val="28"/>
              </w:rPr>
              <w:t xml:space="preserve">Harv. L. Rev.</w:t>
            </w:r>
            <w:r>
              <w:rPr>
                <w:rFonts w:ascii="Times New Roman" w:hAnsi="Times New Roman" w:cs="Times New Roman" w:eastAsia="Times New Roman"/>
                <w:sz w:val="28"/>
                <w:szCs w:val="28"/>
              </w:rPr>
              <w:t xml:space="preserve"> 147 (2015).</w:t>
            </w:r>
          </w:p>
          <w:p>
            <w:pPr>
              <w:spacing w:before="60" w:after="0" w:line="240" w:lineRule="auto"/>
              <w:jc w:val="both"/>
            </w:pPr>
            <w:r>
              <w:rPr>
                <w:rFonts w:ascii="Times New Roman" w:hAnsi="Times New Roman" w:cs="Times New Roman" w:eastAsia="Times New Roman"/>
                <w:sz w:val="28"/>
                <w:szCs w:val="28"/>
              </w:rPr>
              <w:t xml:space="preserve">Analyzes how </w:t>
            </w:r>
            <w:r>
              <w:rPr>
                <w:rFonts w:ascii="Times New Roman" w:hAnsi="Times New Roman" w:cs="Times New Roman" w:eastAsia="Times New Roman"/>
                <w:i/>
                <w:iCs/>
                <w:sz w:val="28"/>
                <w:szCs w:val="28"/>
              </w:rPr>
              <w:t xml:space="preserve">Obergefell</w:t>
            </w:r>
            <w:r>
              <w:rPr>
                <w:rFonts w:ascii="Times New Roman" w:hAnsi="Times New Roman" w:cs="Times New Roman" w:eastAsia="Times New Roman"/>
                <w:sz w:val="28"/>
                <w:szCs w:val="28"/>
              </w:rPr>
              <w:t xml:space="preserve"> reshaped substantive due process doctrine in recognizing the right of same-sex couples to marry.</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11.</w:t>
            </w:r>
          </w:p>
        </w:tc>
        <w:tc>
          <w:tcPr>
            <w:tcW w:w="9800" w:type="dxa"/>
          </w:tcPr>
          <w:p>
            <w:pPr>
              <w:spacing w:before="0" w:after="0" w:line="240" w:lineRule="auto"/>
              <w:jc w:val="left"/>
            </w:pPr>
            <w:r>
              <w:rPr>
                <w:rFonts w:ascii="Times New Roman" w:hAnsi="Times New Roman" w:cs="Times New Roman" w:eastAsia="Times New Roman"/>
                <w:sz w:val="28"/>
                <w:szCs w:val="28"/>
              </w:rPr>
              <w:t xml:space="preserve">John Finnis, </w:t>
            </w:r>
            <w:r>
              <w:rPr>
                <w:rFonts w:ascii="Times New Roman" w:hAnsi="Times New Roman" w:cs="Times New Roman" w:eastAsia="Times New Roman"/>
                <w:i/>
                <w:iCs/>
                <w:sz w:val="28"/>
                <w:szCs w:val="28"/>
              </w:rPr>
              <w:t xml:space="preserve">Law, Morality, and “Sexual Orientation”</w:t>
            </w:r>
            <w:r>
              <w:rPr>
                <w:rFonts w:ascii="Times New Roman" w:hAnsi="Times New Roman" w:cs="Times New Roman" w:eastAsia="Times New Roman"/>
                <w:sz w:val="28"/>
                <w:szCs w:val="28"/>
              </w:rPr>
              <w:t xml:space="preserve">, 69 </w:t>
            </w:r>
            <w:r>
              <w:rPr>
                <w:rFonts w:ascii="Times New Roman" w:hAnsi="Times New Roman" w:cs="Times New Roman" w:eastAsia="Times New Roman"/>
                <w:smallCaps/>
                <w:sz w:val="28"/>
                <w:szCs w:val="28"/>
              </w:rPr>
              <w:t xml:space="preserve">Notre Dame L. Rev.</w:t>
            </w:r>
            <w:r>
              <w:rPr>
                <w:rFonts w:ascii="Times New Roman" w:hAnsi="Times New Roman" w:cs="Times New Roman" w:eastAsia="Times New Roman"/>
                <w:sz w:val="28"/>
                <w:szCs w:val="28"/>
              </w:rPr>
              <w:t xml:space="preserve"> 1049 (1994).</w:t>
            </w:r>
          </w:p>
          <w:p>
            <w:pPr>
              <w:spacing w:before="60" w:after="0" w:line="240" w:lineRule="auto"/>
              <w:jc w:val="both"/>
            </w:pPr>
            <w:r>
              <w:rPr>
                <w:rFonts w:ascii="Times New Roman" w:hAnsi="Times New Roman" w:cs="Times New Roman" w:eastAsia="Times New Roman"/>
                <w:sz w:val="28"/>
                <w:szCs w:val="28"/>
              </w:rPr>
              <w:t xml:space="preserve">A leading natural-law critique of the legal recognition of same-sex relationships, representing the philosophical case against same-sex marriage.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12.</w:t>
            </w:r>
          </w:p>
        </w:tc>
        <w:tc>
          <w:tcPr>
            <w:tcW w:w="9800" w:type="dxa"/>
          </w:tcPr>
          <w:p>
            <w:pPr>
              <w:spacing w:before="0" w:after="0" w:line="240" w:lineRule="auto"/>
              <w:jc w:val="left"/>
            </w:pPr>
            <w:r>
              <w:rPr>
                <w:rFonts w:ascii="Times New Roman" w:hAnsi="Times New Roman" w:cs="Times New Roman" w:eastAsia="Times New Roman"/>
                <w:sz w:val="28"/>
                <w:szCs w:val="28"/>
              </w:rPr>
              <w:t xml:space="preserve">Sherif Girgis, Robert P. George &amp; Ryan T. Anderson, </w:t>
            </w:r>
            <w:r>
              <w:rPr>
                <w:rFonts w:ascii="Times New Roman" w:hAnsi="Times New Roman" w:cs="Times New Roman" w:eastAsia="Times New Roman"/>
                <w:i/>
                <w:iCs/>
                <w:sz w:val="28"/>
                <w:szCs w:val="28"/>
              </w:rPr>
              <w:t xml:space="preserve">What Is Marriage?</w:t>
            </w:r>
            <w:r>
              <w:rPr>
                <w:rFonts w:ascii="Times New Roman" w:hAnsi="Times New Roman" w:cs="Times New Roman" w:eastAsia="Times New Roman"/>
                <w:sz w:val="28"/>
                <w:szCs w:val="28"/>
              </w:rPr>
              <w:t xml:space="preserve">, 34 </w:t>
            </w:r>
            <w:r>
              <w:rPr>
                <w:rFonts w:ascii="Times New Roman" w:hAnsi="Times New Roman" w:cs="Times New Roman" w:eastAsia="Times New Roman"/>
                <w:smallCaps/>
                <w:sz w:val="28"/>
                <w:szCs w:val="28"/>
              </w:rPr>
              <w:t xml:space="preserve">Harv. J.L. &amp; Pub. Pol’y</w:t>
            </w:r>
            <w:r>
              <w:rPr>
                <w:rFonts w:ascii="Times New Roman" w:hAnsi="Times New Roman" w:cs="Times New Roman" w:eastAsia="Times New Roman"/>
                <w:sz w:val="28"/>
                <w:szCs w:val="28"/>
              </w:rPr>
              <w:t xml:space="preserve"> 245 (2011).</w:t>
            </w:r>
          </w:p>
          <w:p>
            <w:pPr>
              <w:spacing w:before="60" w:after="0" w:line="240" w:lineRule="auto"/>
              <w:jc w:val="both"/>
            </w:pPr>
            <w:r>
              <w:rPr>
                <w:rFonts w:ascii="Times New Roman" w:hAnsi="Times New Roman" w:cs="Times New Roman" w:eastAsia="Times New Roman"/>
                <w:sz w:val="28"/>
                <w:szCs w:val="28"/>
              </w:rPr>
              <w:t xml:space="preserve">Defends the conjugal view of marriage as inherently a union of a man and a woman, a widely cited legal-academic argument against same-sex marriage.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C.</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LEGAL ENCYCLOPEDIAS AND DICTIONARIES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Kees Waaldijk, </w:t>
            </w:r>
            <w:r>
              <w:rPr>
                <w:rFonts w:ascii="Times New Roman" w:hAnsi="Times New Roman" w:cs="Times New Roman" w:eastAsia="Times New Roman"/>
                <w:i/>
                <w:iCs/>
                <w:sz w:val="28"/>
                <w:szCs w:val="28"/>
              </w:rPr>
              <w:t xml:space="preserve">Same-Sex Partnership, International Protection</w:t>
            </w:r>
            <w:r>
              <w:rPr>
                <w:rFonts w:ascii="Times New Roman" w:hAnsi="Times New Roman" w:cs="Times New Roman" w:eastAsia="Times New Roman"/>
                <w:sz w:val="28"/>
                <w:szCs w:val="28"/>
              </w:rPr>
              <w:t xml:space="preserve">, 8 </w:t>
            </w:r>
            <w:r>
              <w:rPr>
                <w:rFonts w:ascii="Times New Roman" w:hAnsi="Times New Roman" w:cs="Times New Roman" w:eastAsia="Times New Roman"/>
                <w:smallCaps/>
                <w:sz w:val="28"/>
                <w:szCs w:val="28"/>
              </w:rPr>
              <w:t xml:space="preserve">Max Planck Encyclopedia of Public International Law</w:t>
            </w:r>
            <w:r>
              <w:rPr>
                <w:rFonts w:ascii="Times New Roman" w:hAnsi="Times New Roman" w:cs="Times New Roman" w:eastAsia="Times New Roman"/>
                <w:sz w:val="28"/>
                <w:szCs w:val="28"/>
              </w:rPr>
              <w:t xml:space="preserve"> 1125 (Rüdiger Wolfrum ed., 2012).</w:t>
            </w:r>
          </w:p>
          <w:p>
            <w:pPr>
              <w:spacing w:before="60" w:after="0" w:line="240" w:lineRule="auto"/>
              <w:jc w:val="both"/>
            </w:pPr>
            <w:r>
              <w:rPr>
                <w:rFonts w:ascii="Times New Roman" w:hAnsi="Times New Roman" w:cs="Times New Roman" w:eastAsia="Times New Roman"/>
                <w:sz w:val="28"/>
                <w:szCs w:val="28"/>
              </w:rPr>
              <w:t xml:space="preserve">Summarizes emerging international norms on the protection of same-sex partnerships, including the prohibition of discrimination between unmarried same-sex and different-sex cohabitants.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Civil union</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Black’s Law Dictionary</w:t>
            </w:r>
            <w:r>
              <w:rPr>
                <w:rFonts w:ascii="Times New Roman" w:hAnsi="Times New Roman" w:cs="Times New Roman" w:eastAsia="Times New Roman"/>
                <w:sz w:val="28"/>
                <w:szCs w:val="28"/>
              </w:rPr>
              <w:t xml:space="preserve"> (11th ed. 2019).</w:t>
            </w:r>
          </w:p>
          <w:p>
            <w:pPr>
              <w:spacing w:before="60" w:after="0" w:line="240" w:lineRule="auto"/>
              <w:jc w:val="both"/>
            </w:pPr>
            <w:r>
              <w:rPr>
                <w:rFonts w:ascii="Times New Roman" w:hAnsi="Times New Roman" w:cs="Times New Roman" w:eastAsia="Times New Roman"/>
                <w:sz w:val="28"/>
                <w:szCs w:val="28"/>
              </w:rPr>
              <w:t xml:space="preserve">Defines a civil union as a marriage-like relationship, often between persons of the same sex, recognized by civil authorities, a status comparable to the civil partnerships proposed in Philippine bills.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z w:val="28"/>
                <w:szCs w:val="28"/>
              </w:rPr>
              <w:t xml:space="preserve">Elizabeth Brake, </w:t>
            </w:r>
            <w:r>
              <w:rPr>
                <w:rFonts w:ascii="Times New Roman" w:hAnsi="Times New Roman" w:cs="Times New Roman" w:eastAsia="Times New Roman"/>
                <w:i/>
                <w:iCs/>
                <w:sz w:val="28"/>
                <w:szCs w:val="28"/>
              </w:rPr>
              <w:t xml:space="preserve">Marriage and Domestic Partnership</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Stanford Encyclopedia of Philosophy</w:t>
            </w:r>
            <w:r>
              <w:rPr>
                <w:rFonts w:ascii="Times New Roman" w:hAnsi="Times New Roman" w:cs="Times New Roman" w:eastAsia="Times New Roman"/>
                <w:sz w:val="28"/>
                <w:szCs w:val="28"/>
              </w:rPr>
              <w:t xml:space="preserve"> (Spring 2026 ed.), </w:t>
            </w:r>
            <w:hyperlink r:id="rId11">
              <w:r>
                <w:rPr>
                  <w:rFonts w:ascii="Times New Roman" w:hAnsi="Times New Roman" w:cs="Times New Roman" w:eastAsia="Times New Roman"/>
                  <w:sz w:val="28"/>
                  <w:szCs w:val="28"/>
                </w:rPr>
                <w:t xml:space="preserve">https://plato.stanford.edu/archives/spr2026/entries/marriage/</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Surveys the philosophical debates on the definition of marriage, same-sex marriage, and alternatives such as domestic partnership.</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D.</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REPORTS AND DOCUMENTS OF INTERNATIONAL ORGANIZATIONS AND EXPERT BODIES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U.N. Office of the High Commissioner for Human Rights, Born Free and Equal: Sexual Orientation, Gender Identity and Sex Characteristics in International Human Rights Law</w:t>
            </w:r>
            <w:r>
              <w:rPr>
                <w:rFonts w:ascii="Times New Roman" w:hAnsi="Times New Roman" w:cs="Times New Roman" w:eastAsia="Times New Roman"/>
                <w:sz w:val="28"/>
                <w:szCs w:val="28"/>
              </w:rPr>
              <w:t xml:space="preserve"> (2d ed., 2019).</w:t>
            </w:r>
          </w:p>
          <w:p>
            <w:pPr>
              <w:spacing w:before="60" w:after="0" w:line="240" w:lineRule="auto"/>
              <w:jc w:val="both"/>
            </w:pPr>
            <w:r>
              <w:rPr>
                <w:rFonts w:ascii="Times New Roman" w:hAnsi="Times New Roman" w:cs="Times New Roman" w:eastAsia="Times New Roman"/>
                <w:sz w:val="28"/>
                <w:szCs w:val="28"/>
              </w:rPr>
              <w:t xml:space="preserve">The United Nations’ guide to State obligations toward LGBTI persons, including non-discrimination between same-sex and different-sex couples in State benefits.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The Yogyakarta Principles: Principles on the Application of International Human Rights Law in Relation to Sexual Orientation and Gender Identity</w:t>
            </w:r>
            <w:r>
              <w:rPr>
                <w:rFonts w:ascii="Times New Roman" w:hAnsi="Times New Roman" w:cs="Times New Roman" w:eastAsia="Times New Roman"/>
                <w:sz w:val="28"/>
                <w:szCs w:val="28"/>
              </w:rPr>
              <w:t xml:space="preserve"> (2007), Principle 24.</w:t>
            </w:r>
          </w:p>
          <w:p>
            <w:pPr>
              <w:spacing w:before="60" w:after="0" w:line="240" w:lineRule="auto"/>
              <w:jc w:val="both"/>
            </w:pPr>
            <w:r>
              <w:rPr>
                <w:rFonts w:ascii="Times New Roman" w:hAnsi="Times New Roman" w:cs="Times New Roman" w:eastAsia="Times New Roman"/>
                <w:sz w:val="28"/>
                <w:szCs w:val="28"/>
              </w:rPr>
              <w:t xml:space="preserve">Expert principles affirming the right to found a family regardless of sexual orientation, which the Supreme Court in </w:t>
            </w:r>
            <w:r>
              <w:rPr>
                <w:rFonts w:ascii="Times New Roman" w:hAnsi="Times New Roman" w:cs="Times New Roman" w:eastAsia="Times New Roman"/>
                <w:i/>
                <w:iCs/>
                <w:sz w:val="28"/>
                <w:szCs w:val="28"/>
              </w:rPr>
              <w:t xml:space="preserve">Ang Ladlad</w:t>
            </w:r>
            <w:r>
              <w:rPr>
                <w:rFonts w:ascii="Times New Roman" w:hAnsi="Times New Roman" w:cs="Times New Roman" w:eastAsia="Times New Roman"/>
                <w:sz w:val="28"/>
                <w:szCs w:val="28"/>
              </w:rPr>
              <w:t xml:space="preserve"> characterized as non-binding and at best </w:t>
            </w:r>
            <w:r>
              <w:rPr>
                <w:rFonts w:ascii="Times New Roman" w:hAnsi="Times New Roman" w:cs="Times New Roman" w:eastAsia="Times New Roman"/>
                <w:i/>
                <w:iCs/>
                <w:sz w:val="28"/>
                <w:szCs w:val="28"/>
              </w:rPr>
              <w:t xml:space="preserve">de lege ferenda</w:t>
            </w:r>
            <w:r>
              <w:rPr>
                <w:rFonts w:ascii="Times New Roman" w:hAnsi="Times New Roman" w:cs="Times New Roman" w:eastAsia="Times New Roman"/>
                <w:sz w:val="28"/>
                <w:szCs w:val="28"/>
              </w:rPr>
              <w:t xml:space="preserv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The Yogyakarta Principles plus 10: Additional Principles and State Obligations on the Application of International Human Rights Law in Relation to Sexual Orientation, Gender Identity, Gender Expression and Sex Characteristics</w:t>
            </w:r>
            <w:r>
              <w:rPr>
                <w:rFonts w:ascii="Times New Roman" w:hAnsi="Times New Roman" w:cs="Times New Roman" w:eastAsia="Times New Roman"/>
                <w:sz w:val="28"/>
                <w:szCs w:val="28"/>
              </w:rPr>
              <w:t xml:space="preserve"> (2017).</w:t>
            </w:r>
          </w:p>
          <w:p>
            <w:pPr>
              <w:spacing w:before="60" w:after="0" w:line="240" w:lineRule="auto"/>
              <w:jc w:val="both"/>
            </w:pPr>
            <w:r>
              <w:rPr>
                <w:rFonts w:ascii="Times New Roman" w:hAnsi="Times New Roman" w:cs="Times New Roman" w:eastAsia="Times New Roman"/>
                <w:sz w:val="28"/>
                <w:szCs w:val="28"/>
              </w:rPr>
              <w:t xml:space="preserve">Supplements the 2007 Principles with additional State obligations adopted by international human rights experts on November 10, 2017.</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UNDP &amp; USAID, Being LGBT in Asia: The Philippines Country Report</w:t>
            </w:r>
            <w:r>
              <w:rPr>
                <w:rFonts w:ascii="Times New Roman" w:hAnsi="Times New Roman" w:cs="Times New Roman" w:eastAsia="Times New Roman"/>
                <w:sz w:val="28"/>
                <w:szCs w:val="28"/>
              </w:rPr>
              <w:t xml:space="preserve"> (2014).</w:t>
            </w:r>
          </w:p>
          <w:p>
            <w:pPr>
              <w:spacing w:before="60" w:after="0" w:line="240" w:lineRule="auto"/>
              <w:jc w:val="both"/>
            </w:pPr>
            <w:r>
              <w:rPr>
                <w:rFonts w:ascii="Times New Roman" w:hAnsi="Times New Roman" w:cs="Times New Roman" w:eastAsia="Times New Roman"/>
                <w:sz w:val="28"/>
                <w:szCs w:val="28"/>
              </w:rPr>
              <w:t xml:space="preserve">Documents the legal and social situation of LGBT Filipinos, noting that same-sex marriage is not allowed and that same-sex couples cannot adopt children.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E.</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PUBLICATIONS OF GOVERNMENT AND ACADEMIC INSTITUTIONS, AND LECTURES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Dante B. Gatmaytan, </w:t>
            </w:r>
            <w:r>
              <w:rPr>
                <w:rFonts w:ascii="Times New Roman" w:hAnsi="Times New Roman" w:cs="Times New Roman" w:eastAsia="Times New Roman"/>
                <w:i/>
                <w:iCs/>
                <w:sz w:val="28"/>
                <w:szCs w:val="28"/>
              </w:rPr>
              <w:t xml:space="preserve">Finding Fault: Marriage Equality, Judicial Deference, and Falcis</w:t>
            </w:r>
            <w:r>
              <w:rPr>
                <w:rFonts w:ascii="Times New Roman" w:hAnsi="Times New Roman" w:cs="Times New Roman" w:eastAsia="Times New Roman"/>
                <w:sz w:val="28"/>
                <w:szCs w:val="28"/>
              </w:rPr>
              <w:t xml:space="preserve"> (Estelito P. Mendoza Professorial Chair in Law Lecture, University of the Philippines College of Law, June 18, 2020), </w:t>
            </w:r>
            <w:r>
              <w:rPr>
                <w:rFonts w:ascii="Times New Roman" w:hAnsi="Times New Roman" w:cs="Times New Roman" w:eastAsia="Times New Roman"/>
                <w:i/>
                <w:iCs/>
                <w:sz w:val="28"/>
                <w:szCs w:val="28"/>
              </w:rPr>
              <w:t xml:space="preserve">available at</w:t>
            </w:r>
            <w:r>
              <w:rPr>
                <w:rFonts w:ascii="Times New Roman" w:hAnsi="Times New Roman" w:cs="Times New Roman" w:eastAsia="Times New Roman"/>
                <w:sz w:val="28"/>
                <w:szCs w:val="28"/>
              </w:rPr>
              <w:t xml:space="preserve"> </w:t>
            </w:r>
            <w:hyperlink r:id="rId12">
              <w:r>
                <w:rPr>
                  <w:rFonts w:ascii="Times New Roman" w:hAnsi="Times New Roman" w:cs="Times New Roman" w:eastAsia="Times New Roman"/>
                  <w:sz w:val="28"/>
                  <w:szCs w:val="28"/>
                </w:rPr>
                <w:t xml:space="preserve">https://law.upd.edu.ph/wp-content/uploads/2020/06/Finding-Fault-Falcis.pdf</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A U.P. Law professorial chair lecture critiquing the procedural dismissal in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 proposing a framework for courts reviewing discrimination claims and arguing against the constitutionality of Family Code Articles 1 and 2.</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z w:val="28"/>
                <w:szCs w:val="28"/>
              </w:rPr>
              <w:t xml:space="preserve">U.P. College of Law Gender Law and Policy Program, </w:t>
            </w:r>
            <w:r>
              <w:rPr>
                <w:rFonts w:ascii="Times New Roman" w:hAnsi="Times New Roman" w:cs="Times New Roman" w:eastAsia="Times New Roman"/>
                <w:i/>
                <w:iCs/>
                <w:sz w:val="28"/>
                <w:szCs w:val="28"/>
              </w:rPr>
              <w:t xml:space="preserve">Josef v. Ursua: Implications on Family Relations and Property Rights</w:t>
            </w:r>
            <w:r>
              <w:rPr>
                <w:rFonts w:ascii="Times New Roman" w:hAnsi="Times New Roman" w:cs="Times New Roman" w:eastAsia="Times New Roman"/>
                <w:sz w:val="28"/>
                <w:szCs w:val="28"/>
              </w:rPr>
              <w:t xml:space="preserve"> (Proceedings, 2026), </w:t>
            </w:r>
            <w:r>
              <w:rPr>
                <w:rFonts w:ascii="Times New Roman" w:hAnsi="Times New Roman" w:cs="Times New Roman" w:eastAsia="Times New Roman"/>
                <w:i/>
                <w:iCs/>
                <w:sz w:val="28"/>
                <w:szCs w:val="28"/>
              </w:rPr>
              <w:t xml:space="preserve">available at</w:t>
            </w:r>
            <w:r>
              <w:rPr>
                <w:rFonts w:ascii="Times New Roman" w:hAnsi="Times New Roman" w:cs="Times New Roman" w:eastAsia="Times New Roman"/>
                <w:sz w:val="28"/>
                <w:szCs w:val="28"/>
              </w:rPr>
              <w:t xml:space="preserve"> </w:t>
            </w:r>
            <w:hyperlink r:id="rId13">
              <w:r>
                <w:rPr>
                  <w:rFonts w:ascii="Times New Roman" w:hAnsi="Times New Roman" w:cs="Times New Roman" w:eastAsia="Times New Roman"/>
                  <w:sz w:val="28"/>
                  <w:szCs w:val="28"/>
                </w:rPr>
                <w:t xml:space="preserve">https://law.upd.edu.ph/wp-content/uploads/2026/07/Josef-v-Ursua-Proceedings.pdf</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Proceedings of a March 18, 2026 forum analyzing the effects of </w:t>
            </w:r>
            <w:r>
              <w:rPr>
                <w:rFonts w:ascii="Times New Roman" w:hAnsi="Times New Roman" w:cs="Times New Roman" w:eastAsia="Times New Roman"/>
                <w:i/>
                <w:iCs/>
                <w:sz w:val="28"/>
                <w:szCs w:val="28"/>
              </w:rPr>
              <w:t xml:space="preserve">Josef v. Ursua</w:t>
            </w:r>
            <w:r>
              <w:rPr>
                <w:rFonts w:ascii="Times New Roman" w:hAnsi="Times New Roman" w:cs="Times New Roman" w:eastAsia="Times New Roman"/>
                <w:sz w:val="28"/>
                <w:szCs w:val="28"/>
              </w:rPr>
              <w:t xml:space="preserve"> on family relations, property, succession, and the advocacy for marriage equality.</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z w:val="28"/>
                <w:szCs w:val="28"/>
              </w:rPr>
              <w:t xml:space="preserve">Commission on Human Rights, </w:t>
            </w:r>
            <w:r>
              <w:rPr>
                <w:rFonts w:ascii="Times New Roman" w:hAnsi="Times New Roman" w:cs="Times New Roman" w:eastAsia="Times New Roman"/>
                <w:i/>
                <w:iCs/>
                <w:sz w:val="28"/>
                <w:szCs w:val="28"/>
              </w:rPr>
              <w:t xml:space="preserve">Statement of the Commission on Human Rights on the Rejection of the Philippine Delegation of the Recommendation During the Universal Periodic Review to Pass the SOGIE Equality Bill</w:t>
            </w:r>
            <w:r>
              <w:rPr>
                <w:rFonts w:ascii="Times New Roman" w:hAnsi="Times New Roman" w:cs="Times New Roman" w:eastAsia="Times New Roman"/>
                <w:sz w:val="28"/>
                <w:szCs w:val="28"/>
              </w:rPr>
              <w:t xml:space="preserve"> (2022), </w:t>
            </w:r>
            <w:hyperlink r:id="rId14">
              <w:r>
                <w:rPr>
                  <w:rFonts w:ascii="Times New Roman" w:hAnsi="Times New Roman" w:cs="Times New Roman" w:eastAsia="Times New Roman"/>
                  <w:sz w:val="28"/>
                  <w:szCs w:val="28"/>
                </w:rPr>
                <w:t xml:space="preserve">https://chr.gov.ph/2022/statements/statement-of-the-commission-on-human-rights-on-the-rejection-of-the-philippine-delegation-of-the-recommendation-during-the-universal-periodic-review-to-pass-the-sogie-equality-bill/</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Urges the government to reconsider its rejection, during the 2022 Universal Periodic Review, of recommendations to pass the SOGIE Equality Bill, invoking the Constitution’s equal protection guarantee.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z w:val="28"/>
                <w:szCs w:val="28"/>
              </w:rPr>
              <w:t xml:space="preserve">Commission on Human Rights, </w:t>
            </w:r>
            <w:r>
              <w:rPr>
                <w:rFonts w:ascii="Times New Roman" w:hAnsi="Times New Roman" w:cs="Times New Roman" w:eastAsia="Times New Roman"/>
                <w:i/>
                <w:iCs/>
                <w:sz w:val="28"/>
                <w:szCs w:val="28"/>
              </w:rPr>
              <w:t xml:space="preserve">Statement of the Commission on Human Rights Lauding Quezon City’s Initiative to Launch the Right to Care Card</w:t>
            </w:r>
            <w:r>
              <w:rPr>
                <w:rFonts w:ascii="Times New Roman" w:hAnsi="Times New Roman" w:cs="Times New Roman" w:eastAsia="Times New Roman"/>
                <w:sz w:val="28"/>
                <w:szCs w:val="28"/>
              </w:rPr>
              <w:t xml:space="preserve"> (July 4, 2023), </w:t>
            </w:r>
            <w:hyperlink r:id="rId15">
              <w:r>
                <w:rPr>
                  <w:rFonts w:ascii="Times New Roman" w:hAnsi="Times New Roman" w:cs="Times New Roman" w:eastAsia="Times New Roman"/>
                  <w:sz w:val="28"/>
                  <w:szCs w:val="28"/>
                </w:rPr>
                <w:t xml:space="preserve">https://chr.gov.ph/statement-of-the-commission-on-human-rights-lauding-quezon-citys-initiative-to-launch-the-right-to-care-card/</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Commends the Right to Care card as a step toward recognizing the relationships of LGBTQIA+ couples and calls for more inclusive policies.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z w:val="28"/>
                <w:szCs w:val="28"/>
              </w:rPr>
              <w:t xml:space="preserve">Philippine Commission on Women, </w:t>
            </w:r>
            <w:r>
              <w:rPr>
                <w:rFonts w:ascii="Times New Roman" w:hAnsi="Times New Roman" w:cs="Times New Roman" w:eastAsia="Times New Roman"/>
                <w:i/>
                <w:iCs/>
                <w:sz w:val="28"/>
                <w:szCs w:val="28"/>
              </w:rPr>
              <w:t xml:space="preserve">Enacting the Anti-Discrimination Based on SOGIE Act</w:t>
            </w:r>
            <w:r>
              <w:rPr>
                <w:rFonts w:ascii="Times New Roman" w:hAnsi="Times New Roman" w:cs="Times New Roman" w:eastAsia="Times New Roman"/>
                <w:sz w:val="28"/>
                <w:szCs w:val="28"/>
              </w:rPr>
              <w:t xml:space="preserve"> (WPLA Policy Brief No. 8, 2019).</w:t>
            </w:r>
          </w:p>
          <w:p>
            <w:pPr>
              <w:spacing w:before="60" w:after="0" w:line="240" w:lineRule="auto"/>
              <w:jc w:val="both"/>
            </w:pPr>
            <w:r>
              <w:rPr>
                <w:rFonts w:ascii="Times New Roman" w:hAnsi="Times New Roman" w:cs="Times New Roman" w:eastAsia="Times New Roman"/>
                <w:sz w:val="28"/>
                <w:szCs w:val="28"/>
              </w:rPr>
              <w:t xml:space="preserve">A policy brief of the government’s gender-equality agency supporting a national anti-discrimination law on the basis of sexual orientation and gender identity and expression.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F.</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NON-LEGAL SCHOLARLY WORKS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Jayeel Cornelio &amp; Robbin Charles M. Dagle, </w:t>
            </w:r>
            <w:r>
              <w:rPr>
                <w:rFonts w:ascii="Times New Roman" w:hAnsi="Times New Roman" w:cs="Times New Roman" w:eastAsia="Times New Roman"/>
                <w:i/>
                <w:iCs/>
                <w:sz w:val="28"/>
                <w:szCs w:val="28"/>
              </w:rPr>
              <w:t xml:space="preserve">Weaponising Religious Freedom: Same-Sex Marriage and Gender Equality in the Philippines</w:t>
            </w:r>
            <w:r>
              <w:rPr>
                <w:rFonts w:ascii="Times New Roman" w:hAnsi="Times New Roman" w:cs="Times New Roman" w:eastAsia="Times New Roman"/>
                <w:sz w:val="28"/>
                <w:szCs w:val="28"/>
              </w:rPr>
              <w:t xml:space="preserve">, 14 </w:t>
            </w:r>
            <w:r>
              <w:rPr>
                <w:rFonts w:ascii="Times New Roman" w:hAnsi="Times New Roman" w:cs="Times New Roman" w:eastAsia="Times New Roman"/>
                <w:smallCaps/>
                <w:sz w:val="28"/>
                <w:szCs w:val="28"/>
              </w:rPr>
              <w:t xml:space="preserve">Religion &amp; Hum. Rts.</w:t>
            </w:r>
            <w:r>
              <w:rPr>
                <w:rFonts w:ascii="Times New Roman" w:hAnsi="Times New Roman" w:cs="Times New Roman" w:eastAsia="Times New Roman"/>
                <w:sz w:val="28"/>
                <w:szCs w:val="28"/>
              </w:rPr>
              <w:t xml:space="preserve"> 65 (2019).</w:t>
            </w:r>
          </w:p>
          <w:p>
            <w:pPr>
              <w:spacing w:before="60" w:after="0" w:line="240" w:lineRule="auto"/>
              <w:jc w:val="both"/>
            </w:pPr>
            <w:r>
              <w:rPr>
                <w:rFonts w:ascii="Times New Roman" w:hAnsi="Times New Roman" w:cs="Times New Roman" w:eastAsia="Times New Roman"/>
                <w:sz w:val="28"/>
                <w:szCs w:val="28"/>
              </w:rPr>
              <w:t xml:space="preserve">A sociological study of how religious freedom has been invoked against advocates of same-sex marriage and gender equality in the Philippines.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J. Neil C. Garcia, Philippine Gay Culture: The Last Thirty Years, Binabae to Bakla, Silahis to MSM</w:t>
            </w:r>
            <w:r>
              <w:rPr>
                <w:rFonts w:ascii="Times New Roman" w:hAnsi="Times New Roman" w:cs="Times New Roman" w:eastAsia="Times New Roman"/>
                <w:sz w:val="28"/>
                <w:szCs w:val="28"/>
              </w:rPr>
              <w:t xml:space="preserve"> (1996).</w:t>
            </w:r>
          </w:p>
          <w:p>
            <w:pPr>
              <w:spacing w:before="60" w:after="0" w:line="240" w:lineRule="auto"/>
              <w:jc w:val="both"/>
            </w:pPr>
            <w:r>
              <w:rPr>
                <w:rFonts w:ascii="Times New Roman" w:hAnsi="Times New Roman" w:cs="Times New Roman" w:eastAsia="Times New Roman"/>
                <w:sz w:val="28"/>
                <w:szCs w:val="28"/>
              </w:rPr>
              <w:t xml:space="preserve">A foundational study of Filipino gay identities and culture that contextualizes the social realities of same-sex relationships in the Philippines.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Martin F. Manalansan IV, Global Divas: Filipino Gay Men in the Diaspora</w:t>
            </w:r>
            <w:r>
              <w:rPr>
                <w:rFonts w:ascii="Times New Roman" w:hAnsi="Times New Roman" w:cs="Times New Roman" w:eastAsia="Times New Roman"/>
                <w:sz w:val="28"/>
                <w:szCs w:val="28"/>
              </w:rPr>
              <w:t xml:space="preserve"> (2003).</w:t>
            </w:r>
          </w:p>
          <w:p>
            <w:pPr>
              <w:spacing w:before="60" w:after="0" w:line="240" w:lineRule="auto"/>
              <w:jc w:val="both"/>
            </w:pPr>
            <w:r>
              <w:rPr>
                <w:rFonts w:ascii="Times New Roman" w:hAnsi="Times New Roman" w:cs="Times New Roman" w:eastAsia="Times New Roman"/>
                <w:sz w:val="28"/>
                <w:szCs w:val="28"/>
              </w:rPr>
              <w:t xml:space="preserve">An ethnography of Filipino gay men abroad, relevant to Filipino same-sex couples who marry or form partnerships in foreign jurisdictions.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sz w:val="28"/>
                <w:szCs w:val="28"/>
              </w:rPr>
              <w:t xml:space="preserve">David R. Corpuz, </w:t>
            </w:r>
            <w:r>
              <w:rPr>
                <w:rFonts w:ascii="Times New Roman" w:hAnsi="Times New Roman" w:cs="Times New Roman" w:eastAsia="Times New Roman"/>
                <w:i/>
                <w:iCs/>
                <w:sz w:val="28"/>
                <w:szCs w:val="28"/>
              </w:rPr>
              <w:t xml:space="preserve">The Wedding Video and the Persistence of the Marriage Model, Romantic Love Myth, and Heteronormativity in Filipino Same-Sex Relationships</w:t>
            </w:r>
            <w:r>
              <w:rPr>
                <w:rFonts w:ascii="Times New Roman" w:hAnsi="Times New Roman" w:cs="Times New Roman" w:eastAsia="Times New Roman"/>
                <w:sz w:val="28"/>
                <w:szCs w:val="28"/>
              </w:rPr>
              <w:t xml:space="preserve">, 5 </w:t>
            </w:r>
            <w:r>
              <w:rPr>
                <w:rFonts w:ascii="Times New Roman" w:hAnsi="Times New Roman" w:cs="Times New Roman" w:eastAsia="Times New Roman"/>
                <w:smallCaps/>
                <w:sz w:val="28"/>
                <w:szCs w:val="28"/>
              </w:rPr>
              <w:t xml:space="preserve">Dalumat E-J.</w:t>
            </w:r>
            <w:r>
              <w:rPr>
                <w:rFonts w:ascii="Times New Roman" w:hAnsi="Times New Roman" w:cs="Times New Roman" w:eastAsia="Times New Roman"/>
                <w:sz w:val="28"/>
                <w:szCs w:val="28"/>
              </w:rPr>
              <w:t xml:space="preserve"> (2019), </w:t>
            </w:r>
            <w:r>
              <w:rPr>
                <w:rFonts w:ascii="Times New Roman" w:hAnsi="Times New Roman" w:cs="Times New Roman" w:eastAsia="Times New Roman"/>
                <w:i/>
                <w:iCs/>
                <w:sz w:val="28"/>
                <w:szCs w:val="28"/>
              </w:rPr>
              <w:t xml:space="preserve">available at</w:t>
            </w:r>
            <w:r>
              <w:rPr>
                <w:rFonts w:ascii="Times New Roman" w:hAnsi="Times New Roman" w:cs="Times New Roman" w:eastAsia="Times New Roman"/>
                <w:sz w:val="28"/>
                <w:szCs w:val="28"/>
              </w:rPr>
              <w:t xml:space="preserve"> </w:t>
            </w:r>
            <w:hyperlink r:id="rId16">
              <w:r>
                <w:rPr>
                  <w:rFonts w:ascii="Times New Roman" w:hAnsi="Times New Roman" w:cs="Times New Roman" w:eastAsia="Times New Roman"/>
                  <w:sz w:val="28"/>
                  <w:szCs w:val="28"/>
                </w:rPr>
                <w:t xml:space="preserve">https://www.ejournals.ph/article.php?id=14302</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Analyzes a Filipino gay couple’s wedding video and public reactions to it, showing how marriage remains an ideal for Filipino same-sex couples despite the lack of legal recognition.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G.</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RELIGIOUS AND DOCTRINAL DOCUMENTS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Dicastery for the Doctrine of the Faith, </w:t>
            </w:r>
            <w:r>
              <w:rPr>
                <w:rFonts w:ascii="Times New Roman" w:hAnsi="Times New Roman" w:cs="Times New Roman" w:eastAsia="Times New Roman"/>
                <w:i/>
                <w:iCs/>
                <w:sz w:val="28"/>
                <w:szCs w:val="28"/>
              </w:rPr>
              <w:t xml:space="preserve">Declaration Fiducia Supplicans on the Pastoral Meaning of Blessings</w:t>
            </w:r>
            <w:r>
              <w:rPr>
                <w:rFonts w:ascii="Times New Roman" w:hAnsi="Times New Roman" w:cs="Times New Roman" w:eastAsia="Times New Roman"/>
                <w:sz w:val="28"/>
                <w:szCs w:val="28"/>
              </w:rPr>
              <w:t xml:space="preserve"> (December 18, 2023).</w:t>
            </w:r>
          </w:p>
          <w:p>
            <w:pPr>
              <w:spacing w:before="60" w:after="0" w:line="240" w:lineRule="auto"/>
              <w:jc w:val="both"/>
            </w:pPr>
            <w:r>
              <w:rPr>
                <w:rFonts w:ascii="Times New Roman" w:hAnsi="Times New Roman" w:cs="Times New Roman" w:eastAsia="Times New Roman"/>
                <w:sz w:val="28"/>
                <w:szCs w:val="28"/>
              </w:rPr>
              <w:t xml:space="preserve">Permits non-liturgical pastoral blessings of couples in irregular situations, including same-sex couples, while maintaining the Catholic teaching that marriage is between a man and a woman.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mallCaps/>
                <w:sz w:val="28"/>
                <w:szCs w:val="28"/>
              </w:rPr>
              <w:t xml:space="preserve">Catechism of the Catholic Church</w:t>
            </w:r>
            <w:r>
              <w:rPr>
                <w:rFonts w:ascii="Times New Roman" w:hAnsi="Times New Roman" w:cs="Times New Roman" w:eastAsia="Times New Roman"/>
                <w:sz w:val="28"/>
                <w:szCs w:val="28"/>
              </w:rPr>
              <w:t xml:space="preserve"> nos. 2357-2359 (2d ed., 1997).</w:t>
            </w:r>
          </w:p>
          <w:p>
            <w:pPr>
              <w:spacing w:before="60" w:after="0" w:line="240" w:lineRule="auto"/>
              <w:jc w:val="both"/>
            </w:pPr>
            <w:r>
              <w:rPr>
                <w:rFonts w:ascii="Times New Roman" w:hAnsi="Times New Roman" w:cs="Times New Roman" w:eastAsia="Times New Roman"/>
                <w:sz w:val="28"/>
                <w:szCs w:val="28"/>
              </w:rPr>
              <w:t xml:space="preserve">States the Church’s teaching that homosexual persons must be treated with respect, compassion, and sensitivity while homosexual acts are disordered, a teaching that informs much of the religious opposition to same-sex marriage in the Philippines.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H.</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SURVEYS AND REPORTS OF NON-GOVERNMENTAL ORGANIZATIONS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sz w:val="28"/>
                <w:szCs w:val="28"/>
              </w:rPr>
              <w:t xml:space="preserve">Human Rights Watch, </w:t>
            </w:r>
            <w:r>
              <w:rPr>
                <w:rFonts w:ascii="Times New Roman" w:hAnsi="Times New Roman" w:cs="Times New Roman" w:eastAsia="Times New Roman"/>
                <w:i/>
                <w:iCs/>
                <w:sz w:val="28"/>
                <w:szCs w:val="28"/>
              </w:rPr>
              <w:t xml:space="preserve">“Just Let Us Be”: Discrimination Against LGBT Students in the Philippines</w:t>
            </w:r>
            <w:r>
              <w:rPr>
                <w:rFonts w:ascii="Times New Roman" w:hAnsi="Times New Roman" w:cs="Times New Roman" w:eastAsia="Times New Roman"/>
                <w:sz w:val="28"/>
                <w:szCs w:val="28"/>
              </w:rPr>
              <w:t xml:space="preserve"> (June 22, 2017), </w:t>
            </w:r>
            <w:hyperlink r:id="rId17">
              <w:r>
                <w:rPr>
                  <w:rFonts w:ascii="Times New Roman" w:hAnsi="Times New Roman" w:cs="Times New Roman" w:eastAsia="Times New Roman"/>
                  <w:sz w:val="28"/>
                  <w:szCs w:val="28"/>
                </w:rPr>
                <w:t xml:space="preserve">https://www.hrw.org/report/2017/06/22/just-let-us-be/discrimination-against-lgbt-students-philippines</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Documents bullying, discriminatory policies, and the lack of support for LGBT students, depicting the broader climate of discrimination that shapes the marriage-equality debate.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sz w:val="28"/>
                <w:szCs w:val="28"/>
              </w:rPr>
              <w:t xml:space="preserve">Human Rights Watch, </w:t>
            </w:r>
            <w:r>
              <w:rPr>
                <w:rFonts w:ascii="Times New Roman" w:hAnsi="Times New Roman" w:cs="Times New Roman" w:eastAsia="Times New Roman"/>
                <w:i/>
                <w:iCs/>
                <w:sz w:val="28"/>
                <w:szCs w:val="28"/>
              </w:rPr>
              <w:t xml:space="preserve">Philippine Supreme Court Grants Property Rights to Same-Sex Couples</w:t>
            </w:r>
            <w:r>
              <w:rPr>
                <w:rFonts w:ascii="Times New Roman" w:hAnsi="Times New Roman" w:cs="Times New Roman" w:eastAsia="Times New Roman"/>
                <w:sz w:val="28"/>
                <w:szCs w:val="28"/>
              </w:rPr>
              <w:t xml:space="preserve"> (February 17, 2026), </w:t>
            </w:r>
            <w:hyperlink r:id="rId18">
              <w:r>
                <w:rPr>
                  <w:rFonts w:ascii="Times New Roman" w:hAnsi="Times New Roman" w:cs="Times New Roman" w:eastAsia="Times New Roman"/>
                  <w:sz w:val="28"/>
                  <w:szCs w:val="28"/>
                </w:rPr>
                <w:t xml:space="preserve">https://www.hrw.org/news/2026/02/17/philippine-supreme-court-grants-property-rights-to-same-sex-couples</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Assesses </w:t>
            </w:r>
            <w:r>
              <w:rPr>
                <w:rFonts w:ascii="Times New Roman" w:hAnsi="Times New Roman" w:cs="Times New Roman" w:eastAsia="Times New Roman"/>
                <w:i/>
                <w:iCs/>
                <w:sz w:val="28"/>
                <w:szCs w:val="28"/>
              </w:rPr>
              <w:t xml:space="preserve">Josef v. Ursua</w:t>
            </w:r>
            <w:r>
              <w:rPr>
                <w:rFonts w:ascii="Times New Roman" w:hAnsi="Times New Roman" w:cs="Times New Roman" w:eastAsia="Times New Roman"/>
                <w:sz w:val="28"/>
                <w:szCs w:val="28"/>
              </w:rPr>
              <w:t xml:space="preserve"> as a significant but limited step and notes that Congress has yet to enact legal recognition of same-sex couples.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sz w:val="28"/>
                <w:szCs w:val="28"/>
              </w:rPr>
              <w:t xml:space="preserve">Pew Research Center, </w:t>
            </w:r>
            <w:r>
              <w:rPr>
                <w:rFonts w:ascii="Times New Roman" w:hAnsi="Times New Roman" w:cs="Times New Roman" w:eastAsia="Times New Roman"/>
                <w:i/>
                <w:iCs/>
                <w:sz w:val="28"/>
                <w:szCs w:val="28"/>
              </w:rPr>
              <w:t xml:space="preserve">The Global Divide on Homosexuality Persists</w:t>
            </w:r>
            <w:r>
              <w:rPr>
                <w:rFonts w:ascii="Times New Roman" w:hAnsi="Times New Roman" w:cs="Times New Roman" w:eastAsia="Times New Roman"/>
                <w:sz w:val="28"/>
                <w:szCs w:val="28"/>
              </w:rPr>
              <w:t xml:space="preserve"> (June 25, 2020), </w:t>
            </w:r>
            <w:hyperlink r:id="rId19">
              <w:r>
                <w:rPr>
                  <w:rFonts w:ascii="Times New Roman" w:hAnsi="Times New Roman" w:cs="Times New Roman" w:eastAsia="Times New Roman"/>
                  <w:sz w:val="28"/>
                  <w:szCs w:val="28"/>
                </w:rPr>
                <w:t xml:space="preserve">https://www.pewresearch.org/global/2020/06/25/global-divide-on-homosexuality-persists/</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that 73% of Filipino respondents in a 2019 survey said homosexuality should be accepted by society, evidence of social attitudes relevant to legislative recognition.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962418" w14:paraId="76C81D3F" w14:textId="77777777" w:rsidTr="00962418">
        <w:trPr>
          <w:cantSplit/>
        </w:trPr>
        <w:tc>
          <w:tcPr>
            <w:tcW w:w="760" w:type="dxa"/>
          </w:tcPr>
          <w:p>
            <w:pPr>
              <w:keepNext/>
              <w:spacing w:before="0" w:after="0" w:line="240" w:lineRule="auto"/>
              <w:jc w:val="left"/>
            </w:pPr>
            <w:r>
              <w:rPr>
                <w:rFonts w:ascii="Times New Roman" w:hAnsi="Times New Roman" w:cs="Times New Roman" w:eastAsia="Times New Roman"/>
                <w:b/>
                <w:bCs/>
                <w:sz w:val="28"/>
                <w:szCs w:val="28"/>
              </w:rPr>
              <w:t xml:space="preserve">I.</w:t>
            </w:r>
          </w:p>
        </w:tc>
        <w:tc>
          <w:tcPr>
            <w:tcW w:w="9800" w:type="dxa"/>
          </w:tcPr>
          <w:p>
            <w:pPr>
              <w:keepNext/>
              <w:spacing w:before="0" w:after="0" w:line="240" w:lineRule="auto"/>
              <w:jc w:val="left"/>
            </w:pPr>
            <w:r>
              <w:rPr>
                <w:rFonts w:ascii="Times New Roman" w:hAnsi="Times New Roman" w:cs="Times New Roman" w:eastAsia="Times New Roman"/>
                <w:b/>
                <w:bCs/>
                <w:sz w:val="28"/>
                <w:szCs w:val="28"/>
              </w:rPr>
              <w:t xml:space="preserve">NEWSPAPER AND ONLINE NEWS ARTICLES</w:t>
            </w:r>
          </w:p>
        </w:tc>
        <w:tc>
          <w:tcPr>
            <w:tcW w:w="2400" w:type="dxa"/>
          </w:tcPr>
          <w:p>
            <w:pPr>
              <w:keepNext/>
              <w:spacing w:before="0" w:after="0" w:line="240" w:lineRule="auto"/>
              <w:jc w:val="left"/>
            </w:pPr>
          </w:p>
        </w:tc>
        <w:tc>
          <w:tcPr>
            <w:tcW w:w="4225" w:type="dxa"/>
          </w:tcPr>
          <w:p>
            <w:pPr>
              <w:keepNext/>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Supreme Court: Same-sex couples can be recognized as property co-owners</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Philippine Star</w:t>
            </w:r>
            <w:r>
              <w:rPr>
                <w:rFonts w:ascii="Times New Roman" w:hAnsi="Times New Roman" w:cs="Times New Roman" w:eastAsia="Times New Roman"/>
                <w:sz w:val="28"/>
                <w:szCs w:val="28"/>
              </w:rPr>
              <w:t xml:space="preserve">, February 10, 2026, </w:t>
            </w:r>
            <w:hyperlink r:id="rId20">
              <w:r>
                <w:rPr>
                  <w:rFonts w:ascii="Times New Roman" w:hAnsi="Times New Roman" w:cs="Times New Roman" w:eastAsia="Times New Roman"/>
                  <w:sz w:val="28"/>
                  <w:szCs w:val="28"/>
                </w:rPr>
                <w:t xml:space="preserve">https://www.philstar.com/headlines/2026/02/10/2507065/supreme-court-same-sex-couples-can-be-recognized-property-co-owners</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the Supreme Court’s ruling in </w:t>
            </w:r>
            <w:r>
              <w:rPr>
                <w:rFonts w:ascii="Times New Roman" w:hAnsi="Times New Roman" w:cs="Times New Roman" w:eastAsia="Times New Roman"/>
                <w:i/>
                <w:iCs/>
                <w:sz w:val="28"/>
                <w:szCs w:val="28"/>
              </w:rPr>
              <w:t xml:space="preserve">Josef v. Ursua</w:t>
            </w:r>
            <w:r>
              <w:rPr>
                <w:rFonts w:ascii="Times New Roman" w:hAnsi="Times New Roman" w:cs="Times New Roman" w:eastAsia="Times New Roman"/>
                <w:sz w:val="28"/>
                <w:szCs w:val="28"/>
              </w:rPr>
              <w:t xml:space="preserve"> that same-sex partners may be co-owners of property acquired through their actual joint contributions.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2.</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Supreme Court: Hiding homosexuality is valid ground for annulment</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Philippine Star</w:t>
            </w:r>
            <w:r>
              <w:rPr>
                <w:rFonts w:ascii="Times New Roman" w:hAnsi="Times New Roman" w:cs="Times New Roman" w:eastAsia="Times New Roman"/>
                <w:sz w:val="28"/>
                <w:szCs w:val="28"/>
              </w:rPr>
              <w:t xml:space="preserve">, July 16, 2025, </w:t>
            </w:r>
            <w:hyperlink r:id="rId21">
              <w:r>
                <w:rPr>
                  <w:rFonts w:ascii="Times New Roman" w:hAnsi="Times New Roman" w:cs="Times New Roman" w:eastAsia="Times New Roman"/>
                  <w:sz w:val="28"/>
                  <w:szCs w:val="28"/>
                </w:rPr>
                <w:t xml:space="preserve">https://www.philstar.com/headlines/2025/07/16/2458169/supreme-court-hiding-homosexuality-valid-ground-annulment</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the ruling in </w:t>
            </w:r>
            <w:r>
              <w:rPr>
                <w:rFonts w:ascii="Times New Roman" w:hAnsi="Times New Roman" w:cs="Times New Roman" w:eastAsia="Times New Roman"/>
                <w:i/>
                <w:iCs/>
                <w:sz w:val="28"/>
                <w:szCs w:val="28"/>
              </w:rPr>
              <w:t xml:space="preserve">Salva-Roldan v. Roldan</w:t>
            </w:r>
            <w:r>
              <w:rPr>
                <w:rFonts w:ascii="Times New Roman" w:hAnsi="Times New Roman" w:cs="Times New Roman" w:eastAsia="Times New Roman"/>
                <w:sz w:val="28"/>
                <w:szCs w:val="28"/>
              </w:rPr>
              <w:t xml:space="preserve"> that concealment of homosexuality is fraud justifying the annulment of a marriage.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3.</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House lawmaker renews push for same-sex civil partnerships</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ABS-CBN News</w:t>
            </w:r>
            <w:r>
              <w:rPr>
                <w:rFonts w:ascii="Times New Roman" w:hAnsi="Times New Roman" w:cs="Times New Roman" w:eastAsia="Times New Roman"/>
                <w:sz w:val="28"/>
                <w:szCs w:val="28"/>
              </w:rPr>
              <w:t xml:space="preserve">, April 15, 2024, </w:t>
            </w:r>
            <w:hyperlink r:id="rId22">
              <w:r>
                <w:rPr>
                  <w:rFonts w:ascii="Times New Roman" w:hAnsi="Times New Roman" w:cs="Times New Roman" w:eastAsia="Times New Roman"/>
                  <w:sz w:val="28"/>
                  <w:szCs w:val="28"/>
                </w:rPr>
                <w:t xml:space="preserve">https://news.abs-cbn.com/news/2024/4/15/house-lawmaker-renews-push-for-same-sex-civil-partnerships-940</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renewed efforts in the House of Representatives to pass a civil partnership law for same-sex couples.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4.</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CBCP endorses Vatican document allowing pastoral blessings for same-sex couples</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LiCAS News</w:t>
            </w:r>
            <w:r>
              <w:rPr>
                <w:rFonts w:ascii="Times New Roman" w:hAnsi="Times New Roman" w:cs="Times New Roman" w:eastAsia="Times New Roman"/>
                <w:sz w:val="28"/>
                <w:szCs w:val="28"/>
              </w:rPr>
              <w:t xml:space="preserve">, December 21, 2023, </w:t>
            </w:r>
            <w:hyperlink r:id="rId23">
              <w:r>
                <w:rPr>
                  <w:rFonts w:ascii="Times New Roman" w:hAnsi="Times New Roman" w:cs="Times New Roman" w:eastAsia="Times New Roman"/>
                  <w:sz w:val="28"/>
                  <w:szCs w:val="28"/>
                </w:rPr>
                <w:t xml:space="preserve">https://philippines.licas.news/2023/12/21/cbcp-endorses-vatican-document-allowing-pastoral-blessings-for-same-sex-couples/</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the Catholic Bishops’ Conference of the Philippines’ endorsement of </w:t>
            </w:r>
            <w:r>
              <w:rPr>
                <w:rFonts w:ascii="Times New Roman" w:hAnsi="Times New Roman" w:cs="Times New Roman" w:eastAsia="Times New Roman"/>
                <w:i/>
                <w:iCs/>
                <w:sz w:val="28"/>
                <w:szCs w:val="28"/>
              </w:rPr>
              <w:t xml:space="preserve">Fiducia Supplicans</w:t>
            </w:r>
            <w:r>
              <w:rPr>
                <w:rFonts w:ascii="Times New Roman" w:hAnsi="Times New Roman" w:cs="Times New Roman" w:eastAsia="Times New Roman"/>
                <w:sz w:val="28"/>
                <w:szCs w:val="28"/>
              </w:rPr>
              <w:t xml:space="preserve">, indicating the pastoral stance of the Philippine Catholic hierarchy toward same-sex couples.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5.</w:t>
            </w:r>
          </w:p>
        </w:tc>
        <w:tc>
          <w:tcPr>
            <w:tcW w:w="9800" w:type="dxa"/>
          </w:tcPr>
          <w:p>
            <w:pPr>
              <w:spacing w:before="0" w:after="0" w:line="240" w:lineRule="auto"/>
              <w:jc w:val="left"/>
            </w:pPr>
            <w:r>
              <w:rPr>
                <w:rFonts w:ascii="Times New Roman" w:hAnsi="Times New Roman" w:cs="Times New Roman" w:eastAsia="Times New Roman"/>
                <w:sz w:val="28"/>
                <w:szCs w:val="28"/>
              </w:rPr>
              <w:t xml:space="preserve">RG Cruz, </w:t>
            </w:r>
            <w:r>
              <w:rPr>
                <w:rFonts w:ascii="Times New Roman" w:hAnsi="Times New Roman" w:cs="Times New Roman" w:eastAsia="Times New Roman"/>
                <w:i/>
                <w:iCs/>
                <w:sz w:val="28"/>
                <w:szCs w:val="28"/>
              </w:rPr>
              <w:t xml:space="preserve">House begins tackling civil partnership bills</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ABS-CBN News</w:t>
            </w:r>
            <w:r>
              <w:rPr>
                <w:rFonts w:ascii="Times New Roman" w:hAnsi="Times New Roman" w:cs="Times New Roman" w:eastAsia="Times New Roman"/>
                <w:sz w:val="28"/>
                <w:szCs w:val="28"/>
              </w:rPr>
              <w:t xml:space="preserve">, May 10, 2023, </w:t>
            </w:r>
            <w:hyperlink r:id="rId24">
              <w:r>
                <w:rPr>
                  <w:rFonts w:ascii="Times New Roman" w:hAnsi="Times New Roman" w:cs="Times New Roman" w:eastAsia="Times New Roman"/>
                  <w:sz w:val="28"/>
                  <w:szCs w:val="28"/>
                </w:rPr>
                <w:t xml:space="preserve">https://www.abs-cbn.com/news/05/10/23/house-begins-tackling-civil-partnership-bills</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the start of House committee deliberations on civil partnership bills in the 19th Congress.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6.</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Same-sex civil unions in the Philippines: What you need to know</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Philippine Star</w:t>
            </w:r>
            <w:r>
              <w:rPr>
                <w:rFonts w:ascii="Times New Roman" w:hAnsi="Times New Roman" w:cs="Times New Roman" w:eastAsia="Times New Roman"/>
                <w:sz w:val="28"/>
                <w:szCs w:val="28"/>
              </w:rPr>
              <w:t xml:space="preserve">, August 13, 2022, </w:t>
            </w:r>
            <w:hyperlink r:id="rId25">
              <w:r>
                <w:rPr>
                  <w:rFonts w:ascii="Times New Roman" w:hAnsi="Times New Roman" w:cs="Times New Roman" w:eastAsia="Times New Roman"/>
                  <w:sz w:val="28"/>
                  <w:szCs w:val="28"/>
                </w:rPr>
                <w:t xml:space="preserve">https://www.philstar.com/headlines/2022/08/13/2202445/same-sex-civil-unions-philippines-what-you-need-know</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Explains the pending civil union bills and the legal situation of same-sex couples in the Philippines for a general audience.</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7.</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Padilla seeks equal rights for same-sex couples in civil union bill</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Philippine Star</w:t>
            </w:r>
            <w:r>
              <w:rPr>
                <w:rFonts w:ascii="Times New Roman" w:hAnsi="Times New Roman" w:cs="Times New Roman" w:eastAsia="Times New Roman"/>
                <w:sz w:val="28"/>
                <w:szCs w:val="28"/>
              </w:rPr>
              <w:t xml:space="preserve">, August 11, 2022, </w:t>
            </w:r>
            <w:hyperlink r:id="rId26">
              <w:r>
                <w:rPr>
                  <w:rFonts w:ascii="Times New Roman" w:hAnsi="Times New Roman" w:cs="Times New Roman" w:eastAsia="Times New Roman"/>
                  <w:sz w:val="28"/>
                  <w:szCs w:val="28"/>
                </w:rPr>
                <w:t xml:space="preserve">https://www.philstar.com/headlines/2022/08/11/2201984/padilla-seeks-equal-rights-same-sex-couples-civil-union-bill</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Senator Padilla’s filing of a bill granting same-sex couples in civil unions the rights and protections of married couples.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8.</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Palace: With Pope’s backing, no more reason for Catholic solons to oppose same-sex civil unions</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Philippine Star</w:t>
            </w:r>
            <w:r>
              <w:rPr>
                <w:rFonts w:ascii="Times New Roman" w:hAnsi="Times New Roman" w:cs="Times New Roman" w:eastAsia="Times New Roman"/>
                <w:sz w:val="28"/>
                <w:szCs w:val="28"/>
              </w:rPr>
              <w:t xml:space="preserve">, October 22, 2020, </w:t>
            </w:r>
            <w:hyperlink r:id="rId27">
              <w:r>
                <w:rPr>
                  <w:rFonts w:ascii="Times New Roman" w:hAnsi="Times New Roman" w:cs="Times New Roman" w:eastAsia="Times New Roman"/>
                  <w:sz w:val="28"/>
                  <w:szCs w:val="28"/>
                </w:rPr>
                <w:t xml:space="preserve">https://www.philstar.com/headlines/2020/10/22/2051522/headlines</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Malacañang’s statement that Pope Francis’s support for civil unions removed any reason for Catholic legislators to oppose same-sex civil union bills.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9.</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SC junks same-sex marriage petition ‘with finality’</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ABS-CBN News</w:t>
            </w:r>
            <w:r>
              <w:rPr>
                <w:rFonts w:ascii="Times New Roman" w:hAnsi="Times New Roman" w:cs="Times New Roman" w:eastAsia="Times New Roman"/>
                <w:sz w:val="28"/>
                <w:szCs w:val="28"/>
              </w:rPr>
              <w:t xml:space="preserve">, January 6, 2020, </w:t>
            </w:r>
            <w:hyperlink r:id="rId28">
              <w:r>
                <w:rPr>
                  <w:rFonts w:ascii="Times New Roman" w:hAnsi="Times New Roman" w:cs="Times New Roman" w:eastAsia="Times New Roman"/>
                  <w:sz w:val="28"/>
                  <w:szCs w:val="28"/>
                </w:rPr>
                <w:t xml:space="preserve">https://news.abs-cbn.com/news/01/06/20/sc-junks-same-sex-marriage-petition-with-finality</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the Supreme Court’s denial with finality of the motion for reconsideration in </w:t>
            </w:r>
            <w:r>
              <w:rPr>
                <w:rFonts w:ascii="Times New Roman" w:hAnsi="Times New Roman" w:cs="Times New Roman" w:eastAsia="Times New Roman"/>
                <w:i/>
                <w:iCs/>
                <w:sz w:val="28"/>
                <w:szCs w:val="28"/>
              </w:rPr>
              <w:t xml:space="preserve">Falcis</w:t>
            </w:r>
            <w:r>
              <w:rPr>
                <w:rFonts w:ascii="Times New Roman" w:hAnsi="Times New Roman" w:cs="Times New Roman" w:eastAsia="Times New Roman"/>
                <w:sz w:val="28"/>
                <w:szCs w:val="28"/>
              </w:rPr>
              <w:t xml:space="preserve">, ending the first judicial bid for same-sex marriage in the Philippines.</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10.</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SWS: 61% of Filipinos reject same-sex marriage</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SunStar Cagayan de Oro</w:t>
            </w:r>
            <w:r>
              <w:rPr>
                <w:rFonts w:ascii="Times New Roman" w:hAnsi="Times New Roman" w:cs="Times New Roman" w:eastAsia="Times New Roman"/>
                <w:sz w:val="28"/>
                <w:szCs w:val="28"/>
              </w:rPr>
              <w:t xml:space="preserve">, July 1, 2018, </w:t>
            </w:r>
            <w:hyperlink r:id="rId29">
              <w:r>
                <w:rPr>
                  <w:rFonts w:ascii="Times New Roman" w:hAnsi="Times New Roman" w:cs="Times New Roman" w:eastAsia="Times New Roman"/>
                  <w:sz w:val="28"/>
                  <w:szCs w:val="28"/>
                </w:rPr>
                <w:t xml:space="preserve">https://www.pressreader.com/philippines/sunstar-cagayan-de-oro/20180701/281509341929204</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the Social Weather Stations survey finding that 61% of Filipinos opposed, and 22% supported, a law allowing the civil union of two men or two women.</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r w:rsidR="00E8425D" w14:paraId="41F91524" w14:textId="77777777" w:rsidTr="00962418">
        <w:trPr>
          <w:cantSplit/>
        </w:trPr>
        <w:tc>
          <w:tcPr>
            <w:tcW w:w="760" w:type="dxa"/>
          </w:tcPr>
          <w:p>
            <w:pPr>
              <w:spacing w:before="0" w:after="0" w:line="240" w:lineRule="auto"/>
              <w:jc w:val="left"/>
            </w:pPr>
            <w:r>
              <w:rPr>
                <w:rFonts w:ascii="Times New Roman" w:hAnsi="Times New Roman" w:cs="Times New Roman" w:eastAsia="Times New Roman"/>
                <w:sz w:val="28"/>
                <w:szCs w:val="28"/>
              </w:rPr>
              <w:t xml:space="preserve">11.</w:t>
            </w:r>
          </w:p>
        </w:tc>
        <w:tc>
          <w:tcPr>
            <w:tcW w:w="9800" w:type="dxa"/>
          </w:tcPr>
          <w:p>
            <w:pPr>
              <w:spacing w:before="0" w:after="0" w:line="240" w:lineRule="auto"/>
              <w:jc w:val="left"/>
            </w:pPr>
            <w:r>
              <w:rPr>
                <w:rFonts w:ascii="Times New Roman" w:hAnsi="Times New Roman" w:cs="Times New Roman" w:eastAsia="Times New Roman"/>
                <w:i/>
                <w:iCs/>
                <w:sz w:val="28"/>
                <w:szCs w:val="28"/>
              </w:rPr>
              <w:t xml:space="preserve">House okays SOGIE bill on 3rd and final reading</w:t>
            </w:r>
            <w:r>
              <w:rPr>
                <w:rFonts w:ascii="Times New Roman" w:hAnsi="Times New Roman" w:cs="Times New Roman" w:eastAsia="Times New Roman"/>
                <w:sz w:val="28"/>
                <w:szCs w:val="28"/>
              </w:rPr>
              <w:t xml:space="preserve">, </w:t>
            </w:r>
            <w:r>
              <w:rPr>
                <w:rFonts w:ascii="Times New Roman" w:hAnsi="Times New Roman" w:cs="Times New Roman" w:eastAsia="Times New Roman"/>
                <w:smallCaps/>
                <w:sz w:val="28"/>
                <w:szCs w:val="28"/>
              </w:rPr>
              <w:t xml:space="preserve">Interaksyon</w:t>
            </w:r>
            <w:r>
              <w:rPr>
                <w:rFonts w:ascii="Times New Roman" w:hAnsi="Times New Roman" w:cs="Times New Roman" w:eastAsia="Times New Roman"/>
                <w:sz w:val="28"/>
                <w:szCs w:val="28"/>
              </w:rPr>
              <w:t xml:space="preserve">, September 20, 2017, </w:t>
            </w:r>
            <w:hyperlink r:id="rId30">
              <w:r>
                <w:rPr>
                  <w:rFonts w:ascii="Times New Roman" w:hAnsi="Times New Roman" w:cs="Times New Roman" w:eastAsia="Times New Roman"/>
                  <w:sz w:val="28"/>
                  <w:szCs w:val="28"/>
                </w:rPr>
                <w:t xml:space="preserve">https://interaksyon.philstar.com/breaking-news/2017/09/20/98551/house-okays-sogie-bill-on-3rd-and-final-reading/</w:t>
              </w:r>
            </w:hyperlink>
            <w:r>
              <w:rPr>
                <w:rFonts w:ascii="Times New Roman" w:hAnsi="Times New Roman" w:cs="Times New Roman" w:eastAsia="Times New Roman"/>
                <w:sz w:val="28"/>
                <w:szCs w:val="28"/>
              </w:rPr>
              <w:t xml:space="preserve">.</w:t>
            </w:r>
          </w:p>
          <w:p>
            <w:pPr>
              <w:spacing w:before="60" w:after="0" w:line="240" w:lineRule="auto"/>
              <w:jc w:val="both"/>
            </w:pPr>
            <w:r>
              <w:rPr>
                <w:rFonts w:ascii="Times New Roman" w:hAnsi="Times New Roman" w:cs="Times New Roman" w:eastAsia="Times New Roman"/>
                <w:sz w:val="28"/>
                <w:szCs w:val="28"/>
              </w:rPr>
              <w:t xml:space="preserve">Reports the House of Representatives’ 198–0 approval of the SOGIE Equality Bill on third and final reading.</w:t>
            </w:r>
          </w:p>
        </w:tc>
        <w:tc>
          <w:tcPr>
            <w:tcW w:w="2400" w:type="dxa"/>
          </w:tcPr>
          <w:p>
            <w:pPr>
              <w:spacing w:before="0" w:after="0" w:line="240" w:lineRule="auto"/>
              <w:jc w:val="left"/>
            </w:pPr>
            <w:r>
              <w:rPr>
                <w:rFonts w:ascii="Times New Roman" w:hAnsi="Times New Roman" w:cs="Times New Roman" w:eastAsia="Times New Roman"/>
                <w:sz w:val="28"/>
                <w:szCs w:val="28"/>
              </w:rPr>
              <w:t xml:space="preserve">Persuasive</w:t>
            </w:r>
          </w:p>
        </w:tc>
        <w:tc>
          <w:tcPr>
            <w:tcW w:w="4225" w:type="dxa"/>
          </w:tcPr>
          <w:p>
            <w:pPr>
              <w:spacing w:before="0" w:after="0" w:line="240" w:lineRule="auto"/>
              <w:jc w:val="left"/>
            </w:pPr>
          </w:p>
        </w:tc>
      </w:tr>
    </w:tbl>
    <w:p w14:paraId="6F54640E" w14:textId="77777777" w:rsidR="00C154F1" w:rsidRPr="00C154F1" w:rsidRDefault="00C154F1" w:rsidP="00C154F1">
      <w:pPr>
        <w:jc w:val="both"/>
        <w:rPr>
          <w:rFonts w:ascii="Times New Roman" w:hAnsi="Times New Roman" w:cs="Times New Roman" w:eastAsia="Times New Roman"/>
          <w:sz w:val="28"/>
          <w:szCs w:val="28"/>
        </w:rPr>
      </w:pPr>
    </w:p>
    <w:sectPr w:rsidR="00C154F1" w:rsidRPr="00C154F1" w:rsidSect="00E8425D">
      <w:footerReference w:type="default" r:id="rId31"/>
      <w:pgSz w:w="2016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19E5CD" w14:textId="77777777" w:rsidR="00366C13" w:rsidRDefault="00366C13" w:rsidP="00A26A5F">
      <w:r>
        <w:separator/>
      </w:r>
    </w:p>
  </w:endnote>
  <w:endnote w:type="continuationSeparator" w:id="0">
    <w:p w14:paraId="06836252" w14:textId="77777777" w:rsidR="00366C13" w:rsidRDefault="00366C13" w:rsidP="00A26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PAGE</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B2F955" w14:textId="77777777" w:rsidR="00366C13" w:rsidRDefault="00366C13" w:rsidP="00A26A5F">
      <w:r>
        <w:separator/>
      </w:r>
    </w:p>
  </w:footnote>
  <w:footnote w:type="continuationSeparator" w:id="0">
    <w:p w14:paraId="4C290B89" w14:textId="77777777" w:rsidR="00366C13" w:rsidRDefault="00366C13" w:rsidP="00A26A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D7100"/>
    <w:multiLevelType w:val="hybridMultilevel"/>
    <w:tmpl w:val="BF98DF3E"/>
    <w:lvl w:ilvl="0" w:tplc="22243F74">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031A5"/>
    <w:multiLevelType w:val="hybridMultilevel"/>
    <w:tmpl w:val="52E6C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753842"/>
    <w:multiLevelType w:val="hybridMultilevel"/>
    <w:tmpl w:val="FC7EF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F413D"/>
    <w:multiLevelType w:val="hybridMultilevel"/>
    <w:tmpl w:val="CA4EBF18"/>
    <w:lvl w:ilvl="0" w:tplc="22243F74">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7634B6"/>
    <w:multiLevelType w:val="hybridMultilevel"/>
    <w:tmpl w:val="43744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76944">
    <w:abstractNumId w:val="1"/>
  </w:num>
  <w:num w:numId="2" w16cid:durableId="1784960246">
    <w:abstractNumId w:val="2"/>
  </w:num>
  <w:num w:numId="3" w16cid:durableId="253823329">
    <w:abstractNumId w:val="3"/>
  </w:num>
  <w:num w:numId="4" w16cid:durableId="1407456263">
    <w:abstractNumId w:val="0"/>
  </w:num>
  <w:num w:numId="5" w16cid:durableId="19983059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A5F"/>
    <w:rsid w:val="00053157"/>
    <w:rsid w:val="000F55C1"/>
    <w:rsid w:val="00106154"/>
    <w:rsid w:val="001C7518"/>
    <w:rsid w:val="001F6A39"/>
    <w:rsid w:val="00293894"/>
    <w:rsid w:val="00297180"/>
    <w:rsid w:val="0032663D"/>
    <w:rsid w:val="00366C13"/>
    <w:rsid w:val="004F0340"/>
    <w:rsid w:val="00537B0D"/>
    <w:rsid w:val="0055388B"/>
    <w:rsid w:val="005729D9"/>
    <w:rsid w:val="005862C8"/>
    <w:rsid w:val="0059024A"/>
    <w:rsid w:val="00655535"/>
    <w:rsid w:val="00706B31"/>
    <w:rsid w:val="00833C34"/>
    <w:rsid w:val="0086178C"/>
    <w:rsid w:val="008B1FEC"/>
    <w:rsid w:val="008C1B6A"/>
    <w:rsid w:val="008D63C0"/>
    <w:rsid w:val="00912081"/>
    <w:rsid w:val="00962114"/>
    <w:rsid w:val="00962418"/>
    <w:rsid w:val="00981771"/>
    <w:rsid w:val="00983684"/>
    <w:rsid w:val="009A0AB5"/>
    <w:rsid w:val="009D2898"/>
    <w:rsid w:val="00A05328"/>
    <w:rsid w:val="00A11D8F"/>
    <w:rsid w:val="00A26A5F"/>
    <w:rsid w:val="00AD6C6E"/>
    <w:rsid w:val="00C154F1"/>
    <w:rsid w:val="00C6211A"/>
    <w:rsid w:val="00C7278C"/>
    <w:rsid w:val="00C9537E"/>
    <w:rsid w:val="00D13F0B"/>
    <w:rsid w:val="00D169B5"/>
    <w:rsid w:val="00D86DFA"/>
    <w:rsid w:val="00E56D3E"/>
    <w:rsid w:val="00E8425D"/>
    <w:rsid w:val="00EC708D"/>
    <w:rsid w:val="00ED3150"/>
    <w:rsid w:val="00F64914"/>
    <w:rsid w:val="00F879EB"/>
    <w:rsid w:val="00FC5211"/>
    <w:rsid w:val="00FD0C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745A882"/>
  <w15:chartTrackingRefBased/>
  <w15:docId w15:val="{CD6C6CC0-5B85-3E4B-9E28-A7D04C7BF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A5F"/>
    <w:pPr>
      <w:spacing w:before="0" w:after="0" w:line="240" w:lineRule="auto"/>
    </w:pPr>
    <w:rPr>
      <w:rFonts w:ascii="Times New Roman" w:hAnsi="Times New Roman" w:cs="Times New Roman" w:eastAsia="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26A5F"/>
    <w:rPr>
      <w:sz w:val="20"/>
      <w:szCs w:val="20"/>
    </w:rPr>
  </w:style>
  <w:style w:type="character" w:customStyle="1" w:styleId="FootnoteTextChar">
    <w:name w:val="Footnote Text Char"/>
    <w:basedOn w:val="DefaultParagraphFont"/>
    <w:link w:val="FootnoteText"/>
    <w:uiPriority w:val="99"/>
    <w:semiHidden/>
    <w:rsid w:val="00A26A5F"/>
    <w:rPr>
      <w:sz w:val="20"/>
      <w:szCs w:val="20"/>
    </w:rPr>
  </w:style>
  <w:style w:type="character" w:styleId="FootnoteReference">
    <w:name w:val="footnote reference"/>
    <w:basedOn w:val="DefaultParagraphFont"/>
    <w:uiPriority w:val="99"/>
    <w:semiHidden/>
    <w:unhideWhenUsed/>
    <w:rsid w:val="00A26A5F"/>
    <w:rPr>
      <w:vertAlign w:val="superscript"/>
    </w:rPr>
  </w:style>
  <w:style w:type="character" w:styleId="Hyperlink">
    <w:name w:val="Hyperlink"/>
    <w:basedOn w:val="DefaultParagraphFont"/>
    <w:uiPriority w:val="99"/>
    <w:unhideWhenUsed/>
    <w:rsid w:val="00A26A5F"/>
    <w:rPr>
      <w:color w:val="0563C1" w:themeColor="hyperlink"/>
      <w:u w:val="single"/>
    </w:rPr>
  </w:style>
  <w:style w:type="paragraph" w:styleId="ListParagraph">
    <w:name w:val="List Paragraph"/>
    <w:basedOn w:val="Normal"/>
    <w:uiPriority w:val="34"/>
    <w:qFormat/>
    <w:rsid w:val="00912081"/>
    <w:pPr>
      <w:ind w:left="720"/>
      <w:contextualSpacing/>
    </w:pPr>
  </w:style>
  <w:style w:type="character" w:styleId="UnresolvedMention">
    <w:name w:val="Unresolved Mention"/>
    <w:basedOn w:val="DefaultParagraphFont"/>
    <w:uiPriority w:val="99"/>
    <w:semiHidden/>
    <w:unhideWhenUsed/>
    <w:rsid w:val="00706B31"/>
    <w:rPr>
      <w:color w:val="605E5C"/>
      <w:shd w:val="clear" w:color="auto" w:fill="E1DFDD"/>
    </w:rPr>
  </w:style>
  <w:style w:type="table" w:styleId="TableGrid">
    <w:name w:val="Table Grid"/>
    <w:basedOn w:val="TableNormal"/>
    <w:uiPriority w:val="39"/>
    <w:rsid w:val="00C154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yperlink" Target="https://ateneolj.com/archive/article/930" TargetMode="External"/><Relationship Id="rId11" Type="http://schemas.openxmlformats.org/officeDocument/2006/relationships/hyperlink" Target="https://plato.stanford.edu/archives/spr2026/entries/marriage/" TargetMode="External"/><Relationship Id="rId12" Type="http://schemas.openxmlformats.org/officeDocument/2006/relationships/hyperlink" Target="https://law.upd.edu.ph/wp-content/uploads/2020/06/Finding-Fault-Falcis.pdf" TargetMode="External"/><Relationship Id="rId13" Type="http://schemas.openxmlformats.org/officeDocument/2006/relationships/hyperlink" Target="https://law.upd.edu.ph/wp-content/uploads/2026/07/Josef-v-Ursua-Proceedings.pdf" TargetMode="External"/><Relationship Id="rId14" Type="http://schemas.openxmlformats.org/officeDocument/2006/relationships/hyperlink" Target="https://chr.gov.ph/2022/statements/statement-of-the-commission-on-human-rights-on-the-rejection-of-the-philippine-delegation-of-the-recommendation-during-the-universal-periodic-review-to-pass-the-sogie-equality-bill/" TargetMode="External"/><Relationship Id="rId15" Type="http://schemas.openxmlformats.org/officeDocument/2006/relationships/hyperlink" Target="https://chr.gov.ph/statement-of-the-commission-on-human-rights-lauding-quezon-citys-initiative-to-launch-the-right-to-care-card/" TargetMode="External"/><Relationship Id="rId16" Type="http://schemas.openxmlformats.org/officeDocument/2006/relationships/hyperlink" Target="https://www.ejournals.ph/article.php?id=14302" TargetMode="External"/><Relationship Id="rId17" Type="http://schemas.openxmlformats.org/officeDocument/2006/relationships/hyperlink" Target="https://www.hrw.org/report/2017/06/22/just-let-us-be/discrimination-against-lgbt-students-philippines" TargetMode="External"/><Relationship Id="rId18" Type="http://schemas.openxmlformats.org/officeDocument/2006/relationships/hyperlink" Target="https://www.hrw.org/news/2026/02/17/philippine-supreme-court-grants-property-rights-to-same-sex-couples" TargetMode="External"/><Relationship Id="rId19" Type="http://schemas.openxmlformats.org/officeDocument/2006/relationships/hyperlink" Target="https://www.pewresearch.org/global/2020/06/25/global-divide-on-homosexuality-persists/" TargetMode="External"/><Relationship Id="rId20" Type="http://schemas.openxmlformats.org/officeDocument/2006/relationships/hyperlink" Target="https://www.philstar.com/headlines/2026/02/10/2507065/supreme-court-same-sex-couples-can-be-recognized-property-co-owners" TargetMode="External"/><Relationship Id="rId21" Type="http://schemas.openxmlformats.org/officeDocument/2006/relationships/hyperlink" Target="https://www.philstar.com/headlines/2025/07/16/2458169/supreme-court-hiding-homosexuality-valid-ground-annulment" TargetMode="External"/><Relationship Id="rId22" Type="http://schemas.openxmlformats.org/officeDocument/2006/relationships/hyperlink" Target="https://news.abs-cbn.com/news/2024/4/15/house-lawmaker-renews-push-for-same-sex-civil-partnerships-940" TargetMode="External"/><Relationship Id="rId23" Type="http://schemas.openxmlformats.org/officeDocument/2006/relationships/hyperlink" Target="https://philippines.licas.news/2023/12/21/cbcp-endorses-vatican-document-allowing-pastoral-blessings-for-same-sex-couples/" TargetMode="External"/><Relationship Id="rId24" Type="http://schemas.openxmlformats.org/officeDocument/2006/relationships/hyperlink" Target="https://www.abs-cbn.com/news/05/10/23/house-begins-tackling-civil-partnership-bills" TargetMode="External"/><Relationship Id="rId25" Type="http://schemas.openxmlformats.org/officeDocument/2006/relationships/hyperlink" Target="https://www.philstar.com/headlines/2022/08/13/2202445/same-sex-civil-unions-philippines-what-you-need-know" TargetMode="External"/><Relationship Id="rId26" Type="http://schemas.openxmlformats.org/officeDocument/2006/relationships/hyperlink" Target="https://www.philstar.com/headlines/2022/08/11/2201984/padilla-seeks-equal-rights-same-sex-couples-civil-union-bill" TargetMode="External"/><Relationship Id="rId27" Type="http://schemas.openxmlformats.org/officeDocument/2006/relationships/hyperlink" Target="https://www.philstar.com/headlines/2020/10/22/2051522/headlines" TargetMode="External"/><Relationship Id="rId28" Type="http://schemas.openxmlformats.org/officeDocument/2006/relationships/hyperlink" Target="https://news.abs-cbn.com/news/01/06/20/sc-junks-same-sex-marriage-petition-with-finality" TargetMode="External"/><Relationship Id="rId29" Type="http://schemas.openxmlformats.org/officeDocument/2006/relationships/hyperlink" Target="https://www.pressreader.com/philippines/sunstar-cagayan-de-oro/20180701/281509341929204" TargetMode="External"/><Relationship Id="rId30" Type="http://schemas.openxmlformats.org/officeDocument/2006/relationships/hyperlink" Target="https://interaksyon.philstar.com/breaking-news/2017/09/20/98551/house-okays-sogie-bill-on-3rd-and-final-reading/" TargetMode="Externa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EC5E7-83D1-5A40-A50C-65010BD06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117</Words>
  <Characters>625</Characters>
  <Application>Microsoft Office Word</Application>
  <DocSecurity>0</DocSecurity>
  <Lines>19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Same-Sex Marriage/Partnership Between Filipinos</dc:title>
  <dc:subject/>
  <dc:creator>Vinzen Borja</dc:creator>
  <cp:keywords/>
  <dc:description/>
  <cp:lastModifiedBy>Jayvy Gamboa</cp:lastModifiedBy>
  <cp:revision>2</cp:revision>
  <dcterms:created xsi:type="dcterms:W3CDTF">2026-09-24T04:04:00Z</dcterms:created>
  <dcterms:modified xsi:type="dcterms:W3CDTF">2026-09-24T04:04:00Z</dcterms:modified>
</cp:coreProperties>
</file>