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B2340"/>
          <w:sz w:val="44"/>
          <w:szCs w:val="44"/>
        </w:rPr>
        <w:t xml:space="preserve">ZENVEST</w:t>
      </w:r>
    </w:p>
    <w:p>
      <w:pPr>
        <w:spacing w:after="40"/>
      </w:pPr>
      <w:r>
        <w:rPr>
          <w:b/>
          <w:bCs/>
          <w:color w:val="0E7C7B"/>
          <w:sz w:val="19"/>
          <w:szCs w:val="19"/>
        </w:rPr>
        <w:t xml:space="preserve">A Zenza Technology Product</w:t>
      </w:r>
    </w:p>
    <w:p>
      <w:pPr>
        <w:spacing w:after="280"/>
      </w:pPr>
      <w:r>
        <w:rPr>
          <w:color w:val="33404F"/>
          <w:sz w:val="22"/>
          <w:szCs w:val="22"/>
        </w:rPr>
        <w:t xml:space="preserve">Partnership Summary — Prepared for Ver Technology</w:t>
      </w:r>
    </w:p>
    <w:p>
      <w:pPr>
        <w:spacing w:after="150" w:line="300"/>
      </w:pPr>
      <w:r>
        <w:rPr>
          <w:b w:val="false"/>
          <w:bCs w:val="false"/>
          <w:i w:val="false"/>
          <w:iCs w:val="false"/>
        </w:rPr>
        <w:t xml:space="preserve">Ver Technology has built something genuinely valuable: a working, licensed credit facility for salary earners — proof that disciplined, well-underwritten lending at this end of the market works. This summary lays out a specific proposal: bring that credit engine into ZenVest, an open financial platform that also gives your borrowers access to investment and real estate opportunities, with an AI layer that makes your underwriting sharper the longer a user is on the platform.</w:t>
      </w:r>
    </w:p>
    <w:p>
      <w:pPr>
        <w:spacing w:after="150" w:line="300"/>
      </w:pPr>
      <w:r>
        <w:rPr>
          <w:b w:val="false"/>
          <w:bCs w:val="false"/>
          <w:i/>
          <w:iCs/>
        </w:rPr>
        <w:t xml:space="preserve">This is a condensed, Ver Technology-focused excerpt of a larger document (“ZenVest — Ecosystem Prospectus &amp; Partnership Framework”). Everything below stands on its own; the full document is available if useful for a deeper technical or investor-facing view.</w:t>
      </w:r>
    </w:p>
    <w:p>
      <w:pPr>
        <w:pStyle w:val="Heading1"/>
        <w:spacing w:after="160" w:before="200"/>
      </w:pPr>
      <w:r>
        <w:t xml:space="preserve">What ZenVest Is</w:t>
      </w:r>
    </w:p>
    <w:p>
      <w:pPr>
        <w:spacing w:after="150" w:line="300"/>
      </w:pPr>
      <w:r>
        <w:rPr>
          <w:b w:val="false"/>
          <w:bCs w:val="false"/>
          <w:i w:val="false"/>
          <w:iCs w:val="false"/>
        </w:rPr>
        <w:t xml:space="preserve">ZenVest is an open financial ecosystem — not a closed product — that gives everyday Nigerians one place to access credit, build an investment portfolio (real estate, ETFs, bonds, shares, stable-value assets), and move between the two: using credit to invest when it makes sense, and using investment returns to responsibly settle credit.</w:t>
      </w:r>
    </w:p>
    <w:p>
      <w:pPr>
        <w:spacing w:after="150" w:line="300"/>
      </w:pPr>
      <w:r>
        <w:rPr>
          <w:b w:val="false"/>
          <w:bCs w:val="false"/>
          <w:i w:val="false"/>
          <w:iCs w:val="false"/>
        </w:rPr>
        <w:t xml:space="preserve">ZenVest does not originate credit itself. It doesn't compete with Ver Technology — it is the distribution and intelligence layer that sits on top of what you already do well, the same way Zenza Technology's existing product, Zenza FID, sits alongside banks' fraud systems rather than replacing them.</w:t>
      </w:r>
    </w:p>
    <w:p>
      <w:pPr>
        <w:pStyle w:val="Heading1"/>
        <w:spacing w:after="160" w:before="200"/>
      </w:pPr>
      <w:r>
        <w:t xml:space="preserve">Why This Matters for Ver Technology</w:t>
      </w:r>
    </w:p>
    <w:p>
      <w:pPr>
        <w:pStyle w:val="Heading2"/>
        <w:spacing w:after="120" w:before="240"/>
      </w:pPr>
      <w:r>
        <w:t xml:space="preserve">Your Position Today</w:t>
      </w:r>
    </w:p>
    <w:p>
      <w:pPr>
        <w:spacing w:after="150" w:line="300"/>
      </w:pPr>
      <w:r>
        <w:rPr>
          <w:b w:val="false"/>
          <w:bCs w:val="false"/>
          <w:i w:val="false"/>
          <w:iCs w:val="false"/>
        </w:rPr>
        <w:t xml:space="preserve">You already originate and underwrite credit at meaningful but limited scale, with customer acquisition cost and portfolio risk as the two constraints on how fast that can grow.</w:t>
      </w:r>
    </w:p>
    <w:p>
      <w:pPr>
        <w:pStyle w:val="Heading2"/>
        <w:spacing w:after="120" w:before="240"/>
      </w:pPr>
      <w:r>
        <w:t xml:space="preserve">What ZenVest Offers You</w:t>
      </w:r>
    </w:p>
    <w:p>
      <w:pPr>
        <w:pStyle w:val="ListParagraph"/>
        <w:numPr>
          <w:ilvl w:val="0"/>
          <w:numId w:val="2"/>
        </w:numPr>
        <w:spacing w:after="90" w:line="280"/>
      </w:pPr>
      <w:r>
        <w:t xml:space="preserve">A pre-qualified user funnel — users arrive with a ZenVest financial profile already informed by their investment behavior and platform engagement, not a cold application.</w:t>
      </w:r>
    </w:p>
    <w:p>
      <w:pPr>
        <w:pStyle w:val="ListParagraph"/>
        <w:numPr>
          <w:ilvl w:val="0"/>
          <w:numId w:val="2"/>
        </w:numPr>
        <w:spacing w:after="90" w:line="280"/>
      </w:pPr>
      <w:r>
        <w:t xml:space="preserve">A richer risk signal than bureau data alone — with user consent, investment behavior and portfolio data give you a more complete underwriting picture than salary data alone provides today.</w:t>
      </w:r>
    </w:p>
    <w:p>
      <w:pPr>
        <w:pStyle w:val="ListParagraph"/>
        <w:numPr>
          <w:ilvl w:val="0"/>
          <w:numId w:val="2"/>
        </w:numPr>
        <w:spacing w:after="90" w:line="280"/>
      </w:pPr>
      <w:r>
        <w:t xml:space="preserve">A new, structurally lower-risk repayment channel — users can settle credit from investment returns or holdings under a carefully phased framework (see below), not just salary repayment.</w:t>
      </w:r>
    </w:p>
    <w:p>
      <w:pPr>
        <w:pStyle w:val="ListParagraph"/>
        <w:numPr>
          <w:ilvl w:val="0"/>
          <w:numId w:val="2"/>
        </w:numPr>
        <w:spacing w:after="90" w:line="280"/>
      </w:pPr>
      <w:r>
        <w:t xml:space="preserve">Revenue share on facilitation fees generated through the platform, on top of your existing interest and fee income on the credit you originate.</w:t>
      </w:r>
    </w:p>
    <w:p>
      <w:pPr>
        <w:pStyle w:val="ListParagraph"/>
        <w:numPr>
          <w:ilvl w:val="0"/>
          <w:numId w:val="2"/>
        </w:numPr>
        <w:spacing w:after="90" w:line="280"/>
      </w:pPr>
      <w:r>
        <w:t xml:space="preserve">Distribution reach without you having to build investment or real estate capability yourselves.</w:t>
      </w:r>
    </w:p>
    <w:p>
      <w:pPr>
        <w:pStyle w:val="Heading2"/>
        <w:spacing w:after="120" w:before="240"/>
      </w:pPr>
      <w:r>
        <w:t xml:space="preserve">What ZenVest Asks of Ver Technology</w:t>
      </w:r>
    </w:p>
    <w:p>
      <w:pPr>
        <w:pStyle w:val="ListParagraph"/>
        <w:numPr>
          <w:ilvl w:val="0"/>
          <w:numId w:val="2"/>
        </w:numPr>
        <w:spacing w:after="90" w:line="280"/>
      </w:pPr>
      <w:r>
        <w:t xml:space="preserve">API or batch data integration for loan origination, servicing status, and repayment — matched to your current technical capacity, not an idealized system that doesn't exist yet.</w:t>
      </w:r>
    </w:p>
    <w:p>
      <w:pPr>
        <w:pStyle w:val="ListParagraph"/>
        <w:numPr>
          <w:ilvl w:val="0"/>
          <w:numId w:val="2"/>
        </w:numPr>
        <w:spacing w:after="90" w:line="280"/>
      </w:pPr>
      <w:r>
        <w:t xml:space="preserve">Competitive, transparent rates and terms shown clearly to users — ZenVest's credibility depends on partner terms being genuinely fair.</w:t>
      </w:r>
    </w:p>
    <w:p>
      <w:pPr>
        <w:pStyle w:val="ListParagraph"/>
        <w:numPr>
          <w:ilvl w:val="0"/>
          <w:numId w:val="2"/>
        </w:numPr>
        <w:spacing w:after="90" w:line="280"/>
      </w:pPr>
      <w:r>
        <w:t xml:space="preserve">A willingness to work within ZenVest's phased risk framework, particularly around the credit-investment bridge described below.</w:t>
      </w:r>
    </w:p>
    <w:p>
      <w:pPr>
        <w:pStyle w:val="Heading1"/>
        <w:spacing w:after="160" w:before="200"/>
      </w:pPr>
      <w:r>
        <w:t xml:space="preserve">What This Is Worth to Ver Technology</w:t>
      </w:r>
    </w:p>
    <w:p>
      <w:pPr>
        <w:spacing w:after="150" w:line="300"/>
      </w:pPr>
      <w:r>
        <w:rPr>
          <w:b w:val="false"/>
          <w:bCs w:val="false"/>
          <w:i w:val="false"/>
          <w:iCs w:val="false"/>
        </w:rPr>
        <w:t xml:space="preserve">ZenVest is built to generate revenue from day one across every partner relationship — including yours. The credit-specific line: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100"/>
      </w:tblGrid>
      <w:tr>
        <w:trPr>
          <w:tblHeader/>
        </w:trPr>
        <w:tc>
          <w:tcPr>
            <w:tcW w:type="dxa" w:w="2600"/>
            <w:shd w:fill="0B2340" w:val="clear"/>
            <w:tcMar>
              <w:top w:type="dxa" w:w="80"/>
              <w:left w:type="dxa" w:w="100"/>
              <w:bottom w:type="dxa" w:w="80"/>
              <w:right w:type="dxa" w:w="100"/>
            </w:tcMar>
            <w:vAlign w:val="center"/>
          </w:tcPr>
          <w:p>
            <w:r>
              <w:rPr>
                <w:b/>
                <w:bCs/>
                <w:color w:val="FFFFFF"/>
                <w:sz w:val="19"/>
                <w:szCs w:val="19"/>
              </w:rPr>
              <w:t xml:space="preserve">Revenue/Value Line</w:t>
            </w:r>
          </w:p>
        </w:tc>
        <w:tc>
          <w:tcPr>
            <w:tcW w:type="dxa" w:w="3000"/>
            <w:shd w:fill="0B2340" w:val="clear"/>
            <w:tcMar>
              <w:top w:type="dxa" w:w="80"/>
              <w:left w:type="dxa" w:w="100"/>
              <w:bottom w:type="dxa" w:w="80"/>
              <w:right w:type="dxa" w:w="100"/>
            </w:tcMar>
            <w:vAlign w:val="center"/>
          </w:tcPr>
          <w:p>
            <w:r>
              <w:rPr>
                <w:b/>
                <w:bCs/>
                <w:color w:val="FFFFFF"/>
                <w:sz w:val="19"/>
                <w:szCs w:val="19"/>
              </w:rPr>
              <w:t xml:space="preserve">Structure</w:t>
            </w:r>
          </w:p>
        </w:tc>
        <w:tc>
          <w:tcPr>
            <w:tcW w:type="dxa" w:w="4100"/>
            <w:shd w:fill="0B2340" w:val="clear"/>
            <w:tcMar>
              <w:top w:type="dxa" w:w="80"/>
              <w:left w:type="dxa" w:w="100"/>
              <w:bottom w:type="dxa" w:w="80"/>
              <w:right w:type="dxa" w:w="100"/>
            </w:tcMar>
            <w:vAlign w:val="center"/>
          </w:tcPr>
          <w:p>
            <w:r>
              <w:rPr>
                <w:b/>
                <w:bCs/>
                <w:color w:val="FFFFFF"/>
                <w:sz w:val="19"/>
                <w:szCs w:val="19"/>
              </w:rPr>
              <w:t xml:space="preserve">Notes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Credit Facilitation Fee</w:t>
            </w:r>
          </w:p>
        </w:tc>
        <w:tc>
          <w:tcPr>
            <w:tcW w:type="dxa" w:w="3000"/>
            <w:tcMar>
              <w:top w:type="dxa" w:w="80"/>
              <w:left w:type="dxa" w:w="100"/>
              <w:bottom w:type="dxa" w:w="80"/>
              <w:right w:type="dxa" w:w="100"/>
            </w:tcMar>
            <w:vAlign w:val="center"/>
          </w:tcPr>
          <w:p>
            <w:r>
              <w:rPr>
                <w:b w:val="false"/>
                <w:bCs w:val="false"/>
                <w:color w:val="000000"/>
                <w:sz w:val="19"/>
                <w:szCs w:val="19"/>
              </w:rPr>
              <w:t xml:space="preserve">% of loan originated through ZenVest</w:t>
            </w:r>
          </w:p>
        </w:tc>
        <w:tc>
          <w:tcPr>
            <w:tcW w:type="dxa" w:w="4100"/>
            <w:tcMar>
              <w:top w:type="dxa" w:w="80"/>
              <w:left w:type="dxa" w:w="100"/>
              <w:bottom w:type="dxa" w:w="80"/>
              <w:right w:type="dxa" w:w="100"/>
            </w:tcMar>
            <w:vAlign w:val="center"/>
          </w:tcPr>
          <w:p>
            <w:r>
              <w:rPr>
                <w:b w:val="false"/>
                <w:bCs w:val="false"/>
                <w:color w:val="000000"/>
                <w:sz w:val="19"/>
                <w:szCs w:val="19"/>
              </w:rPr>
              <w:t xml:space="preserve">Paid to ZenVest by the facilitation relationship — priced against what you'd otherwise spend acquiring an equivalently qualified borrower independently</w:t>
            </w:r>
          </w:p>
        </w:tc>
      </w:tr>
      <w:tr>
        <w:tc>
          <w:tcPr>
            <w:tcW w:type="dxa" w:w="2600"/>
            <w:shd w:fill="F2F4F7" w:val="clear"/>
            <w:tcMar>
              <w:top w:type="dxa" w:w="80"/>
              <w:left w:type="dxa" w:w="100"/>
              <w:bottom w:type="dxa" w:w="80"/>
              <w:right w:type="dxa" w:w="100"/>
            </w:tcMar>
            <w:vAlign w:val="center"/>
          </w:tcPr>
          <w:p>
            <w:r>
              <w:rPr>
                <w:b w:val="false"/>
                <w:bCs w:val="false"/>
                <w:color w:val="000000"/>
                <w:sz w:val="19"/>
                <w:szCs w:val="19"/>
              </w:rPr>
              <w:t xml:space="preserve">Portfolio Quality Upside</w:t>
            </w:r>
          </w:p>
        </w:tc>
        <w:tc>
          <w:tcPr>
            <w:tcW w:type="dxa" w:w="3000"/>
            <w:shd w:fill="F2F4F7" w:val="clear"/>
            <w:tcMar>
              <w:top w:type="dxa" w:w="80"/>
              <w:left w:type="dxa" w:w="100"/>
              <w:bottom w:type="dxa" w:w="80"/>
              <w:right w:type="dxa" w:w="100"/>
            </w:tcMar>
            <w:vAlign w:val="center"/>
          </w:tcPr>
          <w:p>
            <w:r>
              <w:rPr>
                <w:b w:val="false"/>
                <w:bCs w:val="false"/>
                <w:color w:val="000000"/>
                <w:sz w:val="19"/>
                <w:szCs w:val="19"/>
              </w:rPr>
              <w:t xml:space="preserve">Indirect — improved default rates</w:t>
            </w:r>
          </w:p>
        </w:tc>
        <w:tc>
          <w:tcPr>
            <w:tcW w:type="dxa" w:w="4100"/>
            <w:shd w:fill="F2F4F7" w:val="clear"/>
            <w:tcMar>
              <w:top w:type="dxa" w:w="80"/>
              <w:left w:type="dxa" w:w="100"/>
              <w:bottom w:type="dxa" w:w="80"/>
              <w:right w:type="dxa" w:w="100"/>
            </w:tcMar>
            <w:vAlign w:val="center"/>
          </w:tcPr>
          <w:p>
            <w:r>
              <w:rPr>
                <w:b w:val="false"/>
                <w:bCs w:val="false"/>
                <w:color w:val="000000"/>
                <w:sz w:val="19"/>
                <w:szCs w:val="19"/>
              </w:rPr>
              <w:t xml:space="preserve">A more complete risk picture (bureau + investment behavior) is designed to improve approval accuracy over time, not just add volume</w:t>
            </w:r>
          </w:p>
        </w:tc>
      </w:tr>
    </w:tbl>
    <w:p>
      <w:pPr>
        <w:spacing w:after="100"/>
      </w:pPr>
    </w:p>
    <w:p>
      <w:pPr>
        <w:spacing w:after="150" w:line="300"/>
      </w:pPr>
      <w:r>
        <w:rPr>
          <w:b w:val="false"/>
          <w:bCs w:val="false"/>
          <w:i w:val="false"/>
          <w:iCs w:val="false"/>
        </w:rPr>
        <w:t xml:space="preserve">The pitch in one line: the fee is priced to be smaller than what you're already spending to acquire a comparable, less-informed borrower — this should be net additive to your unit economics, not a cost added on top of your existing acquisition spend.</w:t>
      </w:r>
    </w:p>
    <w:p>
      <w:pPr>
        <w:pStyle w:val="Heading1"/>
        <w:spacing w:after="160" w:before="200"/>
      </w:pPr>
      <w:r>
        <w:t xml:space="preserve">How ZenVest Protects Your Portfolio</w:t>
      </w:r>
    </w:p>
    <w:p>
      <w:pPr>
        <w:spacing w:after="150" w:line="300"/>
      </w:pPr>
      <w:r>
        <w:rPr>
          <w:b w:val="false"/>
          <w:bCs w:val="false"/>
          <w:i w:val="false"/>
          <w:iCs w:val="false"/>
        </w:rPr>
        <w:t xml:space="preserve">The credit-investment “bridge” — letting users invest with credit and settle credit from investment returns — is the most sensitive part of ZenVest, and it is deliberately not a day-one feature.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C89B3C" w:sz="6"/>
              <w:left w:val="single" w:color="C89B3C" w:sz="6"/>
              <w:bottom w:val="single" w:color="C89B3C" w:sz="6"/>
              <w:right w:val="single" w:color="C89B3C" w:sz="6"/>
            </w:tcBorders>
            <w:shd w:fill="F7F2E7" w:val="clear"/>
            <w:tcMar>
              <w:top w:type="dxa" w:w="160"/>
              <w:left w:type="dxa" w:w="200"/>
              <w:bottom w:type="dxa" w:w="160"/>
              <w:right w:type="dxa" w:w="200"/>
            </w:tcMar>
          </w:tcPr>
          <w:p>
            <w:pPr>
              <w:spacing w:after="80"/>
            </w:pPr>
            <w:r>
              <w:rPr>
                <w:b/>
                <w:bCs/>
                <w:color w:val="33404F"/>
                <w:sz w:val="20"/>
                <w:szCs w:val="20"/>
              </w:rPr>
              <w:t xml:space="preserve">Guiding Principle</w:t>
            </w:r>
          </w:p>
          <w:p>
            <w:r>
              <w:rPr>
                <w:color w:val="33404F"/>
                <w:sz w:val="19"/>
                <w:szCs w:val="19"/>
              </w:rPr>
              <w:t xml:space="preserve">The bridge is the last major feature ZenVest activates, not the first. Credit and investment each launch and prove themselves independently — generating real usage and risk data — before any bridge between them goes live. When it does, loan-to-value limits are set per asset class (a bond is not treated like a stablecoin, and real estate isn't treated as loan collateral in the early phases at all), grounded in real performance data, not launch-day guesses.</w:t>
            </w:r>
          </w:p>
        </w:tc>
      </w:tr>
    </w:tbl>
    <w:p>
      <w:pPr>
        <w:spacing w:after="150" w:line="300"/>
      </w:pPr>
      <w:r>
        <w:rPr>
          <w:b w:val="false"/>
          <w:bCs w:val="false"/>
          <w:i w:val="false"/>
          <w:iCs w:val="false"/>
        </w:rPr>
        <w:t xml:space="preserve">For Ver Technology specifically, this means your credit book is never exposed to bridge-related risk until the framework has been proven with real data — and even then, only within conservative, asset-specific limits agreed with you directly.</w:t>
      </w:r>
    </w:p>
    <w:p>
      <w:pPr>
        <w:pStyle w:val="Heading1"/>
        <w:spacing w:after="160" w:before="200"/>
      </w:pPr>
      <w:r>
        <w:t xml:space="preserve">Suggested Next Step</w:t>
      </w:r>
    </w:p>
    <w:p>
      <w:pPr>
        <w:spacing w:after="150" w:line="300"/>
      </w:pPr>
      <w:r>
        <w:rPr>
          <w:b w:val="false"/>
          <w:bCs w:val="false"/>
          <w:i w:val="false"/>
          <w:iCs w:val="false"/>
        </w:rPr>
        <w:t xml:space="preserve">A working session to walk through: (1) what a technical integration would realistically look like given Ver Technology's current systems, (2) draft facilitation fee terms, and (3) a joint view on which segment of Ver Technology's existing salary-earner base is the right group to pilot with first.</w:t>
      </w:r>
    </w:p>
    <w:p>
      <w:pPr>
        <w:spacing w:after="200"/>
      </w:pPr>
    </w:p>
    <w:p>
      <w:pPr>
        <w:spacing w:after="150" w:line="300"/>
      </w:pPr>
      <w:r>
        <w:rPr>
          <w:b w:val="false"/>
          <w:bCs w:val="false"/>
          <w:i/>
          <w:iCs/>
        </w:rPr>
        <w:t xml:space="preserve">Zenza Technology | ZenVest is a product in active development — this document reflects the current stage of thinking and is intended as the starting point for a conversation, not a final agreement.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ZenVest × Ver Technology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8" w:space="4"/>
      </w:pBdr>
      <w:spacing w:after="140" w:before="220"/>
    </w:pPr>
    <w:rPr>
      <w:rFonts w:ascii="Calibri" w:cs="Calibri" w:eastAsia="Calibri" w:hAnsi="Calibri"/>
      <w:b/>
      <w:bCs/>
      <w:color w:val="0B2340"/>
      <w:sz w:val="28"/>
      <w:szCs w:val="28"/>
    </w:rPr>
  </w:style>
  <w:style w:type="paragraph" w:styleId="Heading2">
    <w:name w:val="Heading 2"/>
    <w:basedOn w:val="Normal"/>
    <w:next w:val="Normal"/>
    <w:qFormat/>
    <w:pPr>
      <w:spacing w:after="100" w:before="180"/>
    </w:pPr>
    <w:rPr>
      <w:rFonts w:ascii="Calibri" w:cs="Calibri" w:eastAsia="Calibri" w:hAnsi="Calibri"/>
      <w:b/>
      <w:bCs/>
      <w:color w:val="0E7C7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2026-07-12T15:05:16.416Z</dcterms:created>
  <dcterms:modified xsi:type="dcterms:W3CDTF">2026-07-12T15:05:16.431Z</dcterms:modified>
</cp:coreProperties>
</file>

<file path=docProps/custom.xml><?xml version="1.0" encoding="utf-8"?>
<Properties xmlns="http://schemas.openxmlformats.org/officeDocument/2006/custom-properties" xmlns:vt="http://schemas.openxmlformats.org/officeDocument/2006/docPropsVTypes"/>
</file>