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rFonts w:ascii="Times New Roman" w:hAnsi="Times New Roman" w:eastAsia="Times New Roman"/>
          <w:b/>
          <w:i w:val="0"/>
          <w:color w:val="003D2E"/>
          <w:sz w:val="22"/>
        </w:rPr>
        <w:t>ZEOFEX TECHNOLOGY</w:t>
      </w:r>
    </w:p>
    <w:p>
      <w:pPr>
        <w:spacing w:after="280" w:before="0" w:line="240" w:lineRule="auto"/>
        <w:jc w:val="center"/>
      </w:pPr>
      <w:r>
        <w:rPr>
          <w:rFonts w:ascii="Times New Roman" w:hAnsi="Times New Roman" w:eastAsia="Times New Roman"/>
          <w:b w:val="0"/>
          <w:i/>
          <w:color w:val="444444"/>
          <w:sz w:val="22"/>
        </w:rPr>
        <w:t>Trading as VentraPOS</w:t>
      </w:r>
    </w:p>
    <w:p>
      <w:pPr>
        <w:spacing w:after="120" w:before="0" w:line="240" w:lineRule="auto"/>
        <w:jc w:val="center"/>
      </w:pPr>
      <w:r>
        <w:rPr>
          <w:rFonts w:ascii="Times New Roman" w:hAnsi="Times New Roman" w:eastAsia="Times New Roman"/>
          <w:b/>
          <w:i w:val="0"/>
          <w:color w:val="003D2E"/>
          <w:sz w:val="36"/>
        </w:rPr>
        <w:t>CHANNEL PARTNER REVENUE-SHARE AGREEMENT</w:t>
      </w:r>
    </w:p>
    <w:p>
      <w:pPr>
        <w:spacing w:after="120" w:before="0" w:line="240" w:lineRule="auto"/>
        <w:jc w:val="center"/>
      </w:pPr>
      <w:r>
        <w:rPr>
          <w:rFonts w:ascii="Times New Roman" w:hAnsi="Times New Roman" w:eastAsia="Times New Roman"/>
          <w:b w:val="0"/>
          <w:i/>
          <w:color w:val="444444"/>
          <w:sz w:val="24"/>
        </w:rPr>
        <w:t>Lifetime Originating Partner — Shops Brought On Board</w:t>
      </w:r>
    </w:p>
    <w:p>
      <w:pPr>
        <w:spacing w:after="80" w:before="0" w:line="240" w:lineRule="auto"/>
        <w:jc w:val="center"/>
      </w:pPr>
      <w:r>
        <w:rPr>
          <w:rFonts w:ascii="Times New Roman" w:hAnsi="Times New Roman" w:eastAsia="Times New Roman"/>
          <w:b/>
          <w:i w:val="0"/>
          <w:color w:val="1A1A1A"/>
          <w:sz w:val="24"/>
        </w:rPr>
        <w:t>ZeoFex Technology  and  Mr. John Paul Kpantey</w:t>
      </w:r>
    </w:p>
    <w:p>
      <w:pPr>
        <w:spacing w:after="360" w:before="0" w:line="240" w:lineRule="auto"/>
        <w:jc w:val="center"/>
      </w:pPr>
      <w:r>
        <w:rPr>
          <w:rFonts w:ascii="Times New Roman" w:hAnsi="Times New Roman" w:eastAsia="Times New Roman"/>
          <w:b w:val="0"/>
          <w:i w:val="0"/>
          <w:color w:val="444444"/>
          <w:sz w:val="20"/>
        </w:rPr>
        <w:t>Governing law: Republic of Ghana</w:t>
      </w:r>
    </w:p>
    <w:p>
      <w:pPr>
        <w:spacing w:after="240" w:before="0" w:line="240" w:lineRule="auto"/>
        <w:jc w:val="both"/>
      </w:pPr>
      <w:r>
        <w:rPr>
          <w:rFonts w:ascii="Times New Roman" w:hAnsi="Times New Roman" w:eastAsia="Times New Roman"/>
          <w:b w:val="0"/>
          <w:i w:val="0"/>
          <w:color w:val="1A1A1A"/>
          <w:sz w:val="24"/>
        </w:rPr>
        <w:t>This Channel Partner Revenue-Share Agreement (the “Agreement”) is made on ________________________ (the “Effective Date”)</w:t>
      </w:r>
    </w:p>
    <w:p>
      <w:pPr>
        <w:spacing w:after="200" w:before="0" w:line="240" w:lineRule="auto"/>
        <w:jc w:val="center"/>
      </w:pPr>
      <w:r>
        <w:rPr>
          <w:rFonts w:ascii="Times New Roman" w:hAnsi="Times New Roman" w:eastAsia="Times New Roman"/>
          <w:b/>
          <w:i w:val="0"/>
          <w:color w:val="1A1A1A"/>
          <w:sz w:val="24"/>
        </w:rPr>
        <w:t>BETWEEN</w:t>
      </w:r>
    </w:p>
    <w:p>
      <w:pPr>
        <w:spacing w:after="200" w:before="0" w:line="240" w:lineRule="auto"/>
        <w:jc w:val="both"/>
      </w:pPr>
      <w:r>
        <w:rPr>
          <w:rFonts w:ascii="Times New Roman" w:hAnsi="Times New Roman" w:eastAsia="Times New Roman"/>
          <w:b w:val="0"/>
          <w:i w:val="0"/>
          <w:color w:val="1A1A1A"/>
          <w:sz w:val="24"/>
        </w:rPr>
        <w:t>ZeoFex Technology, trading as VentraPOS, of Abuakwa-Tanoso, Despite &amp; Kessben Street, Ghana, email zeofex.tech@gmail.com, phone +233 242 975 483 (the “Company”);</w:t>
      </w:r>
    </w:p>
    <w:p>
      <w:pPr>
        <w:spacing w:after="200" w:before="0" w:line="240" w:lineRule="auto"/>
        <w:jc w:val="center"/>
      </w:pPr>
      <w:r>
        <w:rPr>
          <w:rFonts w:ascii="Times New Roman" w:hAnsi="Times New Roman" w:eastAsia="Times New Roman"/>
          <w:b/>
          <w:i w:val="0"/>
          <w:color w:val="1A1A1A"/>
          <w:sz w:val="24"/>
        </w:rPr>
        <w:t>AND</w:t>
      </w:r>
    </w:p>
    <w:p>
      <w:pPr>
        <w:spacing w:after="200" w:before="0" w:line="240" w:lineRule="auto"/>
        <w:jc w:val="both"/>
      </w:pPr>
      <w:r>
        <w:rPr>
          <w:rFonts w:ascii="Times New Roman" w:hAnsi="Times New Roman" w:eastAsia="Times New Roman"/>
          <w:b w:val="0"/>
          <w:i w:val="0"/>
          <w:color w:val="1A1A1A"/>
          <w:sz w:val="24"/>
        </w:rPr>
        <w:t>Mr. John Paul Kpantey, of ________________________________, Ghana Card / ID No. ____________________, TIN ____________________, email ____________________, phone ____________________ (the “Partner”).</w:t>
      </w:r>
    </w:p>
    <w:p>
      <w:pPr>
        <w:spacing w:after="160" w:before="0" w:line="240" w:lineRule="auto"/>
        <w:jc w:val="both"/>
      </w:pPr>
      <w:r>
        <w:rPr>
          <w:rFonts w:ascii="Times New Roman" w:hAnsi="Times New Roman" w:eastAsia="Times New Roman"/>
          <w:b w:val="0"/>
          <w:i w:val="0"/>
          <w:color w:val="1A1A1A"/>
          <w:sz w:val="24"/>
        </w:rPr>
        <w:t>The Company and the Partner are each a “Party” and together the “Parties”.</w:t>
      </w:r>
    </w:p>
    <w:p>
      <w:pPr>
        <w:keepNext/>
        <w:spacing w:before="320" w:after="160"/>
        <w:jc w:val="left"/>
        <w:pBdr>
          <w:bottom w:val="single" w:sz="6" w:space="1" w:color="003D2E"/>
        </w:pBdr>
      </w:pPr>
      <w:r>
        <w:rPr>
          <w:rFonts w:ascii="Times New Roman" w:hAnsi="Times New Roman" w:eastAsia="Times New Roman"/>
          <w:b/>
          <w:i w:val="0"/>
          <w:color w:val="003D2E"/>
          <w:sz w:val="26"/>
        </w:rPr>
        <w:t>1. BACKGROUND</w:t>
      </w:r>
    </w:p>
    <w:p>
      <w:pPr>
        <w:spacing w:after="160" w:before="0" w:line="240" w:lineRule="auto"/>
        <w:jc w:val="both"/>
      </w:pPr>
      <w:r>
        <w:rPr>
          <w:rFonts w:ascii="Times New Roman" w:hAnsi="Times New Roman" w:eastAsia="Times New Roman"/>
          <w:b w:val="0"/>
          <w:i w:val="0"/>
          <w:color w:val="1A1A1A"/>
          <w:sz w:val="24"/>
        </w:rPr>
        <w:t>1.1 The Company owns and operates VentraPOS, a cloud point-of-sale and business operations platform for retailers and similar businesses (the “Platform”).</w:t>
      </w:r>
    </w:p>
    <w:p>
      <w:pPr>
        <w:spacing w:after="160" w:before="0" w:line="240" w:lineRule="auto"/>
        <w:jc w:val="both"/>
      </w:pPr>
      <w:r>
        <w:rPr>
          <w:rFonts w:ascii="Times New Roman" w:hAnsi="Times New Roman" w:eastAsia="Times New Roman"/>
          <w:b w:val="0"/>
          <w:i w:val="0"/>
          <w:color w:val="1A1A1A"/>
          <w:sz w:val="24"/>
        </w:rPr>
        <w:t>1.2 The Partner wishes to source, introduce, and help onboard shops onto the Platform.</w:t>
      </w:r>
    </w:p>
    <w:p>
      <w:pPr>
        <w:spacing w:after="160" w:before="0" w:line="240" w:lineRule="auto"/>
        <w:jc w:val="both"/>
      </w:pPr>
      <w:r>
        <w:rPr>
          <w:rFonts w:ascii="Times New Roman" w:hAnsi="Times New Roman" w:eastAsia="Times New Roman"/>
          <w:b w:val="0"/>
          <w:i w:val="0"/>
          <w:color w:val="1A1A1A"/>
          <w:sz w:val="24"/>
        </w:rPr>
        <w:t>1.3 For each shop the Partner brings on board, the Partner shall receive fifty percent (50%) of that shop’s Net Distributable Revenue for the life of that shop on VentraPOS, after the deductions in this Agreement, including payment fees, platform resources, and the Maintenance Fee.</w:t>
      </w:r>
    </w:p>
    <w:p>
      <w:pPr>
        <w:spacing w:after="160" w:before="0" w:line="240" w:lineRule="auto"/>
        <w:jc w:val="both"/>
      </w:pPr>
      <w:r>
        <w:rPr>
          <w:rFonts w:ascii="Times New Roman" w:hAnsi="Times New Roman" w:eastAsia="Times New Roman"/>
          <w:b w:val="0"/>
          <w:i w:val="0"/>
          <w:color w:val="1A1A1A"/>
          <w:sz w:val="24"/>
        </w:rPr>
        <w:t>1.4 All software updates, upgrades, patches, and new Platform features shall be designed, built, released, and owned solely by the Company. The Partner is not required to build, maintain, or update the software. The cost of that ongoing work is recovered through the Maintenance Fee and other Resource Costs in Schedule A, which are deducted before the 50/50 split.</w:t>
      </w:r>
    </w:p>
    <w:p>
      <w:pPr>
        <w:spacing w:after="160" w:before="0" w:line="240" w:lineRule="auto"/>
        <w:jc w:val="both"/>
      </w:pPr>
      <w:r>
        <w:rPr>
          <w:rFonts w:ascii="Times New Roman" w:hAnsi="Times New Roman" w:eastAsia="Times New Roman"/>
          <w:b w:val="0"/>
          <w:i w:val="0"/>
          <w:color w:val="1A1A1A"/>
          <w:sz w:val="24"/>
        </w:rPr>
        <w:t>1.5 This Agreement does not give the Partner any shareholding, ownership, or control of ZeoFex Technology, the Platform, the VentraPOS brand, or shops the Partner did not originate.</w:t>
      </w:r>
    </w:p>
    <w:p>
      <w:pPr>
        <w:keepNext/>
        <w:spacing w:before="320" w:after="160"/>
        <w:jc w:val="left"/>
        <w:pBdr>
          <w:bottom w:val="single" w:sz="6" w:space="1" w:color="003D2E"/>
        </w:pBdr>
      </w:pPr>
      <w:r>
        <w:rPr>
          <w:rFonts w:ascii="Times New Roman" w:hAnsi="Times New Roman" w:eastAsia="Times New Roman"/>
          <w:b/>
          <w:i w:val="0"/>
          <w:color w:val="003D2E"/>
          <w:sz w:val="26"/>
        </w:rPr>
        <w:t>2. DEFINITIONS</w:t>
      </w:r>
    </w:p>
    <w:p>
      <w:pPr>
        <w:spacing w:after="160" w:before="0" w:line="240" w:lineRule="auto"/>
        <w:jc w:val="both"/>
      </w:pPr>
      <w:r>
        <w:rPr>
          <w:rFonts w:ascii="Times New Roman" w:hAnsi="Times New Roman" w:eastAsia="Times New Roman"/>
          <w:b w:val="0"/>
          <w:i w:val="0"/>
          <w:color w:val="1A1A1A"/>
          <w:sz w:val="24"/>
        </w:rPr>
        <w:t>“Referred Shop” means a business account on the Platform that: (a) was first introduced by the Partner; (b) signed up or converted using the Partner’s agreed tracking method (referral code, unique link, written introduction, or written confirmation by the Company); and (c) is recorded on the Company’s Partner Attribution Register.</w:t>
      </w:r>
    </w:p>
    <w:p>
      <w:pPr>
        <w:spacing w:after="160" w:before="0" w:line="240" w:lineRule="auto"/>
        <w:jc w:val="both"/>
      </w:pPr>
      <w:r>
        <w:rPr>
          <w:rFonts w:ascii="Times New Roman" w:hAnsi="Times New Roman" w:eastAsia="Times New Roman"/>
          <w:b w:val="0"/>
          <w:i w:val="0"/>
          <w:color w:val="1A1A1A"/>
          <w:sz w:val="24"/>
        </w:rPr>
        <w:t>“Life of the Shop” means the entire period during which that Referred Shop remains a VentraPOS customer and, for paid plans, continues to pay. It is not limited to one year, one plan cycle, or the term of this Agreement.</w:t>
      </w:r>
    </w:p>
    <w:p>
      <w:pPr>
        <w:spacing w:after="160" w:before="0" w:line="240" w:lineRule="auto"/>
        <w:jc w:val="both"/>
      </w:pPr>
      <w:r>
        <w:rPr>
          <w:rFonts w:ascii="Times New Roman" w:hAnsi="Times New Roman" w:eastAsia="Times New Roman"/>
          <w:b w:val="0"/>
          <w:i w:val="0"/>
          <w:color w:val="1A1A1A"/>
          <w:sz w:val="24"/>
        </w:rPr>
        <w:t>“Gross Collected Revenue” means subscription fees, plan fees, branch add-on fees, and other Platform software fees actually received by the Company in Ghana Cedis (GHS) from a Referred Shop in a Settlement Period. It does not include VAT or other taxes collected for the Ghana Revenue Authority, the shop’s own retail sales, or hardware unless listed in Schedule B.</w:t>
      </w:r>
    </w:p>
    <w:p>
      <w:pPr>
        <w:spacing w:after="160" w:before="0" w:line="240" w:lineRule="auto"/>
        <w:jc w:val="both"/>
      </w:pPr>
      <w:r>
        <w:rPr>
          <w:rFonts w:ascii="Times New Roman" w:hAnsi="Times New Roman" w:eastAsia="Times New Roman"/>
          <w:b w:val="0"/>
          <w:i w:val="0"/>
          <w:color w:val="1A1A1A"/>
          <w:sz w:val="24"/>
        </w:rPr>
        <w:t>“Maintenance Fee” means the Company’s charge for keeping the Platform running and current for that Referred Shop, including software updates, upgrades, bug fixes, security patches, version releases, routine technical upkeep, and related engineering time. The Maintenance Fee is a Resource Cost. It is deducted before the 50/50 split. The Partner does not perform this work and does not receive a separate fee for it.</w:t>
      </w:r>
    </w:p>
    <w:p>
      <w:pPr>
        <w:spacing w:after="160" w:before="0" w:line="240" w:lineRule="auto"/>
        <w:jc w:val="both"/>
      </w:pPr>
      <w:r>
        <w:rPr>
          <w:rFonts w:ascii="Times New Roman" w:hAnsi="Times New Roman" w:eastAsia="Times New Roman"/>
          <w:b w:val="0"/>
          <w:i w:val="0"/>
          <w:color w:val="1A1A1A"/>
          <w:sz w:val="24"/>
        </w:rPr>
        <w:t>“Resource Costs” means the Company’s actual, reasonable third-party and allocated operating costs of serving that Referred Shop, including the Maintenance Fee, as set out in Schedule A.</w:t>
      </w:r>
    </w:p>
    <w:p>
      <w:pPr>
        <w:spacing w:after="160" w:before="0" w:line="240" w:lineRule="auto"/>
        <w:jc w:val="both"/>
      </w:pPr>
      <w:r>
        <w:rPr>
          <w:rFonts w:ascii="Times New Roman" w:hAnsi="Times New Roman" w:eastAsia="Times New Roman"/>
          <w:b w:val="0"/>
          <w:i w:val="0"/>
          <w:color w:val="1A1A1A"/>
          <w:sz w:val="24"/>
        </w:rPr>
        <w:t>“Net Distributable Revenue” means, for each Referred Shop in a Settlement Period: Gross Collected Revenue, minus refunds, chargebacks, failed payments, and promotional discounts, minus payment-processor fees, minus Resource Costs (including the Maintenance Fee), minus taxes, levies, or statutory withholdings the Company must deduct.</w:t>
      </w:r>
    </w:p>
    <w:p>
      <w:pPr>
        <w:spacing w:after="160" w:before="0" w:line="240" w:lineRule="auto"/>
        <w:jc w:val="both"/>
      </w:pPr>
      <w:r>
        <w:rPr>
          <w:rFonts w:ascii="Times New Roman" w:hAnsi="Times New Roman" w:eastAsia="Times New Roman"/>
          <w:b w:val="0"/>
          <w:i w:val="0"/>
          <w:color w:val="1A1A1A"/>
          <w:sz w:val="24"/>
        </w:rPr>
        <w:t>“Partner Share” means 50% of Net Distributable Revenue of each Referred Shop, for the Life of the Shop.</w:t>
      </w:r>
    </w:p>
    <w:p>
      <w:pPr>
        <w:spacing w:after="160" w:before="0" w:line="240" w:lineRule="auto"/>
        <w:jc w:val="both"/>
      </w:pPr>
      <w:r>
        <w:rPr>
          <w:rFonts w:ascii="Times New Roman" w:hAnsi="Times New Roman" w:eastAsia="Times New Roman"/>
          <w:b w:val="0"/>
          <w:i w:val="0"/>
          <w:color w:val="1A1A1A"/>
          <w:sz w:val="24"/>
        </w:rPr>
        <w:t>“Company Share” means the remaining 50% of Net Distributable Revenue of each Referred Shop.</w:t>
      </w:r>
    </w:p>
    <w:p>
      <w:pPr>
        <w:spacing w:after="160" w:before="0" w:line="240" w:lineRule="auto"/>
        <w:jc w:val="both"/>
      </w:pPr>
      <w:r>
        <w:rPr>
          <w:rFonts w:ascii="Times New Roman" w:hAnsi="Times New Roman" w:eastAsia="Times New Roman"/>
          <w:b w:val="0"/>
          <w:i w:val="0"/>
          <w:color w:val="1A1A1A"/>
          <w:sz w:val="24"/>
        </w:rPr>
        <w:t>“Settlement Period” means each calendar month.</w:t>
      </w:r>
    </w:p>
    <w:p>
      <w:pPr>
        <w:keepNext/>
        <w:spacing w:before="320" w:after="160"/>
        <w:jc w:val="left"/>
        <w:pBdr>
          <w:bottom w:val="single" w:sz="6" w:space="1" w:color="003D2E"/>
        </w:pBdr>
      </w:pPr>
      <w:r>
        <w:rPr>
          <w:rFonts w:ascii="Times New Roman" w:hAnsi="Times New Roman" w:eastAsia="Times New Roman"/>
          <w:b/>
          <w:i w:val="0"/>
          <w:color w:val="003D2E"/>
          <w:sz w:val="26"/>
        </w:rPr>
        <w:t>3. APPOINTMENT</w:t>
      </w:r>
    </w:p>
    <w:p>
      <w:pPr>
        <w:spacing w:after="160" w:before="0" w:line="240" w:lineRule="auto"/>
        <w:jc w:val="both"/>
      </w:pPr>
      <w:r>
        <w:rPr>
          <w:rFonts w:ascii="Times New Roman" w:hAnsi="Times New Roman" w:eastAsia="Times New Roman"/>
          <w:b w:val="0"/>
          <w:i w:val="0"/>
          <w:color w:val="1A1A1A"/>
          <w:sz w:val="24"/>
        </w:rPr>
        <w:t>3.1 The Company appoints Mr. John Paul Kpantey as a non-exclusive originating partner to introduce shops to VentraPOS.</w:t>
      </w:r>
    </w:p>
    <w:p>
      <w:pPr>
        <w:spacing w:after="160" w:before="0" w:line="240" w:lineRule="auto"/>
        <w:jc w:val="both"/>
      </w:pPr>
      <w:r>
        <w:rPr>
          <w:rFonts w:ascii="Times New Roman" w:hAnsi="Times New Roman" w:eastAsia="Times New Roman"/>
          <w:b w:val="0"/>
          <w:i w:val="0"/>
          <w:color w:val="1A1A1A"/>
          <w:sz w:val="24"/>
        </w:rPr>
        <w:t>3.2 The Partner is an independent contractor, not an employee, director, or person with power to bind the Company, except as written here.</w:t>
      </w:r>
    </w:p>
    <w:p>
      <w:pPr>
        <w:spacing w:after="160" w:before="0" w:line="240" w:lineRule="auto"/>
        <w:jc w:val="both"/>
      </w:pPr>
      <w:r>
        <w:rPr>
          <w:rFonts w:ascii="Times New Roman" w:hAnsi="Times New Roman" w:eastAsia="Times New Roman"/>
          <w:b w:val="0"/>
          <w:i w:val="0"/>
          <w:color w:val="1A1A1A"/>
          <w:sz w:val="24"/>
        </w:rPr>
        <w:t>3.3 The Partner has no authority to set prices, grant discounts above any written limit, promise features, sign for the Company, collect shop money into a personal account, or release software, unless the Company agrees in writing.</w:t>
      </w:r>
    </w:p>
    <w:p>
      <w:pPr>
        <w:keepNext/>
        <w:spacing w:before="320" w:after="160"/>
        <w:jc w:val="left"/>
        <w:pBdr>
          <w:bottom w:val="single" w:sz="6" w:space="1" w:color="003D2E"/>
        </w:pBdr>
      </w:pPr>
      <w:r>
        <w:rPr>
          <w:rFonts w:ascii="Times New Roman" w:hAnsi="Times New Roman" w:eastAsia="Times New Roman"/>
          <w:b/>
          <w:i w:val="0"/>
          <w:color w:val="003D2E"/>
          <w:sz w:val="26"/>
        </w:rPr>
        <w:t>4. SOFTWARE UPDATES AND MAINTENANCE (COMPANY ONLY)</w:t>
      </w:r>
    </w:p>
    <w:p>
      <w:pPr>
        <w:spacing w:after="160" w:before="0" w:line="240" w:lineRule="auto"/>
        <w:jc w:val="both"/>
      </w:pPr>
      <w:r>
        <w:rPr>
          <w:rFonts w:ascii="Times New Roman" w:hAnsi="Times New Roman" w:eastAsia="Times New Roman"/>
          <w:b w:val="0"/>
          <w:i w:val="0"/>
          <w:color w:val="1A1A1A"/>
          <w:sz w:val="24"/>
        </w:rPr>
        <w:t>4.1 The Company shall, at its own operational control:</w:t>
      </w:r>
    </w:p>
    <w:p>
      <w:pPr>
        <w:pStyle w:val="ListBullet"/>
        <w:spacing w:after="60"/>
        <w:ind w:left="709"/>
      </w:pPr>
      <w:r>
        <w:rPr>
          <w:rFonts w:ascii="Times New Roman" w:hAnsi="Times New Roman" w:eastAsia="Times New Roman"/>
          <w:b w:val="0"/>
          <w:i w:val="0"/>
          <w:color w:val="1A1A1A"/>
          <w:sz w:val="24"/>
        </w:rPr>
        <w:t>develop, test, and release all Platform updates and upgrades;</w:t>
      </w:r>
    </w:p>
    <w:p>
      <w:pPr>
        <w:pStyle w:val="ListBullet"/>
        <w:spacing w:after="60"/>
        <w:ind w:left="709"/>
      </w:pPr>
      <w:r>
        <w:rPr>
          <w:rFonts w:ascii="Times New Roman" w:hAnsi="Times New Roman" w:eastAsia="Times New Roman"/>
          <w:b w:val="0"/>
          <w:i w:val="0"/>
          <w:color w:val="1A1A1A"/>
          <w:sz w:val="24"/>
        </w:rPr>
        <w:t>fix bugs and apply security patches;</w:t>
      </w:r>
    </w:p>
    <w:p>
      <w:pPr>
        <w:pStyle w:val="ListBullet"/>
        <w:spacing w:after="60"/>
        <w:ind w:left="709"/>
      </w:pPr>
      <w:r>
        <w:rPr>
          <w:rFonts w:ascii="Times New Roman" w:hAnsi="Times New Roman" w:eastAsia="Times New Roman"/>
          <w:b w:val="0"/>
          <w:i w:val="0"/>
          <w:color w:val="1A1A1A"/>
          <w:sz w:val="24"/>
        </w:rPr>
        <w:t>maintain hosting, database, backups, and related infrastructure; and</w:t>
      </w:r>
    </w:p>
    <w:p>
      <w:pPr>
        <w:pStyle w:val="ListBullet"/>
        <w:spacing w:after="60"/>
        <w:ind w:left="709"/>
      </w:pPr>
      <w:r>
        <w:rPr>
          <w:rFonts w:ascii="Times New Roman" w:hAnsi="Times New Roman" w:eastAsia="Times New Roman"/>
          <w:b w:val="0"/>
          <w:i w:val="0"/>
          <w:color w:val="1A1A1A"/>
          <w:sz w:val="24"/>
        </w:rPr>
        <w:t>decide the product roadmap.</w:t>
      </w:r>
    </w:p>
    <w:p>
      <w:pPr>
        <w:spacing w:after="160" w:before="0" w:line="240" w:lineRule="auto"/>
        <w:jc w:val="both"/>
      </w:pPr>
      <w:r>
        <w:rPr>
          <w:rFonts w:ascii="Times New Roman" w:hAnsi="Times New Roman" w:eastAsia="Times New Roman"/>
          <w:b w:val="0"/>
          <w:i w:val="0"/>
          <w:color w:val="1A1A1A"/>
          <w:sz w:val="24"/>
        </w:rPr>
        <w:t>4.2 The Partner shall not be asked to code, deploy, or maintain the Platform, and shall not claim ownership of any update.</w:t>
      </w:r>
    </w:p>
    <w:p>
      <w:pPr>
        <w:spacing w:after="160" w:before="0" w:line="240" w:lineRule="auto"/>
        <w:jc w:val="both"/>
      </w:pPr>
      <w:r>
        <w:rPr>
          <w:rFonts w:ascii="Times New Roman" w:hAnsi="Times New Roman" w:eastAsia="Times New Roman"/>
          <w:b w:val="0"/>
          <w:i w:val="0"/>
          <w:color w:val="1A1A1A"/>
          <w:sz w:val="24"/>
        </w:rPr>
        <w:t>4.3 The Maintenance Fee for each Referred Shop is part of Resource Costs (Schedule A) and is deducted before calculating the Partner Share.</w:t>
      </w:r>
    </w:p>
    <w:p>
      <w:pPr>
        <w:spacing w:after="160" w:before="0" w:line="240" w:lineRule="auto"/>
        <w:jc w:val="both"/>
      </w:pPr>
      <w:r>
        <w:rPr>
          <w:rFonts w:ascii="Times New Roman" w:hAnsi="Times New Roman" w:eastAsia="Times New Roman"/>
          <w:b w:val="0"/>
          <w:i w:val="0"/>
          <w:color w:val="1A1A1A"/>
          <w:sz w:val="24"/>
        </w:rPr>
        <w:t>4.4 Updates may add, change, or remove features. A Referred Shop’s plan price may change according to the Company’s live price list. The Partner Share remains 50% of Net Distributable Revenue of that shop for the Life of the Shop, including after plan changes.</w:t>
      </w:r>
    </w:p>
    <w:p>
      <w:pPr>
        <w:keepNext/>
        <w:spacing w:before="320" w:after="160"/>
        <w:jc w:val="left"/>
        <w:pBdr>
          <w:bottom w:val="single" w:sz="6" w:space="1" w:color="003D2E"/>
        </w:pBdr>
      </w:pPr>
      <w:r>
        <w:rPr>
          <w:rFonts w:ascii="Times New Roman" w:hAnsi="Times New Roman" w:eastAsia="Times New Roman"/>
          <w:b/>
          <w:i w:val="0"/>
          <w:color w:val="003D2E"/>
          <w:sz w:val="26"/>
        </w:rPr>
        <w:t>5. WHAT THE 50% COVERS (FOR LIFE)</w:t>
      </w:r>
    </w:p>
    <w:p>
      <w:pPr>
        <w:spacing w:after="160" w:before="0" w:line="240" w:lineRule="auto"/>
        <w:jc w:val="both"/>
      </w:pPr>
      <w:r>
        <w:rPr>
          <w:rFonts w:ascii="Times New Roman" w:hAnsi="Times New Roman" w:eastAsia="Times New Roman"/>
          <w:b w:val="0"/>
          <w:i w:val="0"/>
          <w:color w:val="1A1A1A"/>
          <w:sz w:val="24"/>
        </w:rPr>
        <w:t>5.1 The 50% applies shop by shop, only to Referred Shops originated by Mr. John Paul Kpantey.</w:t>
      </w:r>
    </w:p>
    <w:p>
      <w:pPr>
        <w:spacing w:after="160" w:before="0" w:line="240" w:lineRule="auto"/>
        <w:jc w:val="both"/>
      </w:pPr>
      <w:r>
        <w:rPr>
          <w:rFonts w:ascii="Times New Roman" w:hAnsi="Times New Roman" w:eastAsia="Times New Roman"/>
          <w:b w:val="0"/>
          <w:i w:val="0"/>
          <w:color w:val="1A1A1A"/>
          <w:sz w:val="24"/>
        </w:rPr>
        <w:t>5.2 Lifetime rule. For each Referred Shop, the Partner Share continues for the Life of the Shop: for as long as that shop stays on VentraPOS and, where applicable, keeps paying. This includes renewals, upgrades, downgrades, extra paid branches, and later plan changes of that same shop. It does not expire after 12 months or when this Agreement ends, except as in Clauses 5.5 and 15.4.</w:t>
      </w:r>
    </w:p>
    <w:p>
      <w:pPr>
        <w:spacing w:after="160" w:before="0" w:line="240" w:lineRule="auto"/>
        <w:jc w:val="both"/>
      </w:pPr>
      <w:r>
        <w:rPr>
          <w:rFonts w:ascii="Times New Roman" w:hAnsi="Times New Roman" w:eastAsia="Times New Roman"/>
          <w:b w:val="0"/>
          <w:i w:val="0"/>
          <w:color w:val="1A1A1A"/>
          <w:sz w:val="24"/>
        </w:rPr>
        <w:t>5.3 The Partner is not entitled to 50% of:</w:t>
      </w:r>
    </w:p>
    <w:p>
      <w:pPr>
        <w:pStyle w:val="ListBullet"/>
        <w:spacing w:after="60"/>
        <w:ind w:left="709"/>
      </w:pPr>
      <w:r>
        <w:rPr>
          <w:rFonts w:ascii="Times New Roman" w:hAnsi="Times New Roman" w:eastAsia="Times New Roman"/>
          <w:b w:val="0"/>
          <w:i w:val="0"/>
          <w:color w:val="1A1A1A"/>
          <w:sz w:val="24"/>
        </w:rPr>
        <w:t>shops already on the Platform before the Partner introduced them;</w:t>
      </w:r>
    </w:p>
    <w:p>
      <w:pPr>
        <w:pStyle w:val="ListBullet"/>
        <w:spacing w:after="60"/>
        <w:ind w:left="709"/>
      </w:pPr>
      <w:r>
        <w:rPr>
          <w:rFonts w:ascii="Times New Roman" w:hAnsi="Times New Roman" w:eastAsia="Times New Roman"/>
          <w:b w:val="0"/>
          <w:i w:val="0"/>
          <w:color w:val="1A1A1A"/>
          <w:sz w:val="24"/>
        </w:rPr>
        <w:t>shops introduced by the Company or any other person;</w:t>
      </w:r>
    </w:p>
    <w:p>
      <w:pPr>
        <w:pStyle w:val="ListBullet"/>
        <w:spacing w:after="60"/>
        <w:ind w:left="709"/>
      </w:pPr>
      <w:r>
        <w:rPr>
          <w:rFonts w:ascii="Times New Roman" w:hAnsi="Times New Roman" w:eastAsia="Times New Roman"/>
          <w:b w:val="0"/>
          <w:i w:val="0"/>
          <w:color w:val="1A1A1A"/>
          <w:sz w:val="24"/>
        </w:rPr>
        <w:t>Platform-wide revenue, brand value, or company profits; or</w:t>
      </w:r>
    </w:p>
    <w:p>
      <w:pPr>
        <w:pStyle w:val="ListBullet"/>
        <w:spacing w:after="60"/>
        <w:ind w:left="709"/>
      </w:pPr>
      <w:r>
        <w:rPr>
          <w:rFonts w:ascii="Times New Roman" w:hAnsi="Times New Roman" w:eastAsia="Times New Roman"/>
          <w:b w:val="0"/>
          <w:i w:val="0"/>
          <w:color w:val="1A1A1A"/>
          <w:sz w:val="24"/>
        </w:rPr>
        <w:t>a Starter / free-forever shop, until that shop pays a paid plan or paid add-on.</w:t>
      </w:r>
    </w:p>
    <w:p>
      <w:pPr>
        <w:spacing w:after="160" w:before="0" w:line="240" w:lineRule="auto"/>
        <w:jc w:val="both"/>
      </w:pPr>
      <w:r>
        <w:rPr>
          <w:rFonts w:ascii="Times New Roman" w:hAnsi="Times New Roman" w:eastAsia="Times New Roman"/>
          <w:b w:val="0"/>
          <w:i w:val="0"/>
          <w:color w:val="1A1A1A"/>
          <w:sz w:val="24"/>
        </w:rPr>
        <w:t>5.4 If a Referred Shop later upgrades from a free plan to a paid plan, lifetime 50% of Net Distributable Revenue starts from the first paid collection and continues for the Life of the Shop.</w:t>
      </w:r>
    </w:p>
    <w:p>
      <w:pPr>
        <w:spacing w:after="160" w:before="0" w:line="240" w:lineRule="auto"/>
        <w:jc w:val="both"/>
      </w:pPr>
      <w:r>
        <w:rPr>
          <w:rFonts w:ascii="Times New Roman" w:hAnsi="Times New Roman" w:eastAsia="Times New Roman"/>
          <w:b w:val="0"/>
          <w:i w:val="0"/>
          <w:color w:val="1A1A1A"/>
          <w:sz w:val="24"/>
        </w:rPr>
        <w:t>5.5 Lifetime attribution stops for a shop if:</w:t>
      </w:r>
    </w:p>
    <w:p>
      <w:pPr>
        <w:pStyle w:val="ListBullet"/>
        <w:spacing w:after="60"/>
        <w:ind w:left="709"/>
      </w:pPr>
      <w:r>
        <w:rPr>
          <w:rFonts w:ascii="Times New Roman" w:hAnsi="Times New Roman" w:eastAsia="Times New Roman"/>
          <w:b w:val="0"/>
          <w:i w:val="0"/>
          <w:color w:val="1A1A1A"/>
          <w:sz w:val="24"/>
        </w:rPr>
        <w:t>the shop permanently closes its VentraPOS account and does not return; or</w:t>
      </w:r>
    </w:p>
    <w:p>
      <w:pPr>
        <w:pStyle w:val="ListBullet"/>
        <w:spacing w:after="60"/>
        <w:ind w:left="709"/>
      </w:pPr>
      <w:r>
        <w:rPr>
          <w:rFonts w:ascii="Times New Roman" w:hAnsi="Times New Roman" w:eastAsia="Times New Roman"/>
          <w:b w:val="0"/>
          <w:i w:val="0"/>
          <w:color w:val="1A1A1A"/>
          <w:sz w:val="24"/>
        </w:rPr>
        <w:t>the shop churns and later returns without the Partner’s involvement after 90 days off-platform; or</w:t>
      </w:r>
    </w:p>
    <w:p>
      <w:pPr>
        <w:pStyle w:val="ListBullet"/>
        <w:spacing w:after="60"/>
        <w:ind w:left="709"/>
      </w:pPr>
      <w:r>
        <w:rPr>
          <w:rFonts w:ascii="Times New Roman" w:hAnsi="Times New Roman" w:eastAsia="Times New Roman"/>
          <w:b w:val="0"/>
          <w:i w:val="0"/>
          <w:color w:val="1A1A1A"/>
          <w:sz w:val="24"/>
        </w:rPr>
        <w:t>the Partner is terminated for fraud, data misuse, or the non-solicit breach in Clause 14.</w:t>
      </w:r>
    </w:p>
    <w:p>
      <w:pPr>
        <w:spacing w:after="160" w:before="0" w:line="240" w:lineRule="auto"/>
        <w:jc w:val="both"/>
      </w:pPr>
      <w:r>
        <w:rPr>
          <w:rFonts w:ascii="Times New Roman" w:hAnsi="Times New Roman" w:eastAsia="Times New Roman"/>
          <w:b w:val="0"/>
          <w:i w:val="0"/>
          <w:color w:val="1A1A1A"/>
          <w:sz w:val="24"/>
        </w:rPr>
        <w:t>5.6 If the Partner dies, Partner Share then due, and future Partner Share on existing Referred Shops, shall be paid to the Partner’s estate or named next of kin on proof reasonably required by the Company, unless the Partner has assigned those rights in writing with the Company’s consent. New shops introduced after death are not attributed.</w:t>
      </w:r>
    </w:p>
    <w:p>
      <w:pPr>
        <w:spacing w:after="160" w:before="0" w:line="240" w:lineRule="auto"/>
        <w:jc w:val="both"/>
      </w:pPr>
      <w:r>
        <w:rPr>
          <w:rFonts w:ascii="Times New Roman" w:hAnsi="Times New Roman" w:eastAsia="Times New Roman"/>
          <w:b w:val="0"/>
          <w:i w:val="0"/>
          <w:color w:val="1A1A1A"/>
          <w:sz w:val="24"/>
        </w:rPr>
        <w:t>5.7 Current published paid plans (the live VentraPOS price list controls):</w:t>
      </w:r>
    </w:p>
    <w:tbl>
      <w:tblPr>
        <w:tblW w:type="auto" w:w="0"/>
        <w:jc w:val="center"/>
        <w:tblLayout w:type="autofit"/>
        <w:tblLook w:firstColumn="1" w:firstRow="1" w:lastColumn="0" w:lastRow="0" w:noHBand="0" w:noVBand="1" w:val="04A0"/>
      </w:tblPr>
      <w:tblGrid>
        <w:gridCol w:w="3137"/>
        <w:gridCol w:w="3137"/>
        <w:gridCol w:w="3137"/>
      </w:tblGrid>
      <w:tr>
        <w:tc>
          <w:tcPr>
            <w:tcW w:type="dxa" w:w="3137"/>
            <w:tcBorders>
              <w:top w:val="single" w:sz="4" w:space="0" w:color="003D2E"/>
              <w:left w:val="single" w:sz="4" w:space="0" w:color="003D2E"/>
              <w:bottom w:val="single" w:sz="4" w:space="0" w:color="003D2E"/>
              <w:right w:val="single" w:sz="4" w:space="0" w:color="003D2E"/>
            </w:tcBorders>
            <w:shd w:fill="003D2E" w:val="clear"/>
          </w:tcPr>
          <w:p>
            <w:pPr>
              <w:spacing w:before="40" w:after="40"/>
              <w:jc w:val="left"/>
            </w:pPr>
            <w:r/>
            <w:r>
              <w:rPr>
                <w:rFonts w:ascii="Times New Roman" w:hAnsi="Times New Roman" w:eastAsia="Times New Roman"/>
                <w:b/>
                <w:i w:val="0"/>
                <w:color w:val="FFFFFF"/>
                <w:sz w:val="20"/>
              </w:rPr>
              <w:t>Plan</w:t>
            </w:r>
          </w:p>
        </w:tc>
        <w:tc>
          <w:tcPr>
            <w:tcW w:type="dxa" w:w="3137"/>
            <w:tcBorders>
              <w:top w:val="single" w:sz="4" w:space="0" w:color="003D2E"/>
              <w:left w:val="single" w:sz="4" w:space="0" w:color="003D2E"/>
              <w:bottom w:val="single" w:sz="4" w:space="0" w:color="003D2E"/>
              <w:right w:val="single" w:sz="4" w:space="0" w:color="003D2E"/>
            </w:tcBorders>
            <w:shd w:fill="003D2E" w:val="clear"/>
          </w:tcPr>
          <w:p>
            <w:pPr>
              <w:spacing w:before="40" w:after="40"/>
              <w:jc w:val="left"/>
            </w:pPr>
            <w:r/>
            <w:r>
              <w:rPr>
                <w:rFonts w:ascii="Times New Roman" w:hAnsi="Times New Roman" w:eastAsia="Times New Roman"/>
                <w:b/>
                <w:i w:val="0"/>
                <w:color w:val="FFFFFF"/>
                <w:sz w:val="20"/>
              </w:rPr>
              <w:t>Monthly</w:t>
            </w:r>
          </w:p>
        </w:tc>
        <w:tc>
          <w:tcPr>
            <w:tcW w:type="dxa" w:w="3137"/>
            <w:tcBorders>
              <w:top w:val="single" w:sz="4" w:space="0" w:color="003D2E"/>
              <w:left w:val="single" w:sz="4" w:space="0" w:color="003D2E"/>
              <w:bottom w:val="single" w:sz="4" w:space="0" w:color="003D2E"/>
              <w:right w:val="single" w:sz="4" w:space="0" w:color="003D2E"/>
            </w:tcBorders>
            <w:shd w:fill="003D2E" w:val="clear"/>
          </w:tcPr>
          <w:p>
            <w:pPr>
              <w:spacing w:before="40" w:after="40"/>
              <w:jc w:val="left"/>
            </w:pPr>
            <w:r/>
            <w:r>
              <w:rPr>
                <w:rFonts w:ascii="Times New Roman" w:hAnsi="Times New Roman" w:eastAsia="Times New Roman"/>
                <w:b/>
                <w:i w:val="0"/>
                <w:color w:val="FFFFFF"/>
                <w:sz w:val="20"/>
              </w:rPr>
              <w:t>Annual</w:t>
            </w:r>
          </w:p>
        </w:tc>
      </w:tr>
      <w:tr>
        <w:tc>
          <w:tcPr>
            <w:tcW w:type="dxa" w:w="3137"/>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Starter</w:t>
            </w:r>
          </w:p>
        </w:tc>
        <w:tc>
          <w:tcPr>
            <w:tcW w:type="dxa" w:w="3137"/>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GHS 0 (no share until they pay)</w:t>
            </w:r>
          </w:p>
        </w:tc>
        <w:tc>
          <w:tcPr>
            <w:tcW w:type="dxa" w:w="3137"/>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GHS 0</w:t>
            </w:r>
          </w:p>
        </w:tc>
      </w:tr>
      <w:tr>
        <w:tc>
          <w:tcPr>
            <w:tcW w:type="dxa" w:w="3137"/>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Growth</w:t>
            </w:r>
          </w:p>
        </w:tc>
        <w:tc>
          <w:tcPr>
            <w:tcW w:type="dxa" w:w="3137"/>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GHS 249</w:t>
            </w:r>
          </w:p>
        </w:tc>
        <w:tc>
          <w:tcPr>
            <w:tcW w:type="dxa" w:w="3137"/>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GHS 2,490</w:t>
            </w:r>
          </w:p>
        </w:tc>
      </w:tr>
      <w:tr>
        <w:tc>
          <w:tcPr>
            <w:tcW w:type="dxa" w:w="3137"/>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Pro</w:t>
            </w:r>
          </w:p>
        </w:tc>
        <w:tc>
          <w:tcPr>
            <w:tcW w:type="dxa" w:w="3137"/>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GHS 349</w:t>
            </w:r>
          </w:p>
        </w:tc>
        <w:tc>
          <w:tcPr>
            <w:tcW w:type="dxa" w:w="3137"/>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GHS 3,490</w:t>
            </w:r>
          </w:p>
        </w:tc>
      </w:tr>
      <w:tr>
        <w:tc>
          <w:tcPr>
            <w:tcW w:type="dxa" w:w="3137"/>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Extra branch add-on</w:t>
            </w:r>
          </w:p>
        </w:tc>
        <w:tc>
          <w:tcPr>
            <w:tcW w:type="dxa" w:w="3137"/>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GHS 50 per extra branch per month</w:t>
            </w:r>
          </w:p>
        </w:tc>
        <w:tc>
          <w:tcPr>
            <w:tcW w:type="dxa" w:w="3137"/>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as billed</w:t>
            </w:r>
          </w:p>
        </w:tc>
      </w:tr>
    </w:tbl>
    <w:p/>
    <w:p>
      <w:pPr>
        <w:keepNext/>
        <w:spacing w:before="320" w:after="160"/>
        <w:jc w:val="left"/>
        <w:pBdr>
          <w:bottom w:val="single" w:sz="6" w:space="1" w:color="003D2E"/>
        </w:pBdr>
      </w:pPr>
      <w:r>
        <w:rPr>
          <w:rFonts w:ascii="Times New Roman" w:hAnsi="Times New Roman" w:eastAsia="Times New Roman"/>
          <w:b/>
          <w:i w:val="0"/>
          <w:color w:val="003D2E"/>
          <w:sz w:val="26"/>
        </w:rPr>
        <w:t>6. ATTRIBUTION OF SHOPS</w:t>
      </w:r>
    </w:p>
    <w:p>
      <w:pPr>
        <w:spacing w:after="160" w:before="0" w:line="240" w:lineRule="auto"/>
        <w:jc w:val="both"/>
      </w:pPr>
      <w:r>
        <w:rPr>
          <w:rFonts w:ascii="Times New Roman" w:hAnsi="Times New Roman" w:eastAsia="Times New Roman"/>
          <w:b w:val="0"/>
          <w:i w:val="0"/>
          <w:color w:val="1A1A1A"/>
          <w:sz w:val="24"/>
        </w:rPr>
        <w:t>6.1 A shop is a Referred Shop only if the Company records it as such within 30 days of first paid conversion (or of signup, if the Parties confirm in writing earlier).</w:t>
      </w:r>
    </w:p>
    <w:p>
      <w:pPr>
        <w:spacing w:after="160" w:before="0" w:line="240" w:lineRule="auto"/>
        <w:jc w:val="both"/>
      </w:pPr>
      <w:r>
        <w:rPr>
          <w:rFonts w:ascii="Times New Roman" w:hAnsi="Times New Roman" w:eastAsia="Times New Roman"/>
          <w:b w:val="0"/>
          <w:i w:val="0"/>
          <w:color w:val="1A1A1A"/>
          <w:sz w:val="24"/>
        </w:rPr>
        <w:t>6.2 If two people claim the same shop, the Company’s written records control. The Company will not double-pay.</w:t>
      </w:r>
    </w:p>
    <w:p>
      <w:pPr>
        <w:spacing w:after="160" w:before="0" w:line="240" w:lineRule="auto"/>
        <w:jc w:val="both"/>
      </w:pPr>
      <w:r>
        <w:rPr>
          <w:rFonts w:ascii="Times New Roman" w:hAnsi="Times New Roman" w:eastAsia="Times New Roman"/>
          <w:b w:val="0"/>
          <w:i w:val="0"/>
          <w:color w:val="1A1A1A"/>
          <w:sz w:val="24"/>
        </w:rPr>
        <w:t>6.3 Once recorded, attribution is for the Life of the Shop, subject to Clause 5.5.</w:t>
      </w:r>
    </w:p>
    <w:p>
      <w:pPr>
        <w:keepNext/>
        <w:spacing w:before="320" w:after="160"/>
        <w:jc w:val="left"/>
        <w:pBdr>
          <w:bottom w:val="single" w:sz="6" w:space="1" w:color="003D2E"/>
        </w:pBdr>
      </w:pPr>
      <w:r>
        <w:rPr>
          <w:rFonts w:ascii="Times New Roman" w:hAnsi="Times New Roman" w:eastAsia="Times New Roman"/>
          <w:b/>
          <w:i w:val="0"/>
          <w:color w:val="003D2E"/>
          <w:sz w:val="26"/>
        </w:rPr>
        <w:t>7. PARTNER DUTIES</w:t>
      </w:r>
    </w:p>
    <w:p>
      <w:pPr>
        <w:spacing w:after="160" w:before="0" w:line="240" w:lineRule="auto"/>
        <w:jc w:val="both"/>
      </w:pPr>
      <w:r>
        <w:rPr>
          <w:rFonts w:ascii="Times New Roman" w:hAnsi="Times New Roman" w:eastAsia="Times New Roman"/>
          <w:b w:val="0"/>
          <w:i w:val="0"/>
          <w:color w:val="1A1A1A"/>
          <w:sz w:val="24"/>
        </w:rPr>
        <w:t>Mr. John Paul Kpantey shall:</w:t>
      </w:r>
    </w:p>
    <w:p>
      <w:pPr>
        <w:pStyle w:val="ListBullet"/>
        <w:spacing w:after="60"/>
        <w:ind w:left="709"/>
      </w:pPr>
      <w:r>
        <w:rPr>
          <w:rFonts w:ascii="Times New Roman" w:hAnsi="Times New Roman" w:eastAsia="Times New Roman"/>
          <w:b w:val="0"/>
          <w:i w:val="0"/>
          <w:color w:val="1A1A1A"/>
          <w:sz w:val="24"/>
        </w:rPr>
        <w:t>introduce genuine shops and not invent or recycle accounts;</w:t>
      </w:r>
    </w:p>
    <w:p>
      <w:pPr>
        <w:pStyle w:val="ListBullet"/>
        <w:spacing w:after="60"/>
        <w:ind w:left="709"/>
      </w:pPr>
      <w:r>
        <w:rPr>
          <w:rFonts w:ascii="Times New Roman" w:hAnsi="Times New Roman" w:eastAsia="Times New Roman"/>
          <w:b w:val="0"/>
          <w:i w:val="0"/>
          <w:color w:val="1A1A1A"/>
          <w:sz w:val="24"/>
        </w:rPr>
        <w:t>describe VentraPOS accurately and not mislead on price, features, or uptime;</w:t>
      </w:r>
    </w:p>
    <w:p>
      <w:pPr>
        <w:pStyle w:val="ListBullet"/>
        <w:spacing w:after="60"/>
        <w:ind w:left="709"/>
      </w:pPr>
      <w:r>
        <w:rPr>
          <w:rFonts w:ascii="Times New Roman" w:hAnsi="Times New Roman" w:eastAsia="Times New Roman"/>
          <w:b w:val="0"/>
          <w:i w:val="0"/>
          <w:color w:val="1A1A1A"/>
          <w:sz w:val="24"/>
        </w:rPr>
        <w:t>assist introduction and first contact as reasonably requested;</w:t>
      </w:r>
    </w:p>
    <w:p>
      <w:pPr>
        <w:pStyle w:val="ListBullet"/>
        <w:spacing w:after="60"/>
        <w:ind w:left="709"/>
      </w:pPr>
      <w:r>
        <w:rPr>
          <w:rFonts w:ascii="Times New Roman" w:hAnsi="Times New Roman" w:eastAsia="Times New Roman"/>
          <w:b w:val="0"/>
          <w:i w:val="0"/>
          <w:color w:val="1A1A1A"/>
          <w:sz w:val="24"/>
        </w:rPr>
        <w:t>not collect or store shop passwords, POS data, or customer personal data beyond what is needed to introduce the shop;</w:t>
      </w:r>
    </w:p>
    <w:p>
      <w:pPr>
        <w:pStyle w:val="ListBullet"/>
        <w:spacing w:after="60"/>
        <w:ind w:left="709"/>
      </w:pPr>
      <w:r>
        <w:rPr>
          <w:rFonts w:ascii="Times New Roman" w:hAnsi="Times New Roman" w:eastAsia="Times New Roman"/>
          <w:b w:val="0"/>
          <w:i w:val="0"/>
          <w:color w:val="1A1A1A"/>
          <w:sz w:val="24"/>
        </w:rPr>
        <w:t>not offer unauthorised discounts, free months, or side deals;</w:t>
      </w:r>
    </w:p>
    <w:p>
      <w:pPr>
        <w:pStyle w:val="ListBullet"/>
        <w:spacing w:after="60"/>
        <w:ind w:left="709"/>
      </w:pPr>
      <w:r>
        <w:rPr>
          <w:rFonts w:ascii="Times New Roman" w:hAnsi="Times New Roman" w:eastAsia="Times New Roman"/>
          <w:b w:val="0"/>
          <w:i w:val="0"/>
          <w:color w:val="1A1A1A"/>
          <w:sz w:val="24"/>
        </w:rPr>
        <w:t>not promise software updates, custom builds, or maintenance on behalf of the Company;</w:t>
      </w:r>
    </w:p>
    <w:p>
      <w:pPr>
        <w:pStyle w:val="ListBullet"/>
        <w:spacing w:after="60"/>
        <w:ind w:left="709"/>
      </w:pPr>
      <w:r>
        <w:rPr>
          <w:rFonts w:ascii="Times New Roman" w:hAnsi="Times New Roman" w:eastAsia="Times New Roman"/>
          <w:b w:val="0"/>
          <w:i w:val="0"/>
          <w:color w:val="1A1A1A"/>
          <w:sz w:val="24"/>
        </w:rPr>
        <w:t>comply with Ghanaian law, anti-bribery rules, and data-protection duties; and</w:t>
      </w:r>
    </w:p>
    <w:p>
      <w:pPr>
        <w:pStyle w:val="ListBullet"/>
        <w:spacing w:after="60"/>
        <w:ind w:left="709"/>
      </w:pPr>
      <w:r>
        <w:rPr>
          <w:rFonts w:ascii="Times New Roman" w:hAnsi="Times New Roman" w:eastAsia="Times New Roman"/>
          <w:b w:val="0"/>
          <w:i w:val="0"/>
          <w:color w:val="1A1A1A"/>
          <w:sz w:val="24"/>
        </w:rPr>
        <w:t>not use the VentraPOS or ZeoFex name in a way that suggests the Partner owns the Company.</w:t>
      </w:r>
    </w:p>
    <w:p>
      <w:pPr>
        <w:keepNext/>
        <w:spacing w:before="320" w:after="160"/>
        <w:jc w:val="left"/>
        <w:pBdr>
          <w:bottom w:val="single" w:sz="6" w:space="1" w:color="003D2E"/>
        </w:pBdr>
      </w:pPr>
      <w:r>
        <w:rPr>
          <w:rFonts w:ascii="Times New Roman" w:hAnsi="Times New Roman" w:eastAsia="Times New Roman"/>
          <w:b/>
          <w:i w:val="0"/>
          <w:color w:val="003D2E"/>
          <w:sz w:val="26"/>
        </w:rPr>
        <w:t>8. COMPANY DUTIES</w:t>
      </w:r>
    </w:p>
    <w:p>
      <w:pPr>
        <w:spacing w:after="160" w:before="0" w:line="240" w:lineRule="auto"/>
        <w:jc w:val="both"/>
      </w:pPr>
      <w:r>
        <w:rPr>
          <w:rFonts w:ascii="Times New Roman" w:hAnsi="Times New Roman" w:eastAsia="Times New Roman"/>
          <w:b w:val="0"/>
          <w:i w:val="0"/>
          <w:color w:val="1A1A1A"/>
          <w:sz w:val="24"/>
        </w:rPr>
        <w:t>ZeoFex Technology shall:</w:t>
      </w:r>
    </w:p>
    <w:p>
      <w:pPr>
        <w:pStyle w:val="ListBullet"/>
        <w:spacing w:after="60"/>
        <w:ind w:left="709"/>
      </w:pPr>
      <w:r>
        <w:rPr>
          <w:rFonts w:ascii="Times New Roman" w:hAnsi="Times New Roman" w:eastAsia="Times New Roman"/>
          <w:b w:val="0"/>
          <w:i w:val="0"/>
          <w:color w:val="1A1A1A"/>
          <w:sz w:val="24"/>
        </w:rPr>
        <w:t>provide, update, and maintain the Platform;</w:t>
      </w:r>
    </w:p>
    <w:p>
      <w:pPr>
        <w:pStyle w:val="ListBullet"/>
        <w:spacing w:after="60"/>
        <w:ind w:left="709"/>
      </w:pPr>
      <w:r>
        <w:rPr>
          <w:rFonts w:ascii="Times New Roman" w:hAnsi="Times New Roman" w:eastAsia="Times New Roman"/>
          <w:b w:val="0"/>
          <w:i w:val="0"/>
          <w:color w:val="1A1A1A"/>
          <w:sz w:val="24"/>
        </w:rPr>
        <w:t>bill shops and provide standard merchant support;</w:t>
      </w:r>
    </w:p>
    <w:p>
      <w:pPr>
        <w:pStyle w:val="ListBullet"/>
        <w:spacing w:after="60"/>
        <w:ind w:left="709"/>
      </w:pPr>
      <w:r>
        <w:rPr>
          <w:rFonts w:ascii="Times New Roman" w:hAnsi="Times New Roman" w:eastAsia="Times New Roman"/>
          <w:b w:val="0"/>
          <w:i w:val="0"/>
          <w:color w:val="1A1A1A"/>
          <w:sz w:val="24"/>
        </w:rPr>
        <w:t>keep a Partner Attribution Register;</w:t>
      </w:r>
    </w:p>
    <w:p>
      <w:pPr>
        <w:pStyle w:val="ListBullet"/>
        <w:spacing w:after="60"/>
        <w:ind w:left="709"/>
      </w:pPr>
      <w:r>
        <w:rPr>
          <w:rFonts w:ascii="Times New Roman" w:hAnsi="Times New Roman" w:eastAsia="Times New Roman"/>
          <w:b w:val="0"/>
          <w:i w:val="0"/>
          <w:color w:val="1A1A1A"/>
          <w:sz w:val="24"/>
        </w:rPr>
        <w:t>issue a monthly settlement statement per Referred Shop, showing Gross Collected Revenue, each deduction (including Maintenance Fee), Net Distributable Revenue, and Partner Share;</w:t>
      </w:r>
    </w:p>
    <w:p>
      <w:pPr>
        <w:pStyle w:val="ListBullet"/>
        <w:spacing w:after="60"/>
        <w:ind w:left="709"/>
      </w:pPr>
      <w:r>
        <w:rPr>
          <w:rFonts w:ascii="Times New Roman" w:hAnsi="Times New Roman" w:eastAsia="Times New Roman"/>
          <w:b w:val="0"/>
          <w:i w:val="0"/>
          <w:color w:val="1A1A1A"/>
          <w:sz w:val="24"/>
        </w:rPr>
        <w:t>pay the Partner Share in accordance with Clause 10; and</w:t>
      </w:r>
    </w:p>
    <w:p>
      <w:pPr>
        <w:pStyle w:val="ListBullet"/>
        <w:spacing w:after="60"/>
        <w:ind w:left="709"/>
      </w:pPr>
      <w:r>
        <w:rPr>
          <w:rFonts w:ascii="Times New Roman" w:hAnsi="Times New Roman" w:eastAsia="Times New Roman"/>
          <w:b w:val="0"/>
          <w:i w:val="0"/>
          <w:color w:val="1A1A1A"/>
          <w:sz w:val="24"/>
        </w:rPr>
        <w:t>remain the contracting party with each shop.</w:t>
      </w:r>
    </w:p>
    <w:p>
      <w:pPr>
        <w:keepNext/>
        <w:spacing w:before="320" w:after="160"/>
        <w:jc w:val="left"/>
        <w:pBdr>
          <w:bottom w:val="single" w:sz="6" w:space="1" w:color="003D2E"/>
        </w:pBdr>
      </w:pPr>
      <w:r>
        <w:rPr>
          <w:rFonts w:ascii="Times New Roman" w:hAnsi="Times New Roman" w:eastAsia="Times New Roman"/>
          <w:b/>
          <w:i w:val="0"/>
          <w:color w:val="003D2E"/>
          <w:sz w:val="26"/>
        </w:rPr>
        <w:t>9. DEDUCTIONS (RESOURCES AND MAINTENANCE THE COMPANY PAYS)</w:t>
      </w:r>
    </w:p>
    <w:p>
      <w:pPr>
        <w:spacing w:after="160" w:before="0" w:line="240" w:lineRule="auto"/>
        <w:jc w:val="both"/>
      </w:pPr>
      <w:r>
        <w:rPr>
          <w:rFonts w:ascii="Times New Roman" w:hAnsi="Times New Roman" w:eastAsia="Times New Roman"/>
          <w:b w:val="0"/>
          <w:i/>
          <w:color w:val="1A1A1A"/>
          <w:sz w:val="24"/>
        </w:rPr>
        <w:t>The 50% is calculated after deductions, not on the headline plan price.</w:t>
      </w:r>
    </w:p>
    <w:p>
      <w:pPr>
        <w:spacing w:after="160" w:before="0" w:line="240" w:lineRule="auto"/>
        <w:jc w:val="both"/>
      </w:pPr>
      <w:r>
        <w:rPr>
          <w:rFonts w:ascii="Times New Roman" w:hAnsi="Times New Roman" w:eastAsia="Times New Roman"/>
          <w:b w:val="0"/>
          <w:i w:val="0"/>
          <w:color w:val="1A1A1A"/>
          <w:sz w:val="24"/>
        </w:rPr>
        <w:t>Before the 50/50 split, the Company shall deduct from that shop’s Gross Collected Revenue the items below. Deductions are shop-specific where they can be traced, and otherwise allocated on a fair per-shop basis for that Settlement Period.</w:t>
      </w:r>
    </w:p>
    <w:p>
      <w:pPr>
        <w:spacing w:before="200" w:after="120"/>
      </w:pPr>
      <w:r>
        <w:rPr>
          <w:rFonts w:ascii="Times New Roman" w:hAnsi="Times New Roman" w:eastAsia="Times New Roman"/>
          <w:b/>
          <w:i w:val="0"/>
          <w:color w:val="003D2E"/>
          <w:sz w:val="24"/>
        </w:rPr>
        <w:t>9.1 Refunds and failed money</w:t>
      </w:r>
    </w:p>
    <w:p>
      <w:pPr>
        <w:pStyle w:val="ListBullet"/>
        <w:spacing w:after="60"/>
        <w:ind w:left="709"/>
      </w:pPr>
      <w:r>
        <w:rPr>
          <w:rFonts w:ascii="Times New Roman" w:hAnsi="Times New Roman" w:eastAsia="Times New Roman"/>
          <w:b w:val="0"/>
          <w:i w:val="0"/>
          <w:color w:val="1A1A1A"/>
          <w:sz w:val="24"/>
        </w:rPr>
        <w:t>full or partial refunds to the shop;</w:t>
      </w:r>
    </w:p>
    <w:p>
      <w:pPr>
        <w:pStyle w:val="ListBullet"/>
        <w:spacing w:after="60"/>
        <w:ind w:left="709"/>
      </w:pPr>
      <w:r>
        <w:rPr>
          <w:rFonts w:ascii="Times New Roman" w:hAnsi="Times New Roman" w:eastAsia="Times New Roman"/>
          <w:b w:val="0"/>
          <w:i w:val="0"/>
          <w:color w:val="1A1A1A"/>
          <w:sz w:val="24"/>
        </w:rPr>
        <w:t>Paystack or bank chargebacks and reversal fees; and</w:t>
      </w:r>
    </w:p>
    <w:p>
      <w:pPr>
        <w:pStyle w:val="ListBullet"/>
        <w:spacing w:after="60"/>
        <w:ind w:left="709"/>
      </w:pPr>
      <w:r>
        <w:rPr>
          <w:rFonts w:ascii="Times New Roman" w:hAnsi="Times New Roman" w:eastAsia="Times New Roman"/>
          <w:b w:val="0"/>
          <w:i w:val="0"/>
          <w:color w:val="1A1A1A"/>
          <w:sz w:val="24"/>
        </w:rPr>
        <w:t>amounts invoiced but not actually received.</w:t>
      </w:r>
    </w:p>
    <w:p>
      <w:pPr>
        <w:spacing w:before="200" w:after="120"/>
      </w:pPr>
      <w:r>
        <w:rPr>
          <w:rFonts w:ascii="Times New Roman" w:hAnsi="Times New Roman" w:eastAsia="Times New Roman"/>
          <w:b/>
          <w:i w:val="0"/>
          <w:color w:val="003D2E"/>
          <w:sz w:val="24"/>
        </w:rPr>
        <w:t>9.2 Payment processing</w:t>
      </w:r>
    </w:p>
    <w:p>
      <w:pPr>
        <w:spacing w:after="160" w:before="0" w:line="240" w:lineRule="auto"/>
        <w:jc w:val="both"/>
      </w:pPr>
      <w:r>
        <w:rPr>
          <w:rFonts w:ascii="Times New Roman" w:hAnsi="Times New Roman" w:eastAsia="Times New Roman"/>
          <w:b w:val="0"/>
          <w:i w:val="0"/>
          <w:color w:val="1A1A1A"/>
          <w:sz w:val="24"/>
        </w:rPr>
        <w:t>Paystack (or successor processor) fees on that shop’s payments, including card, mobile money, and related processor charges actually incurred.</w:t>
      </w:r>
    </w:p>
    <w:p>
      <w:pPr>
        <w:spacing w:before="200" w:after="120"/>
      </w:pPr>
      <w:r>
        <w:rPr>
          <w:rFonts w:ascii="Times New Roman" w:hAnsi="Times New Roman" w:eastAsia="Times New Roman"/>
          <w:b/>
          <w:i w:val="0"/>
          <w:color w:val="003D2E"/>
          <w:sz w:val="24"/>
        </w:rPr>
        <w:t>9.3 Platform resource costs (Schedule A)</w:t>
      </w:r>
    </w:p>
    <w:p>
      <w:pPr>
        <w:spacing w:after="160" w:before="0" w:line="240" w:lineRule="auto"/>
        <w:jc w:val="both"/>
      </w:pPr>
      <w:r>
        <w:rPr>
          <w:rFonts w:ascii="Times New Roman" w:hAnsi="Times New Roman" w:eastAsia="Times New Roman"/>
          <w:b w:val="0"/>
          <w:i w:val="0"/>
          <w:color w:val="1A1A1A"/>
          <w:sz w:val="24"/>
        </w:rPr>
        <w:t>Allocated or actual costs of running that shop on VentraPOS, including:</w:t>
      </w:r>
    </w:p>
    <w:tbl>
      <w:tblPr>
        <w:tblW w:type="auto" w:w="0"/>
        <w:jc w:val="center"/>
        <w:tblLayout w:type="autofit"/>
        <w:tblLook w:firstColumn="1" w:firstRow="1" w:lastColumn="0" w:lastRow="0" w:noHBand="0" w:noVBand="1" w:val="04A0"/>
      </w:tblPr>
      <w:tblGrid>
        <w:gridCol w:w="4706"/>
        <w:gridCol w:w="4706"/>
      </w:tblGrid>
      <w:tr>
        <w:tc>
          <w:tcPr>
            <w:tcW w:type="dxa" w:w="4706"/>
            <w:tcBorders>
              <w:top w:val="single" w:sz="4" w:space="0" w:color="003D2E"/>
              <w:left w:val="single" w:sz="4" w:space="0" w:color="003D2E"/>
              <w:bottom w:val="single" w:sz="4" w:space="0" w:color="003D2E"/>
              <w:right w:val="single" w:sz="4" w:space="0" w:color="003D2E"/>
            </w:tcBorders>
            <w:shd w:fill="003D2E" w:val="clear"/>
          </w:tcPr>
          <w:p>
            <w:pPr>
              <w:spacing w:before="40" w:after="40"/>
              <w:jc w:val="left"/>
            </w:pPr>
            <w:r/>
            <w:r>
              <w:rPr>
                <w:rFonts w:ascii="Times New Roman" w:hAnsi="Times New Roman" w:eastAsia="Times New Roman"/>
                <w:b/>
                <w:i w:val="0"/>
                <w:color w:val="FFFFFF"/>
                <w:sz w:val="20"/>
              </w:rPr>
              <w:t>Resource</w:t>
            </w:r>
          </w:p>
        </w:tc>
        <w:tc>
          <w:tcPr>
            <w:tcW w:type="dxa" w:w="4706"/>
            <w:tcBorders>
              <w:top w:val="single" w:sz="4" w:space="0" w:color="003D2E"/>
              <w:left w:val="single" w:sz="4" w:space="0" w:color="003D2E"/>
              <w:bottom w:val="single" w:sz="4" w:space="0" w:color="003D2E"/>
              <w:right w:val="single" w:sz="4" w:space="0" w:color="003D2E"/>
            </w:tcBorders>
            <w:shd w:fill="003D2E" w:val="clear"/>
          </w:tcPr>
          <w:p>
            <w:pPr>
              <w:spacing w:before="40" w:after="40"/>
              <w:jc w:val="left"/>
            </w:pPr>
            <w:r/>
            <w:r>
              <w:rPr>
                <w:rFonts w:ascii="Times New Roman" w:hAnsi="Times New Roman" w:eastAsia="Times New Roman"/>
                <w:b/>
                <w:i w:val="0"/>
                <w:color w:val="FFFFFF"/>
                <w:sz w:val="20"/>
              </w:rPr>
              <w:t>What it covers</w:t>
            </w:r>
          </w:p>
        </w:tc>
      </w:tr>
      <w:tr>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Maintenance Fee</w:t>
            </w:r>
          </w:p>
        </w:tc>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Software updates, upgrades, patches, security fixes, version releases, and routine technical upkeep performed only by the Company</w:t>
            </w:r>
          </w:p>
        </w:tc>
      </w:tr>
      <w:tr>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Cloud hosting &amp; compute</w:t>
            </w:r>
          </w:p>
        </w:tc>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Application hosting, bandwidth, serverless execution</w:t>
            </w:r>
          </w:p>
        </w:tc>
      </w:tr>
      <w:tr>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Database</w:t>
            </w:r>
          </w:p>
        </w:tc>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PostgreSQL hosting, storage, backups</w:t>
            </w:r>
          </w:p>
        </w:tc>
      </w:tr>
      <w:tr>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Cache &amp; background jobs</w:t>
            </w:r>
          </w:p>
        </w:tc>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Redis, queues, scheduled billing jobs</w:t>
            </w:r>
          </w:p>
        </w:tc>
      </w:tr>
      <w:tr>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Transactional email</w:t>
            </w:r>
          </w:p>
        </w:tc>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Receipt, OTP, billing, and support emails</w:t>
            </w:r>
          </w:p>
        </w:tc>
      </w:tr>
      <w:tr>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SMS</w:t>
            </w:r>
          </w:p>
        </w:tc>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OTP and operational SMS</w:t>
            </w:r>
          </w:p>
        </w:tc>
      </w:tr>
      <w:tr>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File &amp; media storage</w:t>
            </w:r>
          </w:p>
        </w:tc>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Logos, product images, uploads</w:t>
            </w:r>
          </w:p>
        </w:tc>
      </w:tr>
      <w:tr>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Domain, SSL, DNS</w:t>
            </w:r>
          </w:p>
        </w:tc>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ventrapos.com and related domains</w:t>
            </w:r>
          </w:p>
        </w:tc>
      </w:tr>
      <w:tr>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Monitoring &amp; error tracking</w:t>
            </w:r>
          </w:p>
        </w:tc>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Uptime and application monitoring</w:t>
            </w:r>
          </w:p>
        </w:tc>
      </w:tr>
      <w:tr>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Security &amp; backups</w:t>
            </w:r>
          </w:p>
        </w:tc>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Backups, restore, essential security tooling</w:t>
            </w:r>
          </w:p>
        </w:tc>
      </w:tr>
    </w:tbl>
    <w:p/>
    <w:p>
      <w:pPr>
        <w:spacing w:before="200" w:after="120"/>
      </w:pPr>
      <w:r>
        <w:rPr>
          <w:rFonts w:ascii="Times New Roman" w:hAnsi="Times New Roman" w:eastAsia="Times New Roman"/>
          <w:b/>
          <w:i w:val="0"/>
          <w:color w:val="003D2E"/>
          <w:sz w:val="24"/>
        </w:rPr>
        <w:t>9.4 Taxes and statutory amounts</w:t>
      </w:r>
    </w:p>
    <w:p>
      <w:pPr>
        <w:pStyle w:val="ListBullet"/>
        <w:spacing w:after="60"/>
        <w:ind w:left="709"/>
      </w:pPr>
      <w:r>
        <w:rPr>
          <w:rFonts w:ascii="Times New Roman" w:hAnsi="Times New Roman" w:eastAsia="Times New Roman"/>
          <w:b w:val="0"/>
          <w:i w:val="0"/>
          <w:color w:val="1A1A1A"/>
          <w:sz w:val="24"/>
        </w:rPr>
        <w:t>VAT or other tax collected that is not Company income;</w:t>
      </w:r>
    </w:p>
    <w:p>
      <w:pPr>
        <w:pStyle w:val="ListBullet"/>
        <w:spacing w:after="60"/>
        <w:ind w:left="709"/>
      </w:pPr>
      <w:r>
        <w:rPr>
          <w:rFonts w:ascii="Times New Roman" w:hAnsi="Times New Roman" w:eastAsia="Times New Roman"/>
          <w:b w:val="0"/>
          <w:i w:val="0"/>
          <w:color w:val="1A1A1A"/>
          <w:sz w:val="24"/>
        </w:rPr>
        <w:t>withholding tax the Company is legally required to deduct from the Partner Share; and</w:t>
      </w:r>
    </w:p>
    <w:p>
      <w:pPr>
        <w:pStyle w:val="ListBullet"/>
        <w:spacing w:after="60"/>
        <w:ind w:left="709"/>
      </w:pPr>
      <w:r>
        <w:rPr>
          <w:rFonts w:ascii="Times New Roman" w:hAnsi="Times New Roman" w:eastAsia="Times New Roman"/>
          <w:b w:val="0"/>
          <w:i w:val="0"/>
          <w:color w:val="1A1A1A"/>
          <w:sz w:val="24"/>
        </w:rPr>
        <w:t>GRA or other statutory charges attributable to that revenue.</w:t>
      </w:r>
    </w:p>
    <w:p>
      <w:pPr>
        <w:spacing w:before="200" w:after="120"/>
      </w:pPr>
      <w:r>
        <w:rPr>
          <w:rFonts w:ascii="Times New Roman" w:hAnsi="Times New Roman" w:eastAsia="Times New Roman"/>
          <w:b/>
          <w:i w:val="0"/>
          <w:color w:val="003D2E"/>
          <w:sz w:val="24"/>
        </w:rPr>
        <w:t>9.5 Discounts and credits</w:t>
      </w:r>
    </w:p>
    <w:p>
      <w:pPr>
        <w:pStyle w:val="ListBullet"/>
        <w:spacing w:after="60"/>
        <w:ind w:left="709"/>
      </w:pPr>
      <w:r>
        <w:rPr>
          <w:rFonts w:ascii="Times New Roman" w:hAnsi="Times New Roman" w:eastAsia="Times New Roman"/>
          <w:b w:val="0"/>
          <w:i w:val="0"/>
          <w:color w:val="1A1A1A"/>
          <w:sz w:val="24"/>
        </w:rPr>
        <w:t>trial periods (no Gross Collected Revenue = no Partner Share);</w:t>
      </w:r>
    </w:p>
    <w:p>
      <w:pPr>
        <w:pStyle w:val="ListBullet"/>
        <w:spacing w:after="60"/>
        <w:ind w:left="709"/>
      </w:pPr>
      <w:r>
        <w:rPr>
          <w:rFonts w:ascii="Times New Roman" w:hAnsi="Times New Roman" w:eastAsia="Times New Roman"/>
          <w:b w:val="0"/>
          <w:i w:val="0"/>
          <w:color w:val="1A1A1A"/>
          <w:sz w:val="24"/>
        </w:rPr>
        <w:t>approved promotional discounts; and</w:t>
      </w:r>
    </w:p>
    <w:p>
      <w:pPr>
        <w:pStyle w:val="ListBullet"/>
        <w:spacing w:after="60"/>
        <w:ind w:left="709"/>
      </w:pPr>
      <w:r>
        <w:rPr>
          <w:rFonts w:ascii="Times New Roman" w:hAnsi="Times New Roman" w:eastAsia="Times New Roman"/>
          <w:b w:val="0"/>
          <w:i w:val="0"/>
          <w:color w:val="1A1A1A"/>
          <w:sz w:val="24"/>
        </w:rPr>
        <w:t>referral or coupon credits applied to that shop.</w:t>
      </w:r>
    </w:p>
    <w:p>
      <w:pPr>
        <w:spacing w:before="200" w:after="120"/>
      </w:pPr>
      <w:r>
        <w:rPr>
          <w:rFonts w:ascii="Times New Roman" w:hAnsi="Times New Roman" w:eastAsia="Times New Roman"/>
          <w:b/>
          <w:i w:val="0"/>
          <w:color w:val="003D2E"/>
          <w:sz w:val="24"/>
        </w:rPr>
        <w:t>9.6 Rules on deductions</w:t>
      </w:r>
    </w:p>
    <w:p>
      <w:pPr>
        <w:pStyle w:val="ListBullet"/>
        <w:spacing w:after="60"/>
        <w:ind w:left="709"/>
      </w:pPr>
      <w:r>
        <w:rPr>
          <w:rFonts w:ascii="Times New Roman" w:hAnsi="Times New Roman" w:eastAsia="Times New Roman"/>
          <w:b w:val="0"/>
          <w:i w:val="0"/>
          <w:color w:val="1A1A1A"/>
          <w:sz w:val="24"/>
        </w:rPr>
        <w:t>Deductions must be real costs or the written allocation method in Schedule A, including the Maintenance Fee, not an arbitrary cut.</w:t>
      </w:r>
    </w:p>
    <w:p>
      <w:pPr>
        <w:pStyle w:val="ListBullet"/>
        <w:spacing w:after="60"/>
        <w:ind w:left="709"/>
      </w:pPr>
      <w:r>
        <w:rPr>
          <w:rFonts w:ascii="Times New Roman" w:hAnsi="Times New Roman" w:eastAsia="Times New Roman"/>
          <w:b w:val="0"/>
          <w:i w:val="0"/>
          <w:color w:val="1A1A1A"/>
          <w:sz w:val="24"/>
        </w:rPr>
        <w:t>The Company shall show the deductions, including the Maintenance Fee line, on the monthly statement.</w:t>
      </w:r>
    </w:p>
    <w:p>
      <w:pPr>
        <w:pStyle w:val="ListBullet"/>
        <w:spacing w:after="60"/>
        <w:ind w:left="709"/>
      </w:pPr>
      <w:r>
        <w:rPr>
          <w:rFonts w:ascii="Times New Roman" w:hAnsi="Times New Roman" w:eastAsia="Times New Roman"/>
          <w:b w:val="0"/>
          <w:i w:val="0"/>
          <w:color w:val="1A1A1A"/>
          <w:sz w:val="24"/>
        </w:rPr>
        <w:t>If a Resource Cost cannot fairly be tied to one shop, it is allocated equally across all active paying shops on the Platform for that month, then applied only to the Partner’s Referred Shops.</w:t>
      </w:r>
    </w:p>
    <w:p>
      <w:pPr>
        <w:pStyle w:val="ListBullet"/>
        <w:spacing w:after="60"/>
        <w:ind w:left="709"/>
      </w:pPr>
      <w:r>
        <w:rPr>
          <w:rFonts w:ascii="Times New Roman" w:hAnsi="Times New Roman" w:eastAsia="Times New Roman"/>
          <w:b w:val="0"/>
          <w:i w:val="0"/>
          <w:color w:val="1A1A1A"/>
          <w:sz w:val="24"/>
        </w:rPr>
        <w:t>Resource Costs for a shop (including Maintenance Fee) cannot exceed that shop’s Gross Collected Revenue in the same month. The Partner Share for that shop in that month would then be GHS 0, not a negative balance, unless a prior refund creates a true clawback under Clause 10.4.</w:t>
      </w:r>
    </w:p>
    <w:p>
      <w:pPr>
        <w:keepNext/>
        <w:spacing w:before="320" w:after="160"/>
        <w:jc w:val="left"/>
        <w:pBdr>
          <w:bottom w:val="single" w:sz="6" w:space="1" w:color="003D2E"/>
        </w:pBdr>
      </w:pPr>
      <w:r>
        <w:rPr>
          <w:rFonts w:ascii="Times New Roman" w:hAnsi="Times New Roman" w:eastAsia="Times New Roman"/>
          <w:b/>
          <w:i w:val="0"/>
          <w:color w:val="003D2E"/>
          <w:sz w:val="26"/>
        </w:rPr>
        <w:t>10. PAYMENT</w:t>
      </w:r>
    </w:p>
    <w:p>
      <w:pPr>
        <w:spacing w:after="160" w:before="0" w:line="240" w:lineRule="auto"/>
        <w:jc w:val="both"/>
      </w:pPr>
      <w:r>
        <w:rPr>
          <w:rFonts w:ascii="Times New Roman" w:hAnsi="Times New Roman" w:eastAsia="Times New Roman"/>
          <w:b w:val="0"/>
          <w:i w:val="0"/>
          <w:color w:val="1A1A1A"/>
          <w:sz w:val="24"/>
        </w:rPr>
        <w:t>10.1 Calculation (per Referred Shop, per month):</w:t>
      </w:r>
    </w:p>
    <w:p>
      <w:pPr>
        <w:spacing w:after="160" w:before="0" w:line="240" w:lineRule="auto"/>
        <w:jc w:val="center"/>
      </w:pPr>
      <w:r>
        <w:rPr>
          <w:rFonts w:ascii="Times New Roman" w:hAnsi="Times New Roman" w:eastAsia="Times New Roman"/>
          <w:b w:val="0"/>
          <w:i/>
          <w:color w:val="1A1A1A"/>
          <w:sz w:val="24"/>
        </w:rPr>
        <w:t>Partner Share = 50% × Net Distributable Revenue (after refunds, Paystack fees, Resource Costs, and Maintenance Fee).</w:t>
      </w:r>
    </w:p>
    <w:p>
      <w:pPr>
        <w:spacing w:after="160" w:before="0" w:line="240" w:lineRule="auto"/>
        <w:jc w:val="both"/>
      </w:pPr>
      <w:r>
        <w:rPr>
          <w:rFonts w:ascii="Times New Roman" w:hAnsi="Times New Roman" w:eastAsia="Times New Roman"/>
          <w:b w:val="0"/>
          <w:i w:val="0"/>
          <w:color w:val="1A1A1A"/>
          <w:sz w:val="24"/>
        </w:rPr>
        <w:t>10.2 The Company shall send a statement within 10 business days after month-end.</w:t>
      </w:r>
    </w:p>
    <w:p>
      <w:pPr>
        <w:spacing w:after="160" w:before="0" w:line="240" w:lineRule="auto"/>
        <w:jc w:val="both"/>
      </w:pPr>
      <w:r>
        <w:rPr>
          <w:rFonts w:ascii="Times New Roman" w:hAnsi="Times New Roman" w:eastAsia="Times New Roman"/>
          <w:b w:val="0"/>
          <w:i w:val="0"/>
          <w:color w:val="1A1A1A"/>
          <w:sz w:val="24"/>
        </w:rPr>
        <w:t>10.3 The Company shall pay the Partner Share within 15 business days after the statement, by mobile money or bank transfer to:</w:t>
      </w:r>
    </w:p>
    <w:p>
      <w:pPr>
        <w:spacing w:after="160" w:before="0" w:line="240" w:lineRule="auto"/>
        <w:jc w:val="left"/>
      </w:pPr>
      <w:r>
        <w:rPr>
          <w:rFonts w:ascii="Times New Roman" w:hAnsi="Times New Roman" w:eastAsia="Times New Roman"/>
          <w:b w:val="0"/>
          <w:i w:val="0"/>
          <w:color w:val="1A1A1A"/>
          <w:sz w:val="24"/>
        </w:rPr>
        <w:t>Account / MoMo name: Mr. John Paul Kpantey (or as he nominates in writing)</w:t>
      </w:r>
    </w:p>
    <w:p>
      <w:pPr>
        <w:spacing w:after="160" w:before="0" w:line="240" w:lineRule="auto"/>
        <w:jc w:val="left"/>
      </w:pPr>
      <w:r>
        <w:rPr>
          <w:rFonts w:ascii="Times New Roman" w:hAnsi="Times New Roman" w:eastAsia="Times New Roman"/>
          <w:b w:val="0"/>
          <w:i w:val="0"/>
          <w:color w:val="1A1A1A"/>
          <w:sz w:val="24"/>
        </w:rPr>
        <w:t>Number: ____________________</w:t>
      </w:r>
    </w:p>
    <w:p>
      <w:pPr>
        <w:spacing w:after="160" w:before="0" w:line="240" w:lineRule="auto"/>
        <w:jc w:val="left"/>
      </w:pPr>
      <w:r>
        <w:rPr>
          <w:rFonts w:ascii="Times New Roman" w:hAnsi="Times New Roman" w:eastAsia="Times New Roman"/>
          <w:b w:val="0"/>
          <w:i w:val="0"/>
          <w:color w:val="1A1A1A"/>
          <w:sz w:val="24"/>
        </w:rPr>
        <w:t>Bank: ____________________</w:t>
      </w:r>
    </w:p>
    <w:p>
      <w:pPr>
        <w:spacing w:after="160" w:before="0" w:line="240" w:lineRule="auto"/>
        <w:jc w:val="both"/>
      </w:pPr>
      <w:r>
        <w:rPr>
          <w:rFonts w:ascii="Times New Roman" w:hAnsi="Times New Roman" w:eastAsia="Times New Roman"/>
          <w:b w:val="0"/>
          <w:i w:val="0"/>
          <w:color w:val="1A1A1A"/>
          <w:sz w:val="24"/>
        </w:rPr>
        <w:t>10.4 If a later refund or chargeback relates to a period already paid, the Company may deduct it from the next Partner Share or invoice the Partner if none is due.</w:t>
      </w:r>
    </w:p>
    <w:p>
      <w:pPr>
        <w:spacing w:after="160" w:before="0" w:line="240" w:lineRule="auto"/>
        <w:jc w:val="both"/>
      </w:pPr>
      <w:r>
        <w:rPr>
          <w:rFonts w:ascii="Times New Roman" w:hAnsi="Times New Roman" w:eastAsia="Times New Roman"/>
          <w:b w:val="0"/>
          <w:i w:val="0"/>
          <w:color w:val="1A1A1A"/>
          <w:sz w:val="24"/>
        </w:rPr>
        <w:t>10.5 If the monthly Partner Share is under GHS 50, the Company may roll it to the next month until the unpaid total is at least GHS 50, or until this Agreement ends, when any remainder is paid. Lifetime shop shares that continue after termination are still paid on this timetable.</w:t>
      </w:r>
    </w:p>
    <w:p>
      <w:pPr>
        <w:spacing w:after="160" w:before="0" w:line="240" w:lineRule="auto"/>
        <w:jc w:val="both"/>
      </w:pPr>
      <w:r>
        <w:rPr>
          <w:rFonts w:ascii="Times New Roman" w:hAnsi="Times New Roman" w:eastAsia="Times New Roman"/>
          <w:b w:val="0"/>
          <w:i w:val="0"/>
          <w:color w:val="1A1A1A"/>
          <w:sz w:val="24"/>
        </w:rPr>
        <w:t>10.6 The Partner is responsible for his own income tax, GRA filings, and social security (if any). The Company may withhold tax if required by law and shall give evidence of withholding on request.</w:t>
      </w:r>
    </w:p>
    <w:p>
      <w:pPr>
        <w:keepNext/>
        <w:spacing w:before="320" w:after="160"/>
        <w:jc w:val="left"/>
        <w:pBdr>
          <w:bottom w:val="single" w:sz="6" w:space="1" w:color="003D2E"/>
        </w:pBdr>
      </w:pPr>
      <w:r>
        <w:rPr>
          <w:rFonts w:ascii="Times New Roman" w:hAnsi="Times New Roman" w:eastAsia="Times New Roman"/>
          <w:b/>
          <w:i w:val="0"/>
          <w:color w:val="003D2E"/>
          <w:sz w:val="26"/>
        </w:rPr>
        <w:t>11. WORKED EXAMPLE (ILLUSTRATIVE ONLY)</w:t>
      </w:r>
    </w:p>
    <w:p>
      <w:pPr>
        <w:spacing w:after="160" w:before="0" w:line="240" w:lineRule="auto"/>
        <w:jc w:val="both"/>
      </w:pPr>
      <w:r>
        <w:rPr>
          <w:rFonts w:ascii="Times New Roman" w:hAnsi="Times New Roman" w:eastAsia="Times New Roman"/>
          <w:b w:val="0"/>
          <w:i w:val="0"/>
          <w:color w:val="1A1A1A"/>
          <w:sz w:val="24"/>
        </w:rPr>
        <w:t>Assume one Referred Shop on Growth. The Company actually receives GHS 249.00.</w:t>
      </w:r>
    </w:p>
    <w:tbl>
      <w:tblPr>
        <w:tblW w:type="auto" w:w="0"/>
        <w:jc w:val="center"/>
        <w:tblLayout w:type="autofit"/>
        <w:tblLook w:firstColumn="1" w:firstRow="1" w:lastColumn="0" w:lastRow="0" w:noHBand="0" w:noVBand="1" w:val="04A0"/>
      </w:tblPr>
      <w:tblGrid>
        <w:gridCol w:w="4706"/>
        <w:gridCol w:w="4706"/>
      </w:tblGrid>
      <w:tr>
        <w:tc>
          <w:tcPr>
            <w:tcW w:type="dxa" w:w="4706"/>
            <w:tcBorders>
              <w:top w:val="single" w:sz="4" w:space="0" w:color="003D2E"/>
              <w:left w:val="single" w:sz="4" w:space="0" w:color="003D2E"/>
              <w:bottom w:val="single" w:sz="4" w:space="0" w:color="003D2E"/>
              <w:right w:val="single" w:sz="4" w:space="0" w:color="003D2E"/>
            </w:tcBorders>
            <w:shd w:fill="003D2E" w:val="clear"/>
          </w:tcPr>
          <w:p>
            <w:pPr>
              <w:spacing w:before="40" w:after="40"/>
              <w:jc w:val="left"/>
            </w:pPr>
            <w:r/>
            <w:r>
              <w:rPr>
                <w:rFonts w:ascii="Times New Roman" w:hAnsi="Times New Roman" w:eastAsia="Times New Roman"/>
                <w:b/>
                <w:i w:val="0"/>
                <w:color w:val="FFFFFF"/>
                <w:sz w:val="20"/>
              </w:rPr>
              <w:t>Item</w:t>
            </w:r>
          </w:p>
        </w:tc>
        <w:tc>
          <w:tcPr>
            <w:tcW w:type="dxa" w:w="4706"/>
            <w:tcBorders>
              <w:top w:val="single" w:sz="4" w:space="0" w:color="003D2E"/>
              <w:left w:val="single" w:sz="4" w:space="0" w:color="003D2E"/>
              <w:bottom w:val="single" w:sz="4" w:space="0" w:color="003D2E"/>
              <w:right w:val="single" w:sz="4" w:space="0" w:color="003D2E"/>
            </w:tcBorders>
            <w:shd w:fill="003D2E" w:val="clear"/>
          </w:tcPr>
          <w:p>
            <w:pPr>
              <w:spacing w:before="40" w:after="40"/>
              <w:jc w:val="left"/>
            </w:pPr>
            <w:r/>
            <w:r>
              <w:rPr>
                <w:rFonts w:ascii="Times New Roman" w:hAnsi="Times New Roman" w:eastAsia="Times New Roman"/>
                <w:b/>
                <w:i w:val="0"/>
                <w:color w:val="FFFFFF"/>
                <w:sz w:val="20"/>
              </w:rPr>
              <w:t>Amount (GHS)</w:t>
            </w:r>
          </w:p>
        </w:tc>
      </w:tr>
      <w:tr>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Gross Collected Revenue</w:t>
            </w:r>
          </w:p>
        </w:tc>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249.00</w:t>
            </w:r>
          </w:p>
        </w:tc>
      </w:tr>
      <w:tr>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Less Paystack fees (example 1.95%)</w:t>
            </w:r>
          </w:p>
        </w:tc>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(4.86)</w:t>
            </w:r>
          </w:p>
        </w:tc>
      </w:tr>
      <w:tr>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Less Maintenance Fee (Company updates &amp; upkeep)</w:t>
            </w:r>
          </w:p>
        </w:tc>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(15.00)</w:t>
            </w:r>
          </w:p>
        </w:tc>
      </w:tr>
      <w:tr>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Less allocated hosting, database, Redis</w:t>
            </w:r>
          </w:p>
        </w:tc>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(8.00)</w:t>
            </w:r>
          </w:p>
        </w:tc>
      </w:tr>
      <w:tr>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Less allocated email, SMS, file storage</w:t>
            </w:r>
          </w:p>
        </w:tc>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(4.50)</w:t>
            </w:r>
          </w:p>
        </w:tc>
      </w:tr>
      <w:tr>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Less allocated monitoring, backups, domain share</w:t>
            </w:r>
          </w:p>
        </w:tc>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(2.00)</w:t>
            </w:r>
          </w:p>
        </w:tc>
      </w:tr>
      <w:tr>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Net Distributable Revenue</w:t>
            </w:r>
          </w:p>
        </w:tc>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214.64</w:t>
            </w:r>
          </w:p>
        </w:tc>
      </w:tr>
      <w:tr>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Partner Share (50%) — Mr. John Paul Kpantey</w:t>
            </w:r>
          </w:p>
        </w:tc>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107.32</w:t>
            </w:r>
          </w:p>
        </w:tc>
      </w:tr>
      <w:tr>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Company Share (50%) — ZeoFex Technology</w:t>
            </w:r>
          </w:p>
        </w:tc>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107.32</w:t>
            </w:r>
          </w:p>
        </w:tc>
      </w:tr>
    </w:tbl>
    <w:p/>
    <w:p>
      <w:pPr>
        <w:spacing w:after="160" w:before="0" w:line="240" w:lineRule="auto"/>
        <w:jc w:val="both"/>
      </w:pPr>
      <w:r>
        <w:rPr>
          <w:rFonts w:ascii="Times New Roman" w:hAnsi="Times New Roman" w:eastAsia="Times New Roman"/>
          <w:b w:val="0"/>
          <w:i/>
          <w:color w:val="1A1A1A"/>
          <w:sz w:val="22"/>
        </w:rPr>
        <w:t>Figures in this example are illustrative. Live Paystack fees and Schedule A (including the agreed Maintenance Fee) control.</w:t>
      </w:r>
    </w:p>
    <w:p>
      <w:pPr>
        <w:spacing w:after="160" w:before="0" w:line="240" w:lineRule="auto"/>
        <w:jc w:val="both"/>
      </w:pPr>
      <w:r>
        <w:rPr>
          <w:rFonts w:ascii="Times New Roman" w:hAnsi="Times New Roman" w:eastAsia="Times New Roman"/>
          <w:b w:val="0"/>
          <w:i w:val="0"/>
          <w:color w:val="1A1A1A"/>
          <w:sz w:val="24"/>
        </w:rPr>
        <w:t>If the same shop is on Starter (GHS 0), Gross Collected Revenue is 0, so Partner Share is 0 until they pay. When they start paying, the lifetime 50% applies from that point. This 50% continues every month for the life of that shop, including after plan upgrades, as long as Clause 5.5 does not apply.</w:t>
      </w:r>
    </w:p>
    <w:p>
      <w:pPr>
        <w:keepNext/>
        <w:spacing w:before="320" w:after="160"/>
        <w:jc w:val="left"/>
        <w:pBdr>
          <w:bottom w:val="single" w:sz="6" w:space="1" w:color="003D2E"/>
        </w:pBdr>
      </w:pPr>
      <w:r>
        <w:rPr>
          <w:rFonts w:ascii="Times New Roman" w:hAnsi="Times New Roman" w:eastAsia="Times New Roman"/>
          <w:b/>
          <w:i w:val="0"/>
          <w:color w:val="003D2E"/>
          <w:sz w:val="26"/>
        </w:rPr>
        <w:t>12. INTELLECTUAL PROPERTY AND BRAND</w:t>
      </w:r>
    </w:p>
    <w:p>
      <w:pPr>
        <w:spacing w:after="160" w:before="0" w:line="240" w:lineRule="auto"/>
        <w:jc w:val="both"/>
      </w:pPr>
      <w:r>
        <w:rPr>
          <w:rFonts w:ascii="Times New Roman" w:hAnsi="Times New Roman" w:eastAsia="Times New Roman"/>
          <w:b w:val="0"/>
          <w:i w:val="0"/>
          <w:color w:val="1A1A1A"/>
          <w:sz w:val="24"/>
        </w:rPr>
        <w:t>12.1 ZeoFex Technology owns VentraPOS, all software, updates, upgrades, trademarks, shop-platform data rights as under the VentraPOS Terms, and all related intellectual property.</w:t>
      </w:r>
    </w:p>
    <w:p>
      <w:pPr>
        <w:spacing w:after="160" w:before="0" w:line="240" w:lineRule="auto"/>
        <w:jc w:val="both"/>
      </w:pPr>
      <w:r>
        <w:rPr>
          <w:rFonts w:ascii="Times New Roman" w:hAnsi="Times New Roman" w:eastAsia="Times New Roman"/>
          <w:b w:val="0"/>
          <w:i w:val="0"/>
          <w:color w:val="1A1A1A"/>
          <w:sz w:val="24"/>
        </w:rPr>
        <w:t>12.2 The Partner may use the VentraPOS name and approved sales materials only to originate shops, and must stop holding himself out as an active originator on termination, except as needed for an orderly handover. Lifetime payment on existing Referred Shops continues as in Clause 15.4.</w:t>
      </w:r>
    </w:p>
    <w:p>
      <w:pPr>
        <w:spacing w:after="160" w:before="0" w:line="240" w:lineRule="auto"/>
        <w:jc w:val="both"/>
      </w:pPr>
      <w:r>
        <w:rPr>
          <w:rFonts w:ascii="Times New Roman" w:hAnsi="Times New Roman" w:eastAsia="Times New Roman"/>
          <w:b w:val="0"/>
          <w:i w:val="0"/>
          <w:color w:val="1A1A1A"/>
          <w:sz w:val="24"/>
        </w:rPr>
        <w:t>12.3 Shop operational data belongs to the shop and/or the Company under the VentraPOS Terms of Service. The Partner has no licence to copy, sell, or reuse that data.</w:t>
      </w:r>
    </w:p>
    <w:p>
      <w:pPr>
        <w:keepNext/>
        <w:spacing w:before="320" w:after="160"/>
        <w:jc w:val="left"/>
        <w:pBdr>
          <w:bottom w:val="single" w:sz="6" w:space="1" w:color="003D2E"/>
        </w:pBdr>
      </w:pPr>
      <w:r>
        <w:rPr>
          <w:rFonts w:ascii="Times New Roman" w:hAnsi="Times New Roman" w:eastAsia="Times New Roman"/>
          <w:b/>
          <w:i w:val="0"/>
          <w:color w:val="003D2E"/>
          <w:sz w:val="26"/>
        </w:rPr>
        <w:t>13. CONFIDENTIALITY</w:t>
      </w:r>
    </w:p>
    <w:p>
      <w:pPr>
        <w:spacing w:after="160" w:before="0" w:line="240" w:lineRule="auto"/>
        <w:jc w:val="both"/>
      </w:pPr>
      <w:r>
        <w:rPr>
          <w:rFonts w:ascii="Times New Roman" w:hAnsi="Times New Roman" w:eastAsia="Times New Roman"/>
          <w:b w:val="0"/>
          <w:i w:val="0"/>
          <w:color w:val="1A1A1A"/>
          <w:sz w:val="24"/>
        </w:rPr>
        <w:t>Each Party shall keep confidential the other Party’s non-public business information, including shop lists, pricing not on the public site, deduction workings, Maintenance Fee workings, and this Agreement’s commercial terms, for 3 years after termination, except where disclosure is required by law.</w:t>
      </w:r>
    </w:p>
    <w:p>
      <w:pPr>
        <w:keepNext/>
        <w:spacing w:before="320" w:after="160"/>
        <w:jc w:val="left"/>
        <w:pBdr>
          <w:bottom w:val="single" w:sz="6" w:space="1" w:color="003D2E"/>
        </w:pBdr>
      </w:pPr>
      <w:r>
        <w:rPr>
          <w:rFonts w:ascii="Times New Roman" w:hAnsi="Times New Roman" w:eastAsia="Times New Roman"/>
          <w:b/>
          <w:i w:val="0"/>
          <w:color w:val="003D2E"/>
          <w:sz w:val="26"/>
        </w:rPr>
        <w:t>14. NON-SOLICIT</w:t>
      </w:r>
    </w:p>
    <w:p>
      <w:pPr>
        <w:spacing w:after="160" w:before="0" w:line="240" w:lineRule="auto"/>
        <w:jc w:val="both"/>
      </w:pPr>
      <w:r>
        <w:rPr>
          <w:rFonts w:ascii="Times New Roman" w:hAnsi="Times New Roman" w:eastAsia="Times New Roman"/>
          <w:b w:val="0"/>
          <w:i w:val="0"/>
          <w:color w:val="1A1A1A"/>
          <w:sz w:val="24"/>
        </w:rPr>
        <w:t>During this Agreement and for 12 months after it ends, the Partner shall not knowingly induce a Referred Shop to leave VentraPOS for a competing POS product that the Partner owns, represents, or is paid to sell, except with the Company’s written consent. A breach of this clause ends future Partner Share on the affected shop(s) and may end remaining lifetime shares under Clause 15.4.</w:t>
      </w:r>
    </w:p>
    <w:p>
      <w:pPr>
        <w:keepNext/>
        <w:spacing w:before="320" w:after="160"/>
        <w:jc w:val="left"/>
        <w:pBdr>
          <w:bottom w:val="single" w:sz="6" w:space="1" w:color="003D2E"/>
        </w:pBdr>
      </w:pPr>
      <w:r>
        <w:rPr>
          <w:rFonts w:ascii="Times New Roman" w:hAnsi="Times New Roman" w:eastAsia="Times New Roman"/>
          <w:b/>
          <w:i w:val="0"/>
          <w:color w:val="003D2E"/>
          <w:sz w:val="26"/>
        </w:rPr>
        <w:t>15. TERM AND TERMINATION</w:t>
      </w:r>
    </w:p>
    <w:p>
      <w:pPr>
        <w:spacing w:after="160" w:before="0" w:line="240" w:lineRule="auto"/>
        <w:jc w:val="both"/>
      </w:pPr>
      <w:r>
        <w:rPr>
          <w:rFonts w:ascii="Times New Roman" w:hAnsi="Times New Roman" w:eastAsia="Times New Roman"/>
          <w:b w:val="0"/>
          <w:i w:val="0"/>
          <w:color w:val="1A1A1A"/>
          <w:sz w:val="24"/>
        </w:rPr>
        <w:t>15.1 This Agreement starts on the Effective Date and continues until terminated.</w:t>
      </w:r>
    </w:p>
    <w:p>
      <w:pPr>
        <w:spacing w:after="160" w:before="0" w:line="240" w:lineRule="auto"/>
        <w:jc w:val="both"/>
      </w:pPr>
      <w:r>
        <w:rPr>
          <w:rFonts w:ascii="Times New Roman" w:hAnsi="Times New Roman" w:eastAsia="Times New Roman"/>
          <w:b w:val="0"/>
          <w:i w:val="0"/>
          <w:color w:val="1A1A1A"/>
          <w:sz w:val="24"/>
        </w:rPr>
        <w:t>15.2 Either Party may terminate the active origination relationship for convenience on 30 days’ written notice. Termination of origination does not by itself cancel lifetime Partner Share on shops already recorded as Referred Shops.</w:t>
      </w:r>
    </w:p>
    <w:p>
      <w:pPr>
        <w:spacing w:after="160" w:before="0" w:line="240" w:lineRule="auto"/>
        <w:jc w:val="both"/>
      </w:pPr>
      <w:r>
        <w:rPr>
          <w:rFonts w:ascii="Times New Roman" w:hAnsi="Times New Roman" w:eastAsia="Times New Roman"/>
          <w:b w:val="0"/>
          <w:i w:val="0"/>
          <w:color w:val="1A1A1A"/>
          <w:sz w:val="24"/>
        </w:rPr>
        <w:t>15.3 Either Party may terminate immediately if the other materially breaches and does not remedy within 14 days of written notice, or if the other becomes insolvent, or if the Partner commits fraud, bribery, or misuse of shop data.</w:t>
      </w:r>
    </w:p>
    <w:p>
      <w:pPr>
        <w:spacing w:after="160" w:before="0" w:line="240" w:lineRule="auto"/>
        <w:jc w:val="both"/>
      </w:pPr>
      <w:r>
        <w:rPr>
          <w:rFonts w:ascii="Times New Roman" w:hAnsi="Times New Roman" w:eastAsia="Times New Roman"/>
          <w:b w:val="0"/>
          <w:i w:val="0"/>
          <w:color w:val="1A1A1A"/>
          <w:sz w:val="24"/>
        </w:rPr>
        <w:t>15.4 On termination:</w:t>
      </w:r>
    </w:p>
    <w:p>
      <w:pPr>
        <w:pStyle w:val="ListBullet"/>
        <w:spacing w:after="60"/>
        <w:ind w:left="709"/>
      </w:pPr>
      <w:r>
        <w:rPr>
          <w:rFonts w:ascii="Times New Roman" w:hAnsi="Times New Roman" w:eastAsia="Times New Roman"/>
          <w:b w:val="0"/>
          <w:i w:val="0"/>
          <w:color w:val="1A1A1A"/>
          <w:sz w:val="24"/>
        </w:rPr>
        <w:t>the Partner shall stop representing himself as an active VentraPOS originating partner for new shops;</w:t>
      </w:r>
    </w:p>
    <w:p>
      <w:pPr>
        <w:pStyle w:val="ListBullet"/>
        <w:spacing w:after="60"/>
        <w:ind w:left="709"/>
      </w:pPr>
      <w:r>
        <w:rPr>
          <w:rFonts w:ascii="Times New Roman" w:hAnsi="Times New Roman" w:eastAsia="Times New Roman"/>
          <w:b w:val="0"/>
          <w:i w:val="0"/>
          <w:color w:val="1A1A1A"/>
          <w:sz w:val="24"/>
        </w:rPr>
        <w:t>the Company shall pay any undisputed Partner Share then due;</w:t>
      </w:r>
    </w:p>
    <w:p>
      <w:pPr>
        <w:pStyle w:val="ListBullet"/>
        <w:spacing w:after="60"/>
        <w:ind w:left="709"/>
      </w:pPr>
      <w:r>
        <w:rPr>
          <w:rFonts w:ascii="Times New Roman" w:hAnsi="Times New Roman" w:eastAsia="Times New Roman"/>
          <w:b w:val="0"/>
          <w:i w:val="0"/>
          <w:color w:val="1A1A1A"/>
          <w:sz w:val="24"/>
        </w:rPr>
        <w:t>existing Referred Shops continue to generate Partner Share for the Life of each Shop (Clause 5), including Maintenance Fee deductions as usual;</w:t>
      </w:r>
    </w:p>
    <w:p>
      <w:pPr>
        <w:pStyle w:val="ListBullet"/>
        <w:spacing w:after="60"/>
        <w:ind w:left="709"/>
      </w:pPr>
      <w:r>
        <w:rPr>
          <w:rFonts w:ascii="Times New Roman" w:hAnsi="Times New Roman" w:eastAsia="Times New Roman"/>
          <w:b w:val="0"/>
          <w:i w:val="0"/>
          <w:color w:val="1A1A1A"/>
          <w:sz w:val="24"/>
        </w:rPr>
        <w:t>exception: if termination is for the Partner’s fraud, data misuse, or Clause 14 breach, future Partner Share stops.</w:t>
      </w:r>
    </w:p>
    <w:p>
      <w:pPr>
        <w:spacing w:after="160" w:before="0" w:line="240" w:lineRule="auto"/>
        <w:jc w:val="both"/>
      </w:pPr>
      <w:r>
        <w:rPr>
          <w:rFonts w:ascii="Times New Roman" w:hAnsi="Times New Roman" w:eastAsia="Times New Roman"/>
          <w:b w:val="0"/>
          <w:i w:val="0"/>
          <w:color w:val="1A1A1A"/>
          <w:sz w:val="24"/>
        </w:rPr>
        <w:t>15.5 After termination of origination, the Company remains solely responsible for all updates and maintenance. The Maintenance Fee continues to be deducted as a Resource Cost for as long as Partner Share is paid on that shop.</w:t>
      </w:r>
    </w:p>
    <w:p>
      <w:pPr>
        <w:keepNext/>
        <w:spacing w:before="320" w:after="160"/>
        <w:jc w:val="left"/>
        <w:pBdr>
          <w:bottom w:val="single" w:sz="6" w:space="1" w:color="003D2E"/>
        </w:pBdr>
      </w:pPr>
      <w:r>
        <w:rPr>
          <w:rFonts w:ascii="Times New Roman" w:hAnsi="Times New Roman" w:eastAsia="Times New Roman"/>
          <w:b/>
          <w:i w:val="0"/>
          <w:color w:val="003D2E"/>
          <w:sz w:val="26"/>
        </w:rPr>
        <w:t>16. LIABILITY</w:t>
      </w:r>
    </w:p>
    <w:p>
      <w:pPr>
        <w:spacing w:after="160" w:before="0" w:line="240" w:lineRule="auto"/>
        <w:jc w:val="both"/>
      </w:pPr>
      <w:r>
        <w:rPr>
          <w:rFonts w:ascii="Times New Roman" w:hAnsi="Times New Roman" w:eastAsia="Times New Roman"/>
          <w:b w:val="0"/>
          <w:i w:val="0"/>
          <w:color w:val="1A1A1A"/>
          <w:sz w:val="24"/>
        </w:rPr>
        <w:t>16.1 Neither Party is liable to the other for indirect or consequential loss, including lost introductions that did not convert.</w:t>
      </w:r>
    </w:p>
    <w:p>
      <w:pPr>
        <w:spacing w:after="160" w:before="0" w:line="240" w:lineRule="auto"/>
        <w:jc w:val="both"/>
      </w:pPr>
      <w:r>
        <w:rPr>
          <w:rFonts w:ascii="Times New Roman" w:hAnsi="Times New Roman" w:eastAsia="Times New Roman"/>
          <w:b w:val="0"/>
          <w:i w:val="0"/>
          <w:color w:val="1A1A1A"/>
          <w:sz w:val="24"/>
        </w:rPr>
        <w:t>16.2 The Company’s total liability under this Agreement in any 12-month period is limited to the Partner Share actually paid or payable in that period.</w:t>
      </w:r>
    </w:p>
    <w:p>
      <w:pPr>
        <w:spacing w:after="160" w:before="0" w:line="240" w:lineRule="auto"/>
        <w:jc w:val="both"/>
      </w:pPr>
      <w:r>
        <w:rPr>
          <w:rFonts w:ascii="Times New Roman" w:hAnsi="Times New Roman" w:eastAsia="Times New Roman"/>
          <w:b w:val="0"/>
          <w:i w:val="0"/>
          <w:color w:val="1A1A1A"/>
          <w:sz w:val="24"/>
        </w:rPr>
        <w:t>16.3 Nothing limits liability for fraud or death or personal injury caused by negligence.</w:t>
      </w:r>
    </w:p>
    <w:p>
      <w:pPr>
        <w:keepNext/>
        <w:spacing w:before="320" w:after="160"/>
        <w:jc w:val="left"/>
        <w:pBdr>
          <w:bottom w:val="single" w:sz="6" w:space="1" w:color="003D2E"/>
        </w:pBdr>
      </w:pPr>
      <w:r>
        <w:rPr>
          <w:rFonts w:ascii="Times New Roman" w:hAnsi="Times New Roman" w:eastAsia="Times New Roman"/>
          <w:b/>
          <w:i w:val="0"/>
          <w:color w:val="003D2E"/>
          <w:sz w:val="26"/>
        </w:rPr>
        <w:t>17. GENERAL</w:t>
      </w:r>
    </w:p>
    <w:p>
      <w:pPr>
        <w:spacing w:after="160" w:before="0" w:line="240" w:lineRule="auto"/>
        <w:jc w:val="both"/>
      </w:pPr>
      <w:r>
        <w:rPr>
          <w:rFonts w:ascii="Times New Roman" w:hAnsi="Times New Roman" w:eastAsia="Times New Roman"/>
          <w:b w:val="0"/>
          <w:i w:val="0"/>
          <w:color w:val="1A1A1A"/>
          <w:sz w:val="24"/>
        </w:rPr>
        <w:t>17.1 This is the entire agreement on this subject. Changes must be in writing and signed by both Parties.</w:t>
      </w:r>
    </w:p>
    <w:p>
      <w:pPr>
        <w:spacing w:after="160" w:before="0" w:line="240" w:lineRule="auto"/>
        <w:jc w:val="both"/>
      </w:pPr>
      <w:r>
        <w:rPr>
          <w:rFonts w:ascii="Times New Roman" w:hAnsi="Times New Roman" w:eastAsia="Times New Roman"/>
          <w:b w:val="0"/>
          <w:i w:val="0"/>
          <w:color w:val="1A1A1A"/>
          <w:sz w:val="24"/>
        </w:rPr>
        <w:t>17.2 The Partner may not assign this Agreement without the Company’s written consent, except the estate provision in Clause 5.6. The Company may assign to a successor of the VentraPOS business. A sale of the business does not cancel lifetime Partner Share on existing Referred Shops; the successor must honour Clause 5.</w:t>
      </w:r>
    </w:p>
    <w:p>
      <w:pPr>
        <w:spacing w:after="160" w:before="0" w:line="240" w:lineRule="auto"/>
        <w:jc w:val="both"/>
      </w:pPr>
      <w:r>
        <w:rPr>
          <w:rFonts w:ascii="Times New Roman" w:hAnsi="Times New Roman" w:eastAsia="Times New Roman"/>
          <w:b w:val="0"/>
          <w:i w:val="0"/>
          <w:color w:val="1A1A1A"/>
          <w:sz w:val="24"/>
        </w:rPr>
        <w:t>17.3 Notices may be sent to the emails above and are deemed received the next business day.</w:t>
      </w:r>
    </w:p>
    <w:p>
      <w:pPr>
        <w:spacing w:after="160" w:before="0" w:line="240" w:lineRule="auto"/>
        <w:jc w:val="both"/>
      </w:pPr>
      <w:r>
        <w:rPr>
          <w:rFonts w:ascii="Times New Roman" w:hAnsi="Times New Roman" w:eastAsia="Times New Roman"/>
          <w:b w:val="0"/>
          <w:i w:val="0"/>
          <w:color w:val="1A1A1A"/>
          <w:sz w:val="24"/>
        </w:rPr>
        <w:t>17.4 If a clause is invalid, the rest remains in force.</w:t>
      </w:r>
    </w:p>
    <w:p>
      <w:pPr>
        <w:spacing w:after="160" w:before="0" w:line="240" w:lineRule="auto"/>
        <w:jc w:val="both"/>
      </w:pPr>
      <w:r>
        <w:rPr>
          <w:rFonts w:ascii="Times New Roman" w:hAnsi="Times New Roman" w:eastAsia="Times New Roman"/>
          <w:b w:val="0"/>
          <w:i w:val="0"/>
          <w:color w:val="1A1A1A"/>
          <w:sz w:val="24"/>
        </w:rPr>
        <w:t>17.5 The laws of Ghana govern this Agreement. The courts of Ghana have exclusive jurisdiction. The Parties may instead agree in writing to mediation in Accra, then arbitration under the Alternative Dispute Resolution Act, 2010 (Act 798).</w:t>
      </w:r>
    </w:p>
    <w:p>
      <w:pPr>
        <w:keepNext/>
        <w:spacing w:before="320" w:after="160"/>
        <w:jc w:val="left"/>
        <w:pBdr>
          <w:bottom w:val="single" w:sz="6" w:space="1" w:color="003D2E"/>
        </w:pBdr>
      </w:pPr>
      <w:r>
        <w:rPr>
          <w:rFonts w:ascii="Times New Roman" w:hAnsi="Times New Roman" w:eastAsia="Times New Roman"/>
          <w:b/>
          <w:i w:val="0"/>
          <w:color w:val="003D2E"/>
          <w:sz w:val="26"/>
        </w:rPr>
        <w:t>SCHEDULE A — RESOURCE COST ALLOCATION (INCLUDING MAINTENANCE FEE)</w:t>
      </w:r>
    </w:p>
    <w:p>
      <w:pPr>
        <w:spacing w:after="160" w:before="0" w:line="240" w:lineRule="auto"/>
        <w:jc w:val="both"/>
      </w:pPr>
      <w:r>
        <w:rPr>
          <w:rFonts w:ascii="Times New Roman" w:hAnsi="Times New Roman" w:eastAsia="Times New Roman"/>
          <w:b w:val="0"/>
          <w:i w:val="0"/>
          <w:color w:val="1A1A1A"/>
          <w:sz w:val="24"/>
        </w:rPr>
        <w:t>For each Settlement Period, Resource Costs for a Referred Shop equal:</w:t>
      </w:r>
    </w:p>
    <w:p>
      <w:pPr>
        <w:spacing w:after="160" w:before="0" w:line="240" w:lineRule="auto"/>
        <w:jc w:val="both"/>
      </w:pPr>
      <w:r>
        <w:rPr>
          <w:rFonts w:ascii="Times New Roman" w:hAnsi="Times New Roman" w:eastAsia="Times New Roman"/>
          <w:b w:val="0"/>
          <w:i w:val="0"/>
          <w:color w:val="1A1A1A"/>
          <w:sz w:val="24"/>
        </w:rPr>
        <w:t>(1) Direct costs tagged to that shop (SMS OTPs for that shop’s users, extra storage, dedicated support if sold); plus (2) Maintenance Fee for that shop; plus (3) Shared Platform costs for that month divided by the number of active paying shops on VentraPOS that month.</w:t>
      </w:r>
    </w:p>
    <w:p>
      <w:pPr>
        <w:spacing w:after="160" w:before="0" w:line="240" w:lineRule="auto"/>
        <w:jc w:val="both"/>
      </w:pPr>
      <w:r>
        <w:rPr>
          <w:rFonts w:ascii="Times New Roman" w:hAnsi="Times New Roman" w:eastAsia="Times New Roman"/>
          <w:b/>
          <w:i w:val="0"/>
          <w:color w:val="1A1A1A"/>
          <w:sz w:val="24"/>
        </w:rPr>
        <w:t>Maintenance Fee (agreed method) — choose and initial one:</w:t>
      </w:r>
    </w:p>
    <w:p>
      <w:pPr>
        <w:spacing w:after="160" w:before="0" w:line="240" w:lineRule="auto"/>
        <w:jc w:val="left"/>
      </w:pPr>
      <w:r>
        <w:rPr>
          <w:rFonts w:ascii="Times New Roman" w:hAnsi="Times New Roman" w:eastAsia="Times New Roman"/>
          <w:b w:val="0"/>
          <w:i w:val="0"/>
          <w:color w:val="1A1A1A"/>
          <w:sz w:val="24"/>
        </w:rPr>
        <w:t>☐  Fixed: GHS ________ per paying Referred Shop per month;    or</w:t>
      </w:r>
    </w:p>
    <w:p>
      <w:pPr>
        <w:spacing w:after="160" w:before="0" w:line="240" w:lineRule="auto"/>
        <w:jc w:val="left"/>
      </w:pPr>
      <w:r>
        <w:rPr>
          <w:rFonts w:ascii="Times New Roman" w:hAnsi="Times New Roman" w:eastAsia="Times New Roman"/>
          <w:b w:val="0"/>
          <w:i w:val="0"/>
          <w:color w:val="1A1A1A"/>
          <w:sz w:val="24"/>
        </w:rPr>
        <w:t>☐  Percentage: ________% of that shop’s Gross Collected Revenue;    or</w:t>
      </w:r>
    </w:p>
    <w:p>
      <w:pPr>
        <w:spacing w:after="160" w:before="0" w:line="240" w:lineRule="auto"/>
        <w:jc w:val="left"/>
      </w:pPr>
      <w:r>
        <w:rPr>
          <w:rFonts w:ascii="Times New Roman" w:hAnsi="Times New Roman" w:eastAsia="Times New Roman"/>
          <w:b w:val="0"/>
          <w:i w:val="0"/>
          <w:color w:val="1A1A1A"/>
          <w:sz w:val="24"/>
        </w:rPr>
        <w:t>☐  Allocated actuals: Company engineering / maintenance cost for the month ÷ active paying shops.</w:t>
      </w:r>
    </w:p>
    <w:p>
      <w:pPr>
        <w:spacing w:after="160" w:before="0" w:line="240" w:lineRule="auto"/>
        <w:jc w:val="both"/>
      </w:pPr>
      <w:r>
        <w:rPr>
          <w:rFonts w:ascii="Times New Roman" w:hAnsi="Times New Roman" w:eastAsia="Times New Roman"/>
          <w:b w:val="0"/>
          <w:i/>
          <w:color w:val="1A1A1A"/>
          <w:sz w:val="22"/>
        </w:rPr>
        <w:t>Until a box is ticked, the Company shall use allocated actuals and show the figure on the monthly statement.</w:t>
      </w:r>
    </w:p>
    <w:p>
      <w:pPr>
        <w:spacing w:after="160" w:before="0" w:line="240" w:lineRule="auto"/>
        <w:jc w:val="both"/>
      </w:pPr>
      <w:r>
        <w:rPr>
          <w:rFonts w:ascii="Times New Roman" w:hAnsi="Times New Roman" w:eastAsia="Times New Roman"/>
          <w:b w:val="0"/>
          <w:i w:val="0"/>
          <w:color w:val="1A1A1A"/>
          <w:sz w:val="24"/>
        </w:rPr>
        <w:t>Shared Platform cost categories (fill actuals each month or keep a running method):</w:t>
      </w:r>
    </w:p>
    <w:tbl>
      <w:tblPr>
        <w:tblW w:type="auto" w:w="0"/>
        <w:jc w:val="center"/>
        <w:tblLayout w:type="autofit"/>
        <w:tblLook w:firstColumn="1" w:firstRow="1" w:lastColumn="0" w:lastRow="0" w:noHBand="0" w:noVBand="1" w:val="04A0"/>
      </w:tblPr>
      <w:tblGrid>
        <w:gridCol w:w="3137"/>
        <w:gridCol w:w="3137"/>
        <w:gridCol w:w="3137"/>
      </w:tblGrid>
      <w:tr>
        <w:tc>
          <w:tcPr>
            <w:tcW w:type="dxa" w:w="3137"/>
            <w:tcBorders>
              <w:top w:val="single" w:sz="4" w:space="0" w:color="003D2E"/>
              <w:left w:val="single" w:sz="4" w:space="0" w:color="003D2E"/>
              <w:bottom w:val="single" w:sz="4" w:space="0" w:color="003D2E"/>
              <w:right w:val="single" w:sz="4" w:space="0" w:color="003D2E"/>
            </w:tcBorders>
            <w:shd w:fill="003D2E" w:val="clear"/>
          </w:tcPr>
          <w:p>
            <w:pPr>
              <w:spacing w:before="40" w:after="40"/>
              <w:jc w:val="left"/>
            </w:pPr>
            <w:r/>
            <w:r>
              <w:rPr>
                <w:rFonts w:ascii="Times New Roman" w:hAnsi="Times New Roman" w:eastAsia="Times New Roman"/>
                <w:b/>
                <w:i w:val="0"/>
                <w:color w:val="FFFFFF"/>
                <w:sz w:val="20"/>
              </w:rPr>
              <w:t>Category</w:t>
            </w:r>
          </w:p>
        </w:tc>
        <w:tc>
          <w:tcPr>
            <w:tcW w:type="dxa" w:w="3137"/>
            <w:tcBorders>
              <w:top w:val="single" w:sz="4" w:space="0" w:color="003D2E"/>
              <w:left w:val="single" w:sz="4" w:space="0" w:color="003D2E"/>
              <w:bottom w:val="single" w:sz="4" w:space="0" w:color="003D2E"/>
              <w:right w:val="single" w:sz="4" w:space="0" w:color="003D2E"/>
            </w:tcBorders>
            <w:shd w:fill="003D2E" w:val="clear"/>
          </w:tcPr>
          <w:p>
            <w:pPr>
              <w:spacing w:before="40" w:after="40"/>
              <w:jc w:val="left"/>
            </w:pPr>
            <w:r/>
            <w:r>
              <w:rPr>
                <w:rFonts w:ascii="Times New Roman" w:hAnsi="Times New Roman" w:eastAsia="Times New Roman"/>
                <w:b/>
                <w:i w:val="0"/>
                <w:color w:val="FFFFFF"/>
                <w:sz w:val="20"/>
              </w:rPr>
              <w:t>Vendor / notes</w:t>
            </w:r>
          </w:p>
        </w:tc>
        <w:tc>
          <w:tcPr>
            <w:tcW w:type="dxa" w:w="3137"/>
            <w:tcBorders>
              <w:top w:val="single" w:sz="4" w:space="0" w:color="003D2E"/>
              <w:left w:val="single" w:sz="4" w:space="0" w:color="003D2E"/>
              <w:bottom w:val="single" w:sz="4" w:space="0" w:color="003D2E"/>
              <w:right w:val="single" w:sz="4" w:space="0" w:color="003D2E"/>
            </w:tcBorders>
            <w:shd w:fill="003D2E" w:val="clear"/>
          </w:tcPr>
          <w:p>
            <w:pPr>
              <w:spacing w:before="40" w:after="40"/>
              <w:jc w:val="left"/>
            </w:pPr>
            <w:r/>
            <w:r>
              <w:rPr>
                <w:rFonts w:ascii="Times New Roman" w:hAnsi="Times New Roman" w:eastAsia="Times New Roman"/>
                <w:b/>
                <w:i w:val="0"/>
                <w:color w:val="FFFFFF"/>
                <w:sz w:val="20"/>
              </w:rPr>
              <w:t>Monthly actual (GHS)</w:t>
            </w:r>
          </w:p>
        </w:tc>
      </w:tr>
      <w:tr>
        <w:tc>
          <w:tcPr>
            <w:tcW w:type="dxa" w:w="3137"/>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Maintenance Fee / updates (if not a per-shop fixed fee)</w:t>
            </w:r>
          </w:p>
        </w:tc>
        <w:tc>
          <w:tcPr>
            <w:tcW w:type="dxa" w:w="3137"/>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ZeoFex Technology — software updates &amp; upkeep</w:t>
            </w:r>
          </w:p>
        </w:tc>
        <w:tc>
          <w:tcPr>
            <w:tcW w:type="dxa" w:w="3137"/>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r>
          </w:p>
        </w:tc>
      </w:tr>
      <w:tr>
        <w:tc>
          <w:tcPr>
            <w:tcW w:type="dxa" w:w="3137"/>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Cloud hosting &amp; compute</w:t>
            </w:r>
          </w:p>
        </w:tc>
        <w:tc>
          <w:tcPr>
            <w:tcW w:type="dxa" w:w="3137"/>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r>
          </w:p>
        </w:tc>
        <w:tc>
          <w:tcPr>
            <w:tcW w:type="dxa" w:w="3137"/>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r>
          </w:p>
        </w:tc>
      </w:tr>
      <w:tr>
        <w:tc>
          <w:tcPr>
            <w:tcW w:type="dxa" w:w="3137"/>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Database</w:t>
            </w:r>
          </w:p>
        </w:tc>
        <w:tc>
          <w:tcPr>
            <w:tcW w:type="dxa" w:w="3137"/>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PostgreSQL hosting &amp; backups</w:t>
            </w:r>
          </w:p>
        </w:tc>
        <w:tc>
          <w:tcPr>
            <w:tcW w:type="dxa" w:w="3137"/>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r>
          </w:p>
        </w:tc>
      </w:tr>
      <w:tr>
        <w:tc>
          <w:tcPr>
            <w:tcW w:type="dxa" w:w="3137"/>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Redis / queues</w:t>
            </w:r>
          </w:p>
        </w:tc>
        <w:tc>
          <w:tcPr>
            <w:tcW w:type="dxa" w:w="3137"/>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r>
          </w:p>
        </w:tc>
        <w:tc>
          <w:tcPr>
            <w:tcW w:type="dxa" w:w="3137"/>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r>
          </w:p>
        </w:tc>
      </w:tr>
      <w:tr>
        <w:tc>
          <w:tcPr>
            <w:tcW w:type="dxa" w:w="3137"/>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Email</w:t>
            </w:r>
          </w:p>
        </w:tc>
        <w:tc>
          <w:tcPr>
            <w:tcW w:type="dxa" w:w="3137"/>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r>
          </w:p>
        </w:tc>
        <w:tc>
          <w:tcPr>
            <w:tcW w:type="dxa" w:w="3137"/>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r>
          </w:p>
        </w:tc>
      </w:tr>
      <w:tr>
        <w:tc>
          <w:tcPr>
            <w:tcW w:type="dxa" w:w="3137"/>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SMS</w:t>
            </w:r>
          </w:p>
        </w:tc>
        <w:tc>
          <w:tcPr>
            <w:tcW w:type="dxa" w:w="3137"/>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r>
          </w:p>
        </w:tc>
        <w:tc>
          <w:tcPr>
            <w:tcW w:type="dxa" w:w="3137"/>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r>
          </w:p>
        </w:tc>
      </w:tr>
      <w:tr>
        <w:tc>
          <w:tcPr>
            <w:tcW w:type="dxa" w:w="3137"/>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File storage</w:t>
            </w:r>
          </w:p>
        </w:tc>
        <w:tc>
          <w:tcPr>
            <w:tcW w:type="dxa" w:w="3137"/>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r>
          </w:p>
        </w:tc>
        <w:tc>
          <w:tcPr>
            <w:tcW w:type="dxa" w:w="3137"/>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r>
          </w:p>
        </w:tc>
      </w:tr>
      <w:tr>
        <w:tc>
          <w:tcPr>
            <w:tcW w:type="dxa" w:w="3137"/>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Domain / SSL / DNS</w:t>
            </w:r>
          </w:p>
        </w:tc>
        <w:tc>
          <w:tcPr>
            <w:tcW w:type="dxa" w:w="3137"/>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r>
          </w:p>
        </w:tc>
        <w:tc>
          <w:tcPr>
            <w:tcW w:type="dxa" w:w="3137"/>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r>
          </w:p>
        </w:tc>
      </w:tr>
      <w:tr>
        <w:tc>
          <w:tcPr>
            <w:tcW w:type="dxa" w:w="3137"/>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Monitoring</w:t>
            </w:r>
          </w:p>
        </w:tc>
        <w:tc>
          <w:tcPr>
            <w:tcW w:type="dxa" w:w="3137"/>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r>
          </w:p>
        </w:tc>
        <w:tc>
          <w:tcPr>
            <w:tcW w:type="dxa" w:w="3137"/>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r>
          </w:p>
        </w:tc>
      </w:tr>
      <w:tr>
        <w:tc>
          <w:tcPr>
            <w:tcW w:type="dxa" w:w="3137"/>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Payment processing</w:t>
            </w:r>
          </w:p>
        </w:tc>
        <w:tc>
          <w:tcPr>
            <w:tcW w:type="dxa" w:w="3137"/>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Paystack (usually deducted per transaction under 9.2, not here)</w:t>
            </w:r>
          </w:p>
        </w:tc>
        <w:tc>
          <w:tcPr>
            <w:tcW w:type="dxa" w:w="3137"/>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w:t>
            </w:r>
          </w:p>
        </w:tc>
      </w:tr>
      <w:tr>
        <w:tc>
          <w:tcPr>
            <w:tcW w:type="dxa" w:w="3137"/>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Total shared (excluding per-transaction Paystack)</w:t>
            </w:r>
          </w:p>
        </w:tc>
        <w:tc>
          <w:tcPr>
            <w:tcW w:type="dxa" w:w="3137"/>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r>
          </w:p>
        </w:tc>
        <w:tc>
          <w:tcPr>
            <w:tcW w:type="dxa" w:w="3137"/>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r>
          </w:p>
        </w:tc>
      </w:tr>
      <w:tr>
        <w:tc>
          <w:tcPr>
            <w:tcW w:type="dxa" w:w="3137"/>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 active paying shops</w:t>
            </w:r>
          </w:p>
        </w:tc>
        <w:tc>
          <w:tcPr>
            <w:tcW w:type="dxa" w:w="3137"/>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r>
          </w:p>
        </w:tc>
        <w:tc>
          <w:tcPr>
            <w:tcW w:type="dxa" w:w="3137"/>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r>
          </w:p>
        </w:tc>
      </w:tr>
      <w:tr>
        <w:tc>
          <w:tcPr>
            <w:tcW w:type="dxa" w:w="3137"/>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Allocated Resource Cost per paying shop</w:t>
            </w:r>
          </w:p>
        </w:tc>
        <w:tc>
          <w:tcPr>
            <w:tcW w:type="dxa" w:w="3137"/>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r>
          </w:p>
        </w:tc>
        <w:tc>
          <w:tcPr>
            <w:tcW w:type="dxa" w:w="3137"/>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r>
          </w:p>
        </w:tc>
      </w:tr>
    </w:tbl>
    <w:p/>
    <w:p>
      <w:pPr>
        <w:spacing w:after="160" w:before="0" w:line="240" w:lineRule="auto"/>
        <w:jc w:val="both"/>
      </w:pPr>
      <w:r>
        <w:rPr>
          <w:rFonts w:ascii="Times New Roman" w:hAnsi="Times New Roman" w:eastAsia="Times New Roman"/>
          <w:b w:val="0"/>
          <w:i/>
          <w:color w:val="1A1A1A"/>
          <w:sz w:val="22"/>
        </w:rPr>
        <w:t>Founder drawings, general marketing, and brand-new product lines outside ordinary VentraPOS maintenance are not Resource Costs unless the Parties add them in writing.</w:t>
      </w:r>
    </w:p>
    <w:p>
      <w:pPr>
        <w:keepNext/>
        <w:spacing w:before="320" w:after="160"/>
        <w:jc w:val="left"/>
        <w:pBdr>
          <w:bottom w:val="single" w:sz="6" w:space="1" w:color="003D2E"/>
        </w:pBdr>
      </w:pPr>
      <w:r>
        <w:rPr>
          <w:rFonts w:ascii="Times New Roman" w:hAnsi="Times New Roman" w:eastAsia="Times New Roman"/>
          <w:b/>
          <w:i w:val="0"/>
          <w:color w:val="003D2E"/>
          <w:sz w:val="26"/>
        </w:rPr>
        <w:t>SCHEDULE B — COMMERCIAL TERMS</w:t>
      </w:r>
    </w:p>
    <w:tbl>
      <w:tblPr>
        <w:tblW w:type="auto" w:w="0"/>
        <w:jc w:val="center"/>
        <w:tblLayout w:type="autofit"/>
        <w:tblLook w:firstColumn="1" w:firstRow="1" w:lastColumn="0" w:lastRow="0" w:noHBand="0" w:noVBand="1" w:val="04A0"/>
      </w:tblPr>
      <w:tblGrid>
        <w:gridCol w:w="4706"/>
        <w:gridCol w:w="4706"/>
      </w:tblGrid>
      <w:tr>
        <w:tc>
          <w:tcPr>
            <w:tcW w:type="dxa" w:w="4706"/>
            <w:tcBorders>
              <w:top w:val="single" w:sz="4" w:space="0" w:color="003D2E"/>
              <w:left w:val="single" w:sz="4" w:space="0" w:color="003D2E"/>
              <w:bottom w:val="single" w:sz="4" w:space="0" w:color="003D2E"/>
              <w:right w:val="single" w:sz="4" w:space="0" w:color="003D2E"/>
            </w:tcBorders>
            <w:shd w:fill="003D2E" w:val="clear"/>
          </w:tcPr>
          <w:p>
            <w:pPr>
              <w:spacing w:before="40" w:after="40"/>
              <w:jc w:val="left"/>
            </w:pPr>
            <w:r/>
            <w:r>
              <w:rPr>
                <w:rFonts w:ascii="Times New Roman" w:hAnsi="Times New Roman" w:eastAsia="Times New Roman"/>
                <w:b/>
                <w:i w:val="0"/>
                <w:color w:val="FFFFFF"/>
                <w:sz w:val="20"/>
              </w:rPr>
              <w:t>Item</w:t>
            </w:r>
          </w:p>
        </w:tc>
        <w:tc>
          <w:tcPr>
            <w:tcW w:type="dxa" w:w="4706"/>
            <w:tcBorders>
              <w:top w:val="single" w:sz="4" w:space="0" w:color="003D2E"/>
              <w:left w:val="single" w:sz="4" w:space="0" w:color="003D2E"/>
              <w:bottom w:val="single" w:sz="4" w:space="0" w:color="003D2E"/>
              <w:right w:val="single" w:sz="4" w:space="0" w:color="003D2E"/>
            </w:tcBorders>
            <w:shd w:fill="003D2E" w:val="clear"/>
          </w:tcPr>
          <w:p>
            <w:pPr>
              <w:spacing w:before="40" w:after="40"/>
              <w:jc w:val="left"/>
            </w:pPr>
            <w:r/>
            <w:r>
              <w:rPr>
                <w:rFonts w:ascii="Times New Roman" w:hAnsi="Times New Roman" w:eastAsia="Times New Roman"/>
                <w:b/>
                <w:i w:val="0"/>
                <w:color w:val="FFFFFF"/>
                <w:sz w:val="20"/>
              </w:rPr>
              <w:t>Agreed term</w:t>
            </w:r>
          </w:p>
        </w:tc>
      </w:tr>
      <w:tr>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Company</w:t>
            </w:r>
          </w:p>
        </w:tc>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ZeoFex Technology (VentraPOS)</w:t>
            </w:r>
          </w:p>
        </w:tc>
      </w:tr>
      <w:tr>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Partner</w:t>
            </w:r>
          </w:p>
        </w:tc>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Mr. John Paul Kpantey</w:t>
            </w:r>
          </w:p>
        </w:tc>
      </w:tr>
      <w:tr>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Partner Share</w:t>
            </w:r>
          </w:p>
        </w:tc>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50% of Net Distributable Revenue per Referred Shop</w:t>
            </w:r>
          </w:p>
        </w:tc>
      </w:tr>
      <w:tr>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Duration</w:t>
            </w:r>
          </w:p>
        </w:tc>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For the life of each Referred Shop on VentraPOS</w:t>
            </w:r>
          </w:p>
        </w:tc>
      </w:tr>
      <w:tr>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Updates</w:t>
            </w:r>
          </w:p>
        </w:tc>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Company only. Partner does not build or ship software</w:t>
            </w:r>
          </w:p>
        </w:tc>
      </w:tr>
      <w:tr>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Maintenance Fee</w:t>
            </w:r>
          </w:p>
        </w:tc>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Deducted as a Resource Cost before the 50/50 split</w:t>
            </w:r>
          </w:p>
        </w:tc>
      </w:tr>
      <w:tr>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Does not apply to</w:t>
            </w:r>
          </w:p>
        </w:tc>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Free Starter shops until they pay; shops the Partner did not bring</w:t>
            </w:r>
          </w:p>
        </w:tc>
      </w:tr>
      <w:tr>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Settlement</w:t>
            </w:r>
          </w:p>
        </w:tc>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Monthly; pay within 15 business days of statement</w:t>
            </w:r>
          </w:p>
        </w:tc>
      </w:tr>
      <w:tr>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Currency</w:t>
            </w:r>
          </w:p>
        </w:tc>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Ghana Cedis (GHS)</w:t>
            </w:r>
          </w:p>
        </w:tc>
      </w:tr>
      <w:tr>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Tracking method</w:t>
            </w:r>
          </w:p>
        </w:tc>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________________________________</w:t>
            </w:r>
          </w:p>
        </w:tc>
      </w:tr>
      <w:tr>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Authorised discount ceiling</w:t>
            </w:r>
          </w:p>
        </w:tc>
        <w:tc>
          <w:tcPr>
            <w:tcW w:type="dxa" w:w="4706"/>
            <w:tcBorders>
              <w:top w:val="single" w:sz="4" w:space="0" w:color="003D2E"/>
              <w:left w:val="single" w:sz="4" w:space="0" w:color="003D2E"/>
              <w:bottom w:val="single" w:sz="4" w:space="0" w:color="003D2E"/>
              <w:right w:val="single" w:sz="4" w:space="0" w:color="003D2E"/>
            </w:tcBorders>
          </w:tcPr>
          <w:p>
            <w:pPr>
              <w:spacing w:before="40" w:after="40"/>
              <w:jc w:val="left"/>
            </w:pPr>
            <w:r/>
            <w:r>
              <w:rPr>
                <w:rFonts w:ascii="Times New Roman" w:hAnsi="Times New Roman" w:eastAsia="Times New Roman"/>
                <w:b w:val="0"/>
                <w:i w:val="0"/>
                <w:color w:val="1A1A1A"/>
                <w:sz w:val="20"/>
              </w:rPr>
              <w:t>________________________________</w:t>
            </w:r>
          </w:p>
        </w:tc>
      </w:tr>
      <w:tr>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Hardware / scanners / printers</w:t>
            </w:r>
          </w:p>
        </w:tc>
        <w:tc>
          <w:tcPr>
            <w:tcW w:type="dxa" w:w="4706"/>
            <w:tcBorders>
              <w:top w:val="single" w:sz="4" w:space="0" w:color="003D2E"/>
              <w:left w:val="single" w:sz="4" w:space="0" w:color="003D2E"/>
              <w:bottom w:val="single" w:sz="4" w:space="0" w:color="003D2E"/>
              <w:right w:val="single" w:sz="4" w:space="0" w:color="003D2E"/>
            </w:tcBorders>
            <w:shd w:fill="F3F7F5" w:val="clear"/>
          </w:tcPr>
          <w:p>
            <w:pPr>
              <w:spacing w:before="40" w:after="40"/>
              <w:jc w:val="left"/>
            </w:pPr>
            <w:r/>
            <w:r>
              <w:rPr>
                <w:rFonts w:ascii="Times New Roman" w:hAnsi="Times New Roman" w:eastAsia="Times New Roman"/>
                <w:b w:val="0"/>
                <w:i w:val="0"/>
                <w:color w:val="1A1A1A"/>
                <w:sz w:val="20"/>
              </w:rPr>
              <w:t>Excluded unless added in writing</w:t>
            </w:r>
          </w:p>
        </w:tc>
      </w:tr>
    </w:tbl>
    <w:p/>
    <w:p>
      <w:pPr>
        <w:keepNext/>
        <w:spacing w:before="320" w:after="160"/>
        <w:jc w:val="left"/>
        <w:pBdr>
          <w:bottom w:val="single" w:sz="6" w:space="1" w:color="003D2E"/>
        </w:pBdr>
      </w:pPr>
      <w:r>
        <w:rPr>
          <w:rFonts w:ascii="Times New Roman" w:hAnsi="Times New Roman" w:eastAsia="Times New Roman"/>
          <w:b/>
          <w:i w:val="0"/>
          <w:color w:val="003D2E"/>
          <w:sz w:val="26"/>
        </w:rPr>
        <w:t>SIGNATURE</w:t>
      </w:r>
    </w:p>
    <w:p>
      <w:pPr>
        <w:spacing w:after="280" w:before="0" w:line="240" w:lineRule="auto"/>
        <w:jc w:val="both"/>
      </w:pPr>
      <w:r>
        <w:rPr>
          <w:rFonts w:ascii="Times New Roman" w:hAnsi="Times New Roman" w:eastAsia="Times New Roman"/>
          <w:b w:val="0"/>
          <w:i w:val="0"/>
          <w:color w:val="1A1A1A"/>
          <w:sz w:val="24"/>
        </w:rPr>
        <w:t>Signed as a binding agreement.</w:t>
      </w:r>
    </w:p>
    <w:p>
      <w:pPr>
        <w:spacing w:after="240" w:before="0" w:line="240" w:lineRule="auto"/>
        <w:jc w:val="left"/>
      </w:pPr>
      <w:r>
        <w:rPr>
          <w:rFonts w:ascii="Times New Roman" w:hAnsi="Times New Roman" w:eastAsia="Times New Roman"/>
          <w:b/>
          <w:i w:val="0"/>
          <w:color w:val="1A1A1A"/>
          <w:sz w:val="24"/>
        </w:rPr>
        <w:t>FOR ZEOFEX TECHNOLOGY (trading as VentraPOS)</w:t>
      </w:r>
    </w:p>
    <w:p>
      <w:pPr>
        <w:spacing w:after="200" w:before="0" w:line="240" w:lineRule="auto"/>
        <w:jc w:val="left"/>
      </w:pPr>
      <w:r>
        <w:rPr>
          <w:rFonts w:ascii="Times New Roman" w:hAnsi="Times New Roman" w:eastAsia="Times New Roman"/>
          <w:b w:val="0"/>
          <w:i w:val="0"/>
          <w:color w:val="1A1A1A"/>
          <w:sz w:val="24"/>
        </w:rPr>
        <w:t>Name: ____________________________________________________</w:t>
      </w:r>
    </w:p>
    <w:p>
      <w:pPr>
        <w:spacing w:after="200" w:before="0" w:line="240" w:lineRule="auto"/>
        <w:jc w:val="left"/>
      </w:pPr>
      <w:r>
        <w:rPr>
          <w:rFonts w:ascii="Times New Roman" w:hAnsi="Times New Roman" w:eastAsia="Times New Roman"/>
          <w:b w:val="0"/>
          <w:i w:val="0"/>
          <w:color w:val="1A1A1A"/>
          <w:sz w:val="24"/>
        </w:rPr>
        <w:t>Title: ____________________________________________________</w:t>
      </w:r>
    </w:p>
    <w:p>
      <w:pPr>
        <w:spacing w:after="200" w:before="0" w:line="240" w:lineRule="auto"/>
        <w:jc w:val="left"/>
      </w:pPr>
      <w:r>
        <w:rPr>
          <w:rFonts w:ascii="Times New Roman" w:hAnsi="Times New Roman" w:eastAsia="Times New Roman"/>
          <w:b w:val="0"/>
          <w:i w:val="0"/>
          <w:color w:val="1A1A1A"/>
          <w:sz w:val="24"/>
        </w:rPr>
        <w:t>Signature: ____________________________________________________</w:t>
      </w:r>
    </w:p>
    <w:p>
      <w:pPr>
        <w:spacing w:after="200" w:before="0" w:line="240" w:lineRule="auto"/>
        <w:jc w:val="left"/>
      </w:pPr>
      <w:r>
        <w:rPr>
          <w:rFonts w:ascii="Times New Roman" w:hAnsi="Times New Roman" w:eastAsia="Times New Roman"/>
          <w:b w:val="0"/>
          <w:i w:val="0"/>
          <w:color w:val="1A1A1A"/>
          <w:sz w:val="24"/>
        </w:rPr>
        <w:t>Date: ____________________________________________________</w:t>
      </w:r>
    </w:p>
    <w:p>
      <w:pPr>
        <w:spacing w:after="200" w:before="0" w:line="240" w:lineRule="auto"/>
        <w:jc w:val="left"/>
      </w:pPr>
      <w:r>
        <w:rPr>
          <w:rFonts w:ascii="Times New Roman" w:hAnsi="Times New Roman" w:eastAsia="Times New Roman"/>
          <w:b w:val="0"/>
          <w:i w:val="0"/>
          <w:color w:val="1A1A1A"/>
          <w:sz w:val="24"/>
        </w:rPr>
        <w:t>Witness name / signature: ____________________________________________________</w:t>
      </w:r>
    </w:p>
    <w:p>
      <w:pPr>
        <w:spacing w:after="240" w:before="320" w:line="240" w:lineRule="auto"/>
        <w:jc w:val="left"/>
      </w:pPr>
      <w:r>
        <w:rPr>
          <w:rFonts w:ascii="Times New Roman" w:hAnsi="Times New Roman" w:eastAsia="Times New Roman"/>
          <w:b/>
          <w:i w:val="0"/>
          <w:color w:val="1A1A1A"/>
          <w:sz w:val="24"/>
        </w:rPr>
        <w:t>FOR THE PARTNER</w:t>
      </w:r>
    </w:p>
    <w:p>
      <w:pPr>
        <w:spacing w:after="200" w:before="0" w:line="240" w:lineRule="auto"/>
        <w:jc w:val="left"/>
      </w:pPr>
      <w:r>
        <w:rPr>
          <w:rFonts w:ascii="Times New Roman" w:hAnsi="Times New Roman" w:eastAsia="Times New Roman"/>
          <w:b w:val="0"/>
          <w:i w:val="0"/>
          <w:color w:val="1A1A1A"/>
          <w:sz w:val="24"/>
        </w:rPr>
        <w:t>Name: Mr. John Paul Kpantey</w:t>
      </w:r>
    </w:p>
    <w:p>
      <w:pPr>
        <w:spacing w:after="200" w:before="0" w:line="240" w:lineRule="auto"/>
        <w:jc w:val="left"/>
      </w:pPr>
      <w:r>
        <w:rPr>
          <w:rFonts w:ascii="Times New Roman" w:hAnsi="Times New Roman" w:eastAsia="Times New Roman"/>
          <w:b w:val="0"/>
          <w:i w:val="0"/>
          <w:color w:val="1A1A1A"/>
          <w:sz w:val="24"/>
        </w:rPr>
        <w:t>Signature: ____________________________________________________</w:t>
      </w:r>
    </w:p>
    <w:p>
      <w:pPr>
        <w:spacing w:after="200" w:before="0" w:line="240" w:lineRule="auto"/>
        <w:jc w:val="left"/>
      </w:pPr>
      <w:r>
        <w:rPr>
          <w:rFonts w:ascii="Times New Roman" w:hAnsi="Times New Roman" w:eastAsia="Times New Roman"/>
          <w:b w:val="0"/>
          <w:i w:val="0"/>
          <w:color w:val="1A1A1A"/>
          <w:sz w:val="24"/>
        </w:rPr>
        <w:t>Date: ____________________________________________________</w:t>
      </w:r>
    </w:p>
    <w:p>
      <w:pPr>
        <w:spacing w:after="200" w:before="0" w:line="240" w:lineRule="auto"/>
        <w:jc w:val="left"/>
      </w:pPr>
      <w:r>
        <w:rPr>
          <w:rFonts w:ascii="Times New Roman" w:hAnsi="Times New Roman" w:eastAsia="Times New Roman"/>
          <w:b w:val="0"/>
          <w:i w:val="0"/>
          <w:color w:val="1A1A1A"/>
          <w:sz w:val="24"/>
        </w:rPr>
        <w:t>Ghana Card / ID: ____________________________________________________</w:t>
      </w:r>
    </w:p>
    <w:p>
      <w:pPr>
        <w:spacing w:after="200" w:before="0" w:line="240" w:lineRule="auto"/>
        <w:jc w:val="left"/>
      </w:pPr>
      <w:r>
        <w:rPr>
          <w:rFonts w:ascii="Times New Roman" w:hAnsi="Times New Roman" w:eastAsia="Times New Roman"/>
          <w:b w:val="0"/>
          <w:i w:val="0"/>
          <w:color w:val="1A1A1A"/>
          <w:sz w:val="24"/>
        </w:rPr>
        <w:t>Witness name / signature: ____________________________________________________</w:t>
      </w:r>
    </w:p>
    <w:p>
      <w:pPr>
        <w:spacing w:after="160" w:before="360" w:line="240" w:lineRule="auto"/>
        <w:jc w:val="center"/>
      </w:pPr>
      <w:r>
        <w:rPr>
          <w:rFonts w:ascii="Times New Roman" w:hAnsi="Times New Roman" w:eastAsia="Times New Roman"/>
          <w:b w:val="0"/>
          <w:i/>
          <w:color w:val="444444"/>
          <w:sz w:val="20"/>
        </w:rPr>
        <w:t>This document is a commercial draft prepared for the Parties. It should be reviewed by a lawyer licensed in Ghana before it is signed.</w:t>
      </w:r>
    </w:p>
    <w:sectPr w:rsidR="00FC693F" w:rsidRPr="0006063C" w:rsidSect="00034616">
      <w:footerReference w:type="default" r:id="rId9"/>
      <w:pgSz w:w="11906" w:h="16838"/>
      <w:pgMar w:top="1134"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444444"/>
        <w:sz w:val="16"/>
      </w:rPr>
      <w:t xml:space="preserve">ZeoFex Technology  ·  VentraPOS Channel Partner Agreement  ·  Page </w:t>
    </w:r>
    <w:r>
      <w:rPr>
        <w:rFonts w:ascii="Times New Roman" w:hAnsi="Times New Roman" w:eastAsia="Times New Roman"/>
        <w:b w:val="0"/>
        <w:i w:val="0"/>
        <w:color w:val="444444"/>
        <w:sz w:val="16"/>
      </w:rPr>
      <w:fldChar w:fldCharType="begin"/>
      <w:instrText xml:space="preserve"> PAGE </w:instrText>
      <w:fldChar w:fldCharType="end"/>
    </w:r>
    <w:r>
      <w:rPr>
        <w:rFonts w:ascii="Times New Roman" w:hAnsi="Times New Roman" w:eastAsia="Times New Roman"/>
        <w:b w:val="0"/>
        <w:i w:val="0"/>
        <w:color w:val="444444"/>
        <w:sz w:val="16"/>
      </w:rPr>
      <w:t xml:space="preserve"> of </w:t>
    </w:r>
    <w:r>
      <w:rPr>
        <w:rFonts w:ascii="Times New Roman" w:hAnsi="Times New Roman" w:eastAsia="Times New Roman"/>
        <w:b w:val="0"/>
        <w:i w:val="0"/>
        <w:color w:val="444444"/>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