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33A57">
      <w:pPr>
        <w:ind w:firstLine="420" w:firstLineChars="200"/>
        <w:rPr>
          <w:rFonts w:hint="eastAsia"/>
        </w:rPr>
      </w:pPr>
      <w:r>
        <w:rPr>
          <w:rFonts w:hint="eastAsia"/>
        </w:rPr>
        <w:t>Playwright是微软推出的浏览器自动化框架，支持Chromium、Firefox、WebKit三大浏览器内核，相比Selenium，它拥有更现代的API设计和内置的自动等待机制。使用前只需执行pipinstallplaywright和playwrightinstall两条命令即可完成环境搭建。它提供同步（sync_api）和异步（async_api）两种接口，初学者建议先用同步方式上手。</w:t>
      </w:r>
    </w:p>
    <w:p w14:paraId="485591A9">
      <w:pPr>
        <w:rPr>
          <w:rFonts w:hint="eastAsia"/>
        </w:rPr>
      </w:pPr>
    </w:p>
    <w:p w14:paraId="357432EB">
      <w:pPr>
        <w:ind w:firstLine="420" w:firstLineChars="200"/>
        <w:rPr>
          <w:rFonts w:hint="eastAsia"/>
        </w:rPr>
      </w:pPr>
      <w:r>
        <w:rPr>
          <w:rFonts w:hint="eastAsia"/>
        </w:rPr>
        <w:t>Playwright的核心架构分三层：Browser是浏览器实例本身，BrowserContext是隔离的会话环境（类似隐身模式，每个Context的Cookie互不干扰），Page</w:t>
      </w:r>
    </w:p>
    <w:p w14:paraId="5EC1E2B0">
      <w:pPr>
        <w:rPr>
          <w:rFonts w:hint="eastAsia"/>
        </w:rPr>
      </w:pPr>
      <w:r>
        <w:rPr>
          <w:rFonts w:hint="eastAsia"/>
        </w:rPr>
        <w:t>是具体的标签页。这种设计使得多账号同时操作变得简单——为每个账号创建独立的Context即可。</w:t>
      </w:r>
    </w:p>
    <w:p w14:paraId="424F20A7">
      <w:pPr>
        <w:rPr>
          <w:rFonts w:hint="eastAsia"/>
        </w:rPr>
      </w:pPr>
    </w:p>
    <w:p w14:paraId="6CC68563">
      <w:pPr>
        <w:ind w:firstLine="420" w:firstLineChars="200"/>
        <w:rPr>
          <w:rFonts w:hint="eastAsia"/>
        </w:rPr>
      </w:pPr>
      <w:r>
        <w:rPr>
          <w:rFonts w:hint="eastAsia"/>
        </w:rPr>
        <w:t>页面导航方面，goto()是最常用的方法，通过wait_until参数可以控制等待策略，networkidle会等到网络空闲后再继续，适合有动态加载内容的页面。配合go_back()、go_forward()、reload()可以实现浏览器的基本导航操作。</w:t>
      </w:r>
    </w:p>
    <w:p w14:paraId="37AE5B1E">
      <w:pPr>
        <w:rPr>
          <w:rFonts w:hint="eastAsia"/>
        </w:rPr>
      </w:pPr>
    </w:p>
    <w:p w14:paraId="4A1BB7AF">
      <w:pPr>
        <w:ind w:firstLine="420" w:firstLineChars="200"/>
        <w:rPr>
          <w:rFonts w:hint="eastAsia"/>
        </w:rPr>
      </w:pPr>
      <w:r>
        <w:rPr>
          <w:rFonts w:hint="eastAsia"/>
        </w:rPr>
        <w:t>元素定位是所有操作的基础。Playwright提供了多种定位方式：CSS选择器（#id、.class、属性选择器）是最通用和灵活的方式；文本定位（text=登录）可以直接用页面可见文字找到元素；get_by_role()</w:t>
      </w:r>
    </w:p>
    <w:p w14:paraId="6F69FAEA">
      <w:pPr>
        <w:rPr>
          <w:rFonts w:hint="eastAsia"/>
        </w:rPr>
      </w:pPr>
      <w:r>
        <w:rPr>
          <w:rFonts w:hint="eastAsia"/>
        </w:rPr>
        <w:t>是微软推荐的方式，通过语义角色定位，不依赖HTML结构；此外还有get_by_label()、get_by_placeholder()、get_by_test_id()等便捷方法。对于复杂场景，可以通过filter(has_text=...)进行链式组合定位。</w:t>
      </w:r>
    </w:p>
    <w:p w14:paraId="13515699">
      <w:pPr>
        <w:rPr>
          <w:rFonts w:hint="eastAsia"/>
        </w:rPr>
      </w:pPr>
    </w:p>
    <w:p w14:paraId="16109DD4">
      <w:pPr>
        <w:ind w:firstLine="420" w:firstLineChars="200"/>
        <w:rPr>
          <w:rFonts w:hint="eastAsia"/>
        </w:rPr>
      </w:pPr>
      <w:r>
        <w:rPr>
          <w:rFonts w:hint="eastAsia"/>
        </w:rPr>
        <w:t>定位到元素后，可以进行丰富的交互操作：click()点击、fill()填写输入框、type()逐字模拟输入、press()模拟按键、select_option()操作下拉框、check()/uncheck()操作复选框、hover()悬停、drag_to()拖拽等。fill()</w:t>
      </w:r>
    </w:p>
    <w:p w14:paraId="3F56B1F9">
      <w:pPr>
        <w:rPr>
          <w:rFonts w:hint="eastAsia"/>
        </w:rPr>
      </w:pPr>
      <w:r>
        <w:rPr>
          <w:rFonts w:hint="eastAsia"/>
        </w:rPr>
        <w:t>是瞬间写入，type()逐字输入并支持设置延迟，后者适合需要模拟真人打字的场景。</w:t>
      </w:r>
    </w:p>
    <w:p w14:paraId="3E398348">
      <w:pPr>
        <w:rPr>
          <w:rFonts w:hint="eastAsia"/>
        </w:rPr>
      </w:pPr>
    </w:p>
    <w:p w14:paraId="7112DEB8">
      <w:pPr>
        <w:ind w:firstLine="420" w:firstLineChars="200"/>
        <w:rPr>
          <w:rFonts w:hint="eastAsia"/>
        </w:rPr>
      </w:pPr>
      <w:r>
        <w:rPr>
          <w:rFonts w:hint="eastAsia"/>
        </w:rPr>
        <w:t>等待机制是Playwright的一大亮点。执行click()、fill()等操作时，Playwright会自动等待元素附加到DOM、可见、稳定、可交互后再执行，无需手动写time.sleep()。需要显式控制时，可以用wait_for()</w:t>
      </w:r>
    </w:p>
    <w:p w14:paraId="129BE540">
      <w:pPr>
        <w:ind w:firstLine="420" w:firstLineChars="200"/>
        <w:rPr>
          <w:rFonts w:hint="eastAsia"/>
        </w:rPr>
      </w:pPr>
    </w:p>
    <w:p w14:paraId="67297278">
      <w:pPr>
        <w:ind w:firstLine="420" w:firstLineChars="200"/>
      </w:pPr>
      <w:bookmarkStart w:id="0" w:name="_GoBack"/>
      <w:bookmarkEnd w:id="0"/>
      <w:r>
        <w:rPr>
          <w:rFonts w:hint="eastAsia"/>
        </w:rPr>
        <w:t>指定等待状态（visible、hidden、detached），用wait_for_load_state()等待页面加载状态，或用count()、is_visible()等方法进行条件判断。掌握这七个部分，就已经具备了用Playwright完成大部分网页自动化操作的能力。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701ABF"/>
    <w:rsid w:val="765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2026-04-23T10:55:54Z</dcterms:created>
  <dc:creator>86136</dc:creator>
  <cp:lastModifiedBy>Y</cp:lastModifiedBy>
  <dcterms:modified xsi:type="dcterms:W3CDTF">2026-04-23T11:04:07Z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CB14461F78C5418B9C0F4B7F356DFEBB_12</vt:lpwstr>
  </property>
</Properties>
</file>