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b/>
          <w:sz w:val="30"/>
        </w:rPr>
        <w:t>HipMRI 3D Prostate Segmentation Feasibility Review</w:t>
      </w:r>
    </w:p>
    <w:p>
      <w:pPr>
        <w:spacing w:after="80"/>
        <w:jc w:val="center"/>
      </w:pPr>
      <w:r>
        <w:rPr>
          <w:i/>
          <w:sz w:val="19"/>
        </w:rPr>
        <w:t>COMP3710 Hard difficulty 3D Improved U Net with residual units and deep supervision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Dataset</w:t>
              <w:br/>
              <w:t>HipMRI 3D NIfTI volumes</w:t>
            </w:r>
          </w:p>
        </w:tc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Difficulty</w:t>
              <w:br/>
              <w:t>Hard</w:t>
            </w:r>
          </w:p>
        </w:tc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Target</w:t>
              <w:br/>
              <w:t>Prostate Dice at least 0.70</w:t>
            </w:r>
          </w:p>
        </w:tc>
      </w:tr>
      <w:tr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Baseline</w:t>
              <w:br/>
              <w:t>Plain 3D U Net</w:t>
            </w:r>
          </w:p>
        </w:tc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Proposed</w:t>
              <w:br/>
              <w:t>3D Improved U Net</w:t>
            </w:r>
          </w:p>
        </w:tc>
        <w:tc>
          <w:tcPr>
            <w:tcW w:type="dxa" w:w="3600"/>
            <w:shd w:fill="EAF2F8"/>
            <w:vAlign w:val="center"/>
          </w:tcPr>
          <w:p>
            <w:pPr>
              <w:spacing w:after="0"/>
            </w:pPr>
            <w:r>
              <w:rPr>
                <w:sz w:val="17"/>
              </w:rPr>
              <w:t>Split</w:t>
              <w:br/>
              <w:t>Patient disjoint; seed 42</w:t>
            </w:r>
          </w:p>
        </w:tc>
      </w:tr>
    </w:tbl>
    <w:p>
      <w:pPr>
        <w:spacing w:before="60" w:after="20"/>
      </w:pPr>
      <w:r>
        <w:rPr>
          <w:b/>
          <w:color w:val="1F4E79"/>
          <w:sz w:val="20"/>
        </w:rPr>
        <w:t>User need scope and decision requested</w:t>
      </w:r>
    </w:p>
    <w:p>
      <w:pPr>
        <w:spacing w:after="30" w:line="240" w:lineRule="auto"/>
      </w:pPr>
      <w:r>
        <w:rPr>
          <w:sz w:val="18"/>
        </w:rPr>
        <w:t>A radiotherapy contouring specialist needs a reviewable 3D draft of prostate and organ-at-risk boundaries. The engineering question is whether volumetric context, residual units and deep supervision reduce apex, base, cross-slice discontinuity and bladder or rectum boundary errors enough to justify higher GPU memory and runtime. I request confirmation that this Hard HipMRI 3D scope and resource plan are appropriate before full training.</w:t>
      </w:r>
    </w:p>
    <w:p>
      <w:pPr>
        <w:spacing w:before="60" w:after="20"/>
      </w:pPr>
      <w:r>
        <w:rPr>
          <w:b/>
          <w:color w:val="1F4E79"/>
          <w:sz w:val="20"/>
        </w:rPr>
        <w:t>Method and acceptance criteria</w:t>
      </w:r>
    </w:p>
    <w:p>
      <w:pPr>
        <w:spacing w:after="30" w:line="240" w:lineRule="auto"/>
      </w:pPr>
      <w:r>
        <w:rPr>
          <w:sz w:val="18"/>
        </w:rPr>
        <w:t>The comparison uses a plain 3D U-Net baseline and a 3D Improved U-Net with volumetric residual units and decoder deep supervision. Both use one saved patient-level train, validation and test manifest. Acceptance evidence is: zero patient overlap; aligned NIfTI image-mask volumes; held-out prostate Dice at least 0.70; per-class Dice/IoU, peak VRAM and per-patient inference time; and 3-5 real failure cases with false-positive and false-negative overlays.</w:t>
      </w:r>
    </w:p>
    <w:p>
      <w:pPr>
        <w:spacing w:before="60" w:after="20"/>
      </w:pPr>
      <w:r>
        <w:rPr>
          <w:b/>
          <w:color w:val="1F4E79"/>
          <w:sz w:val="20"/>
        </w:rPr>
        <w:t>Preliminary feasibility evidence</w:t>
      </w:r>
    </w:p>
    <w:p>
      <w:pPr>
        <w:spacing w:after="30" w:line="240" w:lineRule="auto"/>
      </w:pPr>
      <w:r>
        <w:rPr>
          <w:sz w:val="18"/>
        </w:rPr>
        <w:t>Local synthetic-NIfTI tests currently verify recursive image-mask pairing, missing-pair rejection, 3D shape and affine validation, deterministic patient-disjoint splitting, finite 3D forward/backward passes, residual deep-supervision outputs, validation-only checkpoint selection and held-out metric fields. This establishes the software path only. HipMRI data audit, GPU smoke measurement and final Dice values are not yet claimed.</w:t>
      </w:r>
    </w:p>
    <w:p>
      <w:pPr>
        <w:spacing w:before="60" w:after="20"/>
      </w:pPr>
      <w:r>
        <w:rPr>
          <w:b/>
          <w:color w:val="1F4E79"/>
          <w:sz w:val="20"/>
        </w:rPr>
        <w:t>Risks budget and fallback</w:t>
      </w:r>
    </w:p>
    <w:p>
      <w:pPr>
        <w:spacing w:after="30" w:line="240" w:lineRule="auto"/>
      </w:pPr>
      <w:r>
        <w:rPr>
          <w:sz w:val="18"/>
        </w:rPr>
        <w:t>Main risks are 3D volume memory demand, small foreground regions, NIfTI orientation errors, slow I/O and failed cluster jobs. The next experiment is a short Rangpur GPU smoke run on audited volumes to set patch geometry, batch size and mixed-precision settings, followed by matched Slurm runs. If the improved model does not improve real held-out boundary failures at acceptable cost, the plain 3D U-Net remains the fallback recommendation.</w:t>
      </w:r>
    </w:p>
    <w:p>
      <w:pPr>
        <w:spacing w:before="60" w:after="20"/>
      </w:pPr>
      <w:r>
        <w:rPr>
          <w:b/>
          <w:color w:val="1F4E79"/>
          <w:sz w:val="20"/>
        </w:rPr>
        <w:t>Questions for tutor confirmation</w:t>
      </w:r>
    </w:p>
    <w:p>
      <w:pPr>
        <w:spacing w:after="30" w:line="240" w:lineRule="auto"/>
      </w:pPr>
      <w:r>
        <w:rPr>
          <w:sz w:val="18"/>
        </w:rPr>
        <w:t>1. Confirm the Hard HipMRI 3D Improved U-Net scope and patient-level evaluation protocol.  2. Confirm whether the prostate Dice &gt;= 0.70 target is assessed with background reported separately.  3. Confirm the expected GPU budget, patch strategy and midpoint evidence required before full training.</w:t>
      </w:r>
    </w:p>
    <w:sectPr w:rsidR="00FC693F" w:rsidRPr="0006063C" w:rsidSect="00034616">
      <w:footerReference w:type="default" r:id="rId9"/>
      <w:pgSz w:w="12240" w:h="15840"/>
      <w:pgMar w:top="518" w:right="720" w:bottom="51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4"/>
      </w:rPr>
      <w:t>Prepared from the COMP3710 project brief and local implementation checks. Tutor confirmation remains required.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