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0"/>
        </w:rPr>
        <w:t>COMP3710 OASIS Brain Analysis Feasibility Review</w:t>
      </w:r>
    </w:p>
    <w:p>
      <w:pPr>
        <w:spacing w:after="100"/>
        <w:jc w:val="center"/>
      </w:pPr>
      <w:r>
        <w:rPr>
          <w:i/>
          <w:sz w:val="20"/>
        </w:rPr>
        <w:t>Current implemented module: baseline versus improved 2D U-Net tissue segmentation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557"/>
            <w:shd w:fill="EAF2F8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Dataset audit</w:t>
              <w:br/>
              <w:t>11,328 pairs; 354 subjects</w:t>
            </w:r>
          </w:p>
        </w:tc>
        <w:tc>
          <w:tcPr>
            <w:tcW w:type="dxa" w:w="3557"/>
            <w:shd w:fill="EAF2F8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Geometry</w:t>
              <w:br/>
              <w:t>256 x 256 for every pair</w:t>
            </w:r>
          </w:p>
        </w:tc>
        <w:tc>
          <w:tcPr>
            <w:tcW w:type="dxa" w:w="3557"/>
            <w:shd w:fill="EAF2F8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Labels</w:t>
              <w:br/>
              <w:t>0/85/170/255 mapped to 0-3</w:t>
            </w:r>
          </w:p>
        </w:tc>
      </w:tr>
      <w:tr>
        <w:tc>
          <w:tcPr>
            <w:tcW w:type="dxa" w:w="3557"/>
            <w:shd w:fill="EAF2F8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Split protocol</w:t>
              <w:br/>
              <w:t>Seed 42; subject-disjoint</w:t>
            </w:r>
          </w:p>
        </w:tc>
        <w:tc>
          <w:tcPr>
            <w:tcW w:type="dxa" w:w="3557"/>
            <w:shd w:fill="EAF2F8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Smoke test</w:t>
              <w:br/>
              <w:t>Baseline, 1 epoch, 8 cases/split</w:t>
            </w:r>
          </w:p>
        </w:tc>
        <w:tc>
          <w:tcPr>
            <w:tcW w:type="dxa" w:w="3557"/>
            <w:shd w:fill="EAF2F8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Consultation status</w:t>
              <w:br/>
              <w:t>Tutor check-off not yet recorded</w:t>
            </w:r>
          </w:p>
        </w:tc>
      </w:tr>
    </w:tbl>
    <w:p>
      <w:pPr>
        <w:spacing w:before="80" w:after="20"/>
      </w:pPr>
      <w:r>
        <w:rPr>
          <w:b/>
          <w:color w:val="1F4E79"/>
          <w:sz w:val="20"/>
        </w:rPr>
        <w:t>Purpose and decision requested</w:t>
      </w:r>
    </w:p>
    <w:p>
      <w:pPr>
        <w:spacing w:after="30" w:line="240" w:lineRule="auto"/>
      </w:pPr>
      <w:r>
        <w:rPr>
          <w:sz w:val="18"/>
        </w:rPr>
        <w:t>Research question: on the same subject-disjoint held-out set, can residual encoding, attention-gated skips and dropout improve class-wise tissue segmentation enough to justify their resource cost? I request confirmation that the Easy-difficulty scope and acceptance criteria are appropriate before full training.</w:t>
      </w:r>
    </w:p>
    <w:p>
      <w:pPr>
        <w:spacing w:before="80" w:after="20"/>
      </w:pPr>
      <w:r>
        <w:rPr>
          <w:b/>
          <w:color w:val="1F4E79"/>
          <w:sz w:val="20"/>
        </w:rPr>
        <w:t>Method and acceptance criteria</w:t>
      </w:r>
    </w:p>
    <w:p>
      <w:pPr>
        <w:spacing w:after="30" w:line="240" w:lineRule="auto"/>
      </w:pPr>
      <w:r>
        <w:rPr>
          <w:sz w:val="18"/>
        </w:rPr>
        <w:t>Both models will use the same saved seed-42 subject-level manifest. The baseline is a plain 2D U-Net; the proposed model adds residual encoding, attention-gated skips and bottleneck dropout. Acceptance evidence: no subject overlap; four-class logits; class-wise held-out Dice/IoU; parameter, VRAM and inference records; and 3-5 ranked FP/FN failure panels. The course target is Dice &gt;= 0.90 per tissue label.</w:t>
      </w:r>
    </w:p>
    <w:p>
      <w:pPr>
        <w:spacing w:before="80" w:after="20"/>
      </w:pPr>
      <w:r>
        <w:rPr>
          <w:b/>
          <w:color w:val="1F4E79"/>
          <w:sz w:val="20"/>
        </w:rPr>
        <w:t>Verified local evidence</w:t>
      </w:r>
    </w:p>
    <w:p>
      <w:pPr>
        <w:spacing w:after="30" w:line="240" w:lineRule="auto"/>
      </w:pPr>
      <w:r>
        <w:rPr>
          <w:sz w:val="18"/>
        </w:rPr>
        <w:t>Read-only audit of the local source found 11,328 aligned image/mask pairs from 354 subjects. Every pair is 256 x 256. The four observed raw codes (0, 85, 170 and 255) map unambiguously to classes 0-3. Four deterministic audit samples were saved. Unit tests cover nested pairing, subject allocation, encoded-label remapping, and the audit manifest.</w:t>
      </w:r>
    </w:p>
    <w:p>
      <w:pPr>
        <w:spacing w:before="80" w:after="20"/>
      </w:pPr>
      <w:r>
        <w:rPr>
          <w:b/>
          <w:color w:val="1F4E79"/>
          <w:sz w:val="20"/>
        </w:rPr>
        <w:t>Smoke run: evidence of execution, not model quality</w:t>
      </w:r>
    </w:p>
    <w:p>
      <w:pPr>
        <w:spacing w:after="30" w:line="240" w:lineRule="auto"/>
      </w:pPr>
      <w:r>
        <w:rPr>
          <w:sz w:val="18"/>
        </w:rPr>
        <w:t>A local GPU baseline smoke run recorded PyTorch 2.11.0+cu128 on cuda: one epoch, 8 held-out cases, 1,927,940 trainable parameters, 0.088 s inference, and 284.6 MB peak VRAM. Held-out mean Dice = 0.0182; mean IoU = 0.0094. These deliberately small-run values validate the pipeline and failure-reporting route only; they do not support a performance claim.</w:t>
      </w:r>
    </w:p>
    <w:p>
      <w:pPr>
        <w:spacing w:before="80" w:after="20"/>
      </w:pPr>
      <w:r>
        <w:rPr>
          <w:b/>
          <w:color w:val="1F4E79"/>
          <w:sz w:val="20"/>
        </w:rPr>
        <w:t>Risks, budget and fallback</w:t>
      </w:r>
    </w:p>
    <w:p>
      <w:pPr>
        <w:spacing w:after="30" w:line="240" w:lineRule="auto"/>
      </w:pPr>
      <w:r>
        <w:rPr>
          <w:sz w:val="18"/>
        </w:rPr>
        <w:t>Risks: label imbalance, memory demand, thin tissue boundaries and a high mean masking class failures. Budget: train baseline and improved models on the identical full manifest; preserve checkpoints, learning curves, JSON metrics and 3-5 failure panels. Fallback: retain the simpler baseline if the improved model does not show a class-wise and qualitative benefit at acceptable resource cost.</w:t>
      </w:r>
    </w:p>
    <w:p>
      <w:pPr>
        <w:spacing w:before="80" w:after="20"/>
      </w:pPr>
      <w:r>
        <w:rPr>
          <w:b/>
          <w:color w:val="1F4E79"/>
          <w:sz w:val="20"/>
        </w:rPr>
        <w:t>Questions for tutor confirmation</w:t>
      </w:r>
    </w:p>
    <w:p>
      <w:pPr>
        <w:spacing w:after="40" w:line="240" w:lineRule="auto"/>
        <w:ind w:left="115" w:hanging="115"/>
      </w:pPr>
      <w:r>
        <w:rPr>
          <w:b/>
          <w:sz w:val="18"/>
        </w:rPr>
        <w:t xml:space="preserve">1. </w:t>
      </w:r>
      <w:r>
        <w:rPr>
          <w:sz w:val="18"/>
        </w:rPr>
        <w:t>Confirm the Easy scope and the four-class 2D OASIS target.</w:t>
      </w:r>
    </w:p>
    <w:p>
      <w:pPr>
        <w:spacing w:after="40" w:line="240" w:lineRule="auto"/>
        <w:ind w:left="115" w:hanging="115"/>
      </w:pPr>
      <w:r>
        <w:rPr>
          <w:b/>
          <w:sz w:val="18"/>
        </w:rPr>
        <w:t xml:space="preserve">2. </w:t>
      </w:r>
      <w:r>
        <w:rPr>
          <w:sz w:val="18"/>
        </w:rPr>
        <w:t>Confirm Dice &gt;= 0.90 per label as the evaluation target and whether background is reported separately.</w:t>
      </w:r>
    </w:p>
    <w:p>
      <w:pPr>
        <w:spacing w:after="40" w:line="240" w:lineRule="auto"/>
        <w:ind w:left="115" w:hanging="115"/>
      </w:pPr>
      <w:r>
        <w:rPr>
          <w:b/>
          <w:sz w:val="18"/>
        </w:rPr>
        <w:t xml:space="preserve">3. </w:t>
      </w:r>
      <w:r>
        <w:rPr>
          <w:sz w:val="18"/>
        </w:rPr>
        <w:t>Confirm the required training budget and acceptable evidence for the midpoint record.</w:t>
      </w:r>
    </w:p>
    <w:sectPr w:rsidR="00FC693F" w:rsidRPr="0006063C" w:rsidSect="00034616">
      <w:footerReference w:type="default" r:id="rId9"/>
      <w:pgSz w:w="12240" w:h="15840"/>
      <w:pgMar w:top="547" w:right="720" w:bottom="54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>Prepared from local audit and smoke artifacts. Tutor confirmation remains an external requirement.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