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C17" w:rsidRDefault="00187C17"/>
    <w:p w:rsidR="00187C17" w:rsidRDefault="00187C17">
      <w:pPr>
        <w:rPr>
          <w:b/>
          <w:sz w:val="28"/>
          <w:szCs w:val="28"/>
        </w:rPr>
      </w:pPr>
      <w:r>
        <w:rPr>
          <w:b/>
          <w:sz w:val="28"/>
          <w:szCs w:val="28"/>
        </w:rPr>
        <w:t>Position Available – National Center for Smart Growth</w:t>
      </w:r>
    </w:p>
    <w:p w:rsidR="00552220" w:rsidRDefault="00552220">
      <w:pPr>
        <w:rPr>
          <w:b/>
          <w:sz w:val="28"/>
          <w:szCs w:val="28"/>
        </w:rPr>
      </w:pPr>
    </w:p>
    <w:p w:rsidR="00552220" w:rsidRPr="00187C17" w:rsidRDefault="00552220">
      <w:pPr>
        <w:rPr>
          <w:b/>
          <w:sz w:val="28"/>
          <w:szCs w:val="28"/>
        </w:rPr>
      </w:pPr>
      <w:r>
        <w:rPr>
          <w:b/>
          <w:sz w:val="28"/>
          <w:szCs w:val="28"/>
        </w:rPr>
        <w:t>To apply copy the link below into your browser and go to</w:t>
      </w:r>
      <w:bookmarkStart w:id="0" w:name="_GoBack"/>
      <w:bookmarkEnd w:id="0"/>
      <w:r>
        <w:rPr>
          <w:b/>
          <w:sz w:val="28"/>
          <w:szCs w:val="28"/>
        </w:rPr>
        <w:t xml:space="preserve">: </w:t>
      </w:r>
    </w:p>
    <w:p w:rsidR="00187C17" w:rsidRDefault="00187C17">
      <w:hyperlink r:id="rId5" w:history="1">
        <w:r w:rsidRPr="00FB12AC">
          <w:rPr>
            <w:rStyle w:val="Hyperlink"/>
          </w:rPr>
          <w:t>https://ejobs.umd.edu/postings/5</w:t>
        </w:r>
        <w:r w:rsidRPr="00FB12AC">
          <w:rPr>
            <w:rStyle w:val="Hyperlink"/>
          </w:rPr>
          <w:t>8</w:t>
        </w:r>
        <w:r w:rsidRPr="00FB12AC">
          <w:rPr>
            <w:rStyle w:val="Hyperlink"/>
          </w:rPr>
          <w:t>982</w:t>
        </w:r>
      </w:hyperlink>
    </w:p>
    <w:p w:rsidR="00187C17" w:rsidRDefault="00187C17"/>
    <w:tbl>
      <w:tblPr>
        <w:tblW w:w="9735" w:type="dxa"/>
        <w:tblCellSpacing w:w="15" w:type="dxa"/>
        <w:tblCellMar>
          <w:top w:w="15" w:type="dxa"/>
          <w:left w:w="15" w:type="dxa"/>
          <w:bottom w:w="15" w:type="dxa"/>
          <w:right w:w="15" w:type="dxa"/>
        </w:tblCellMar>
        <w:tblLook w:val="04A0" w:firstRow="1" w:lastRow="0" w:firstColumn="1" w:lastColumn="0" w:noHBand="0" w:noVBand="1"/>
      </w:tblPr>
      <w:tblGrid>
        <w:gridCol w:w="2295"/>
        <w:gridCol w:w="7440"/>
      </w:tblGrid>
      <w:tr w:rsidR="00FB7B9C" w:rsidRPr="00FB7B9C" w:rsidTr="00FB7B9C">
        <w:trPr>
          <w:gridAfter w:val="1"/>
          <w:tblCellSpacing w:w="15" w:type="dxa"/>
        </w:trPr>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after="0" w:line="264"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c>
          <w:tcPr>
            <w:tcW w:w="0" w:type="auto"/>
            <w:shd w:val="clear" w:color="auto" w:fill="EFEFEF"/>
            <w:tcMar>
              <w:top w:w="120" w:type="dxa"/>
              <w:left w:w="120" w:type="dxa"/>
              <w:bottom w:w="120" w:type="dxa"/>
              <w:right w:w="120" w:type="dxa"/>
            </w:tcMar>
            <w:vAlign w:val="center"/>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Position Summary/Purpose of Position:</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The National Center for Smart Growth (NCSG) at the University of Maryland seeks a qualified analyst with a solid background in regional sustainability planning, transportation analysis and travel demand modelling. Primary responsibilities include advancing the Prospects for Regional Sustainability </w:t>
            </w:r>
            <w:r w:rsidRPr="00FB7B9C">
              <w:rPr>
                <w:rFonts w:ascii="Arial" w:eastAsia="Times New Roman" w:hAnsi="Arial" w:cs="Arial"/>
                <w:sz w:val="24"/>
                <w:szCs w:val="24"/>
              </w:rPr>
              <w:br/>
              <w:t>Tomorrow (PRESTO) project. Developed with support from the Town Creek Foundation, PRESTO deploys an advanced suite of integrated models to develop and explore alternative futures for the region. With these powerful tools, PRESTO</w:t>
            </w:r>
            <w:r w:rsidR="00552220">
              <w:rPr>
                <w:rFonts w:ascii="Arial" w:eastAsia="Times New Roman" w:hAnsi="Arial" w:cs="Arial"/>
                <w:sz w:val="24"/>
                <w:szCs w:val="24"/>
              </w:rPr>
              <w:t xml:space="preserve"> </w:t>
            </w:r>
            <w:r w:rsidRPr="00FB7B9C">
              <w:rPr>
                <w:rFonts w:ascii="Arial" w:eastAsia="Times New Roman" w:hAnsi="Arial" w:cs="Arial"/>
                <w:sz w:val="24"/>
                <w:szCs w:val="24"/>
              </w:rPr>
              <w:t>facilitates a rigorous exploration of how external driving forces could shape the future of the region and affect quality of life, including:</w:t>
            </w:r>
            <w:r w:rsidRPr="00FB7B9C">
              <w:rPr>
                <w:rFonts w:ascii="Arial" w:eastAsia="Times New Roman" w:hAnsi="Arial" w:cs="Arial"/>
                <w:sz w:val="24"/>
                <w:szCs w:val="24"/>
              </w:rPr>
              <w:br/>
              <w:t>• Job growth</w:t>
            </w:r>
            <w:r w:rsidRPr="00FB7B9C">
              <w:rPr>
                <w:rFonts w:ascii="Arial" w:eastAsia="Times New Roman" w:hAnsi="Arial" w:cs="Arial"/>
                <w:sz w:val="24"/>
                <w:szCs w:val="24"/>
              </w:rPr>
              <w:br/>
              <w:t>• Housing prices</w:t>
            </w:r>
            <w:r w:rsidRPr="00FB7B9C">
              <w:rPr>
                <w:rFonts w:ascii="Arial" w:eastAsia="Times New Roman" w:hAnsi="Arial" w:cs="Arial"/>
                <w:sz w:val="24"/>
                <w:szCs w:val="24"/>
              </w:rPr>
              <w:br/>
              <w:t>• Housing growth</w:t>
            </w:r>
            <w:r w:rsidRPr="00FB7B9C">
              <w:rPr>
                <w:rFonts w:ascii="Arial" w:eastAsia="Times New Roman" w:hAnsi="Arial" w:cs="Arial"/>
                <w:sz w:val="24"/>
                <w:szCs w:val="24"/>
              </w:rPr>
              <w:br/>
              <w:t>• Emissions and air quality</w:t>
            </w:r>
            <w:r w:rsidRPr="00FB7B9C">
              <w:rPr>
                <w:rFonts w:ascii="Arial" w:eastAsia="Times New Roman" w:hAnsi="Arial" w:cs="Arial"/>
                <w:sz w:val="24"/>
                <w:szCs w:val="24"/>
              </w:rPr>
              <w:br/>
              <w:t>• Traffic congestion</w:t>
            </w:r>
            <w:r w:rsidRPr="00FB7B9C">
              <w:rPr>
                <w:rFonts w:ascii="Arial" w:eastAsia="Times New Roman" w:hAnsi="Arial" w:cs="Arial"/>
                <w:sz w:val="24"/>
                <w:szCs w:val="24"/>
              </w:rPr>
              <w:br/>
              <w:t>• Nutrient loading into the Chesapeake Bay</w:t>
            </w:r>
            <w:r w:rsidRPr="00FB7B9C">
              <w:rPr>
                <w:rFonts w:ascii="Arial" w:eastAsia="Times New Roman" w:hAnsi="Arial" w:cs="Arial"/>
                <w:sz w:val="24"/>
                <w:szCs w:val="24"/>
              </w:rPr>
              <w:br/>
              <w:t>• Transit ridership</w:t>
            </w:r>
            <w:r w:rsidRPr="00FB7B9C">
              <w:rPr>
                <w:rFonts w:ascii="Arial" w:eastAsia="Times New Roman" w:hAnsi="Arial" w:cs="Arial"/>
                <w:sz w:val="24"/>
                <w:szCs w:val="24"/>
              </w:rPr>
              <w:br/>
              <w:t>• Forests and farmlands</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lastRenderedPageBreak/>
              <w:t>The NCSG has an innovative multi-disciplinary working environment with staff expertise in the areas of travel forecasting, land use planning, land use forecasting, economics, GIS and statistical analysis. The selected applicant will exercise the integrated modeling suite in order to test policies for promoting sustainability across the four PRESTO scenarios. Duties will additionally include the integration of two additional models addressing public health and water quality into the modeling suite. The successful application may also exercise individual modeling components in sensitivity analysis.</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The position includes interaction with the School of Architecture, Planning, and Preservation, the University of Maryland Center for Environmental Science, and School of Public Health at the University of Maryland.</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lastRenderedPageBreak/>
              <w:t>Minimum Qualifications:</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Possession of a Masters or higher degree from an accredited college or university in regional planning, transportation planning, civil engineering, computer science, geography, or related field.</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Two years regional modeling or transportation modeling experience in professional level work.</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Experience as a graduate research assistant may be substituted on a year-for-year basis for the required professional experience.</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Expertise in demand modeling, econometric modeling, integrated transportation and land use models are skills of particular interest</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This position is funded through the summer of 2018. Continuation is contingent upon new commitment of funds. The project sponsor has indicated that continuation is very likely.</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Preferences:</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Knowledge of geospatial information systems required, ArcGIS preferred.</w:t>
            </w:r>
            <w:r w:rsidRPr="00FB7B9C">
              <w:rPr>
                <w:rFonts w:ascii="Arial" w:eastAsia="Times New Roman" w:hAnsi="Arial" w:cs="Arial"/>
                <w:sz w:val="24"/>
                <w:szCs w:val="24"/>
              </w:rPr>
              <w:br/>
              <w:t>Knowledge of ArcGIS model builder a plus.</w:t>
            </w:r>
            <w:r w:rsidRPr="00FB7B9C">
              <w:rPr>
                <w:rFonts w:ascii="Arial" w:eastAsia="Times New Roman" w:hAnsi="Arial" w:cs="Arial"/>
                <w:sz w:val="24"/>
                <w:szCs w:val="24"/>
              </w:rPr>
              <w:br/>
              <w:t>Knowledge of R programming language strongly desired.</w:t>
            </w:r>
            <w:r w:rsidRPr="00FB7B9C">
              <w:rPr>
                <w:rFonts w:ascii="Arial" w:eastAsia="Times New Roman" w:hAnsi="Arial" w:cs="Arial"/>
                <w:sz w:val="24"/>
                <w:szCs w:val="24"/>
              </w:rPr>
              <w:br/>
              <w:t>Knowledge of Python programming language a plus.</w:t>
            </w:r>
            <w:r w:rsidRPr="00FB7B9C">
              <w:rPr>
                <w:rFonts w:ascii="Arial" w:eastAsia="Times New Roman" w:hAnsi="Arial" w:cs="Arial"/>
                <w:sz w:val="24"/>
                <w:szCs w:val="24"/>
              </w:rPr>
              <w:br/>
              <w:t>Knowledge of Java programming language a plus.</w:t>
            </w:r>
            <w:r w:rsidRPr="00FB7B9C">
              <w:rPr>
                <w:rFonts w:ascii="Arial" w:eastAsia="Times New Roman" w:hAnsi="Arial" w:cs="Arial"/>
                <w:sz w:val="24"/>
                <w:szCs w:val="24"/>
              </w:rPr>
              <w:br/>
              <w:t>Knowledge of CUBE software a plus.</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Additional Certifications:</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lastRenderedPageBreak/>
              <w:t>Additional Information:</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 xml:space="preserve">This position is funded through the summer of 2018. Continuation after the summer is contingent upon new commitment of funds. The project sponsor </w:t>
            </w:r>
            <w:r w:rsidR="00762902">
              <w:rPr>
                <w:rFonts w:ascii="Arial" w:eastAsia="Times New Roman" w:hAnsi="Arial" w:cs="Arial"/>
                <w:sz w:val="24"/>
                <w:szCs w:val="24"/>
              </w:rPr>
              <w:t xml:space="preserve">indicates </w:t>
            </w:r>
            <w:r w:rsidRPr="00FB7B9C">
              <w:rPr>
                <w:rFonts w:ascii="Arial" w:eastAsia="Times New Roman" w:hAnsi="Arial" w:cs="Arial"/>
                <w:sz w:val="24"/>
                <w:szCs w:val="24"/>
              </w:rPr>
              <w:t>that continuation is highly likely.</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In addition to the required information, applications must provide a description of one or two major travel, land use, land cover, or environmental forecasting projects worked on. Limit two pages total attached as supplemental document 1.</w:t>
            </w:r>
          </w:p>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Please provide the names and contact information of three references.</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Posting Date:</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rPr>
                <w:rFonts w:ascii="Arial" w:eastAsia="Times New Roman" w:hAnsi="Arial" w:cs="Arial"/>
                <w:sz w:val="24"/>
                <w:szCs w:val="24"/>
              </w:rPr>
            </w:pPr>
            <w:r w:rsidRPr="00FB7B9C">
              <w:rPr>
                <w:rFonts w:ascii="Arial" w:eastAsia="Times New Roman" w:hAnsi="Arial" w:cs="Arial"/>
                <w:sz w:val="24"/>
                <w:szCs w:val="24"/>
              </w:rPr>
              <w:t>03/30/2018</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Closing Date:</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rPr>
                <w:rFonts w:ascii="Arial" w:eastAsia="Times New Roman" w:hAnsi="Arial" w:cs="Arial"/>
                <w:sz w:val="24"/>
                <w:szCs w:val="24"/>
              </w:rPr>
            </w:pPr>
            <w:r w:rsidRPr="00FB7B9C">
              <w:rPr>
                <w:rFonts w:ascii="Arial" w:eastAsia="Times New Roman" w:hAnsi="Arial" w:cs="Arial"/>
                <w:sz w:val="24"/>
                <w:szCs w:val="24"/>
              </w:rPr>
              <w:t>04/22/2018</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Open Until Filled</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rPr>
                <w:rFonts w:ascii="Arial" w:eastAsia="Times New Roman" w:hAnsi="Arial" w:cs="Arial"/>
                <w:sz w:val="24"/>
                <w:szCs w:val="24"/>
              </w:rPr>
            </w:pPr>
            <w:r w:rsidRPr="00FB7B9C">
              <w:rPr>
                <w:rFonts w:ascii="Arial" w:eastAsia="Times New Roman" w:hAnsi="Arial" w:cs="Arial"/>
                <w:sz w:val="24"/>
                <w:szCs w:val="24"/>
              </w:rPr>
              <w:t>No</w:t>
            </w: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Best Consideration Date</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Physical Demands</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p>
        </w:tc>
      </w:tr>
      <w:tr w:rsidR="00FB7B9C" w:rsidRPr="00FB7B9C" w:rsidTr="00FB7B9C">
        <w:trPr>
          <w:tblCellSpacing w:w="15" w:type="dxa"/>
        </w:trPr>
        <w:tc>
          <w:tcPr>
            <w:tcW w:w="2250" w:type="dxa"/>
            <w:shd w:val="clear" w:color="auto" w:fill="DDDDDD"/>
            <w:tcMar>
              <w:top w:w="120" w:type="dxa"/>
              <w:left w:w="120" w:type="dxa"/>
              <w:bottom w:w="120" w:type="dxa"/>
              <w:right w:w="120" w:type="dxa"/>
            </w:tcMar>
            <w:vAlign w:val="center"/>
            <w:hideMark/>
          </w:tcPr>
          <w:p w:rsidR="00FB7B9C" w:rsidRPr="00FB7B9C" w:rsidRDefault="00FB7B9C" w:rsidP="00FB7B9C">
            <w:pPr>
              <w:spacing w:after="0" w:line="264" w:lineRule="atLeast"/>
              <w:jc w:val="center"/>
              <w:rPr>
                <w:rFonts w:ascii="Times New Roman" w:eastAsia="Times New Roman" w:hAnsi="Times New Roman" w:cs="Times New Roman"/>
                <w:b/>
                <w:bCs/>
                <w:sz w:val="24"/>
                <w:szCs w:val="24"/>
              </w:rPr>
            </w:pPr>
            <w:r w:rsidRPr="00FB7B9C">
              <w:rPr>
                <w:rFonts w:ascii="Times New Roman" w:eastAsia="Times New Roman" w:hAnsi="Times New Roman" w:cs="Times New Roman"/>
                <w:b/>
                <w:bCs/>
                <w:sz w:val="24"/>
                <w:szCs w:val="24"/>
              </w:rPr>
              <w:t>Diversity Statement:</w:t>
            </w:r>
          </w:p>
        </w:tc>
        <w:tc>
          <w:tcPr>
            <w:tcW w:w="0" w:type="auto"/>
            <w:shd w:val="clear" w:color="auto" w:fill="EFEFEF"/>
            <w:tcMar>
              <w:top w:w="120" w:type="dxa"/>
              <w:left w:w="120" w:type="dxa"/>
              <w:bottom w:w="120" w:type="dxa"/>
              <w:right w:w="120" w:type="dxa"/>
            </w:tcMar>
            <w:vAlign w:val="center"/>
            <w:hideMark/>
          </w:tcPr>
          <w:p w:rsidR="00FB7B9C" w:rsidRPr="00FB7B9C" w:rsidRDefault="00FB7B9C" w:rsidP="00FB7B9C">
            <w:pPr>
              <w:spacing w:before="100" w:beforeAutospacing="1" w:after="100" w:afterAutospacing="1" w:line="272" w:lineRule="atLeast"/>
              <w:rPr>
                <w:rFonts w:ascii="Arial" w:eastAsia="Times New Roman" w:hAnsi="Arial" w:cs="Arial"/>
                <w:sz w:val="24"/>
                <w:szCs w:val="24"/>
              </w:rPr>
            </w:pPr>
            <w:r w:rsidRPr="00FB7B9C">
              <w:rPr>
                <w:rFonts w:ascii="Arial" w:eastAsia="Times New Roman" w:hAnsi="Arial" w:cs="Arial"/>
                <w:sz w:val="24"/>
                <w:szCs w:val="24"/>
              </w:rPr>
              <w:t>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w:t>
            </w:r>
          </w:p>
        </w:tc>
      </w:tr>
    </w:tbl>
    <w:p w:rsidR="00FB7B9C" w:rsidRPr="00FB7B9C" w:rsidRDefault="00FB7B9C" w:rsidP="00FB7B9C">
      <w:pPr>
        <w:pBdr>
          <w:bottom w:val="single" w:sz="6" w:space="4" w:color="AAAAAA"/>
        </w:pBdr>
        <w:spacing w:before="100" w:beforeAutospacing="1" w:after="210" w:line="240" w:lineRule="auto"/>
        <w:outlineLvl w:val="1"/>
        <w:rPr>
          <w:rFonts w:ascii="Arial" w:eastAsia="Times New Roman" w:hAnsi="Arial" w:cs="Arial"/>
          <w:b/>
          <w:bCs/>
          <w:color w:val="000000"/>
          <w:sz w:val="34"/>
          <w:szCs w:val="34"/>
        </w:rPr>
      </w:pPr>
      <w:r w:rsidRPr="00FB7B9C">
        <w:rPr>
          <w:rFonts w:ascii="Arial" w:eastAsia="Times New Roman" w:hAnsi="Arial" w:cs="Arial"/>
          <w:b/>
          <w:bCs/>
          <w:color w:val="000000"/>
          <w:sz w:val="34"/>
          <w:szCs w:val="34"/>
        </w:rPr>
        <w:t>Applicant Documents</w:t>
      </w:r>
    </w:p>
    <w:p w:rsidR="00FB7B9C" w:rsidRPr="00FB7B9C" w:rsidRDefault="00FB7B9C" w:rsidP="00FB7B9C">
      <w:pPr>
        <w:spacing w:after="0" w:line="240" w:lineRule="auto"/>
        <w:rPr>
          <w:rFonts w:ascii="Arial" w:eastAsia="Times New Roman" w:hAnsi="Arial" w:cs="Arial"/>
          <w:color w:val="000000"/>
          <w:sz w:val="18"/>
          <w:szCs w:val="18"/>
        </w:rPr>
      </w:pPr>
      <w:r w:rsidRPr="00FB7B9C">
        <w:rPr>
          <w:rFonts w:ascii="Arial" w:eastAsia="Times New Roman" w:hAnsi="Arial" w:cs="Arial"/>
          <w:b/>
          <w:bCs/>
          <w:color w:val="000000"/>
          <w:sz w:val="18"/>
          <w:szCs w:val="18"/>
        </w:rPr>
        <w:t>Required Documents</w:t>
      </w:r>
    </w:p>
    <w:p w:rsidR="00FB7B9C" w:rsidRPr="00FB7B9C" w:rsidRDefault="00FB7B9C" w:rsidP="00FB7B9C">
      <w:pPr>
        <w:numPr>
          <w:ilvl w:val="0"/>
          <w:numId w:val="1"/>
        </w:numPr>
        <w:spacing w:before="100" w:beforeAutospacing="1" w:after="100" w:afterAutospacing="1" w:line="240" w:lineRule="auto"/>
        <w:ind w:left="225"/>
        <w:rPr>
          <w:rFonts w:ascii="Arial" w:eastAsia="Times New Roman" w:hAnsi="Arial" w:cs="Arial"/>
          <w:color w:val="000000"/>
          <w:sz w:val="18"/>
          <w:szCs w:val="18"/>
        </w:rPr>
      </w:pPr>
      <w:r w:rsidRPr="00FB7B9C">
        <w:rPr>
          <w:rFonts w:ascii="Arial" w:eastAsia="Times New Roman" w:hAnsi="Arial" w:cs="Arial"/>
          <w:color w:val="000000"/>
          <w:sz w:val="18"/>
          <w:szCs w:val="18"/>
        </w:rPr>
        <w:t>Resume</w:t>
      </w:r>
    </w:p>
    <w:p w:rsidR="00FB7B9C" w:rsidRPr="00FB7B9C" w:rsidRDefault="00FB7B9C" w:rsidP="00FB7B9C">
      <w:pPr>
        <w:numPr>
          <w:ilvl w:val="0"/>
          <w:numId w:val="1"/>
        </w:numPr>
        <w:spacing w:before="100" w:beforeAutospacing="1" w:after="100" w:afterAutospacing="1" w:line="240" w:lineRule="auto"/>
        <w:ind w:left="225"/>
        <w:rPr>
          <w:rFonts w:ascii="Arial" w:eastAsia="Times New Roman" w:hAnsi="Arial" w:cs="Arial"/>
          <w:color w:val="000000"/>
          <w:sz w:val="18"/>
          <w:szCs w:val="18"/>
        </w:rPr>
      </w:pPr>
      <w:r w:rsidRPr="00FB7B9C">
        <w:rPr>
          <w:rFonts w:ascii="Arial" w:eastAsia="Times New Roman" w:hAnsi="Arial" w:cs="Arial"/>
          <w:color w:val="000000"/>
          <w:sz w:val="18"/>
          <w:szCs w:val="18"/>
        </w:rPr>
        <w:t>Cover Letter</w:t>
      </w:r>
    </w:p>
    <w:p w:rsidR="00FB7B9C" w:rsidRPr="00FB7B9C" w:rsidRDefault="00FB7B9C" w:rsidP="00FB7B9C">
      <w:pPr>
        <w:numPr>
          <w:ilvl w:val="0"/>
          <w:numId w:val="1"/>
        </w:numPr>
        <w:spacing w:before="100" w:beforeAutospacing="1" w:after="100" w:afterAutospacing="1" w:line="240" w:lineRule="auto"/>
        <w:ind w:left="225"/>
        <w:rPr>
          <w:rFonts w:ascii="Arial" w:eastAsia="Times New Roman" w:hAnsi="Arial" w:cs="Arial"/>
          <w:color w:val="000000"/>
          <w:sz w:val="18"/>
          <w:szCs w:val="18"/>
        </w:rPr>
      </w:pPr>
      <w:r w:rsidRPr="00FB7B9C">
        <w:rPr>
          <w:rFonts w:ascii="Arial" w:eastAsia="Times New Roman" w:hAnsi="Arial" w:cs="Arial"/>
          <w:color w:val="000000"/>
          <w:sz w:val="18"/>
          <w:szCs w:val="18"/>
        </w:rPr>
        <w:t>List of References (no emails sent from system)</w:t>
      </w:r>
    </w:p>
    <w:p w:rsidR="00FB7B9C" w:rsidRPr="00FB7B9C" w:rsidRDefault="00FB7B9C" w:rsidP="00FB7B9C">
      <w:pPr>
        <w:numPr>
          <w:ilvl w:val="0"/>
          <w:numId w:val="1"/>
        </w:numPr>
        <w:spacing w:before="100" w:beforeAutospacing="1" w:after="100" w:afterAutospacing="1" w:line="240" w:lineRule="auto"/>
        <w:ind w:left="225"/>
        <w:rPr>
          <w:rFonts w:ascii="Arial" w:eastAsia="Times New Roman" w:hAnsi="Arial" w:cs="Arial"/>
          <w:b/>
          <w:bCs/>
          <w:color w:val="000000"/>
          <w:sz w:val="18"/>
          <w:szCs w:val="18"/>
        </w:rPr>
      </w:pPr>
      <w:r w:rsidRPr="00FB7B9C">
        <w:rPr>
          <w:rFonts w:ascii="Arial" w:eastAsia="Times New Roman" w:hAnsi="Arial" w:cs="Arial"/>
          <w:color w:val="000000"/>
          <w:sz w:val="18"/>
          <w:szCs w:val="18"/>
        </w:rPr>
        <w:t xml:space="preserve">Supplemental Document </w:t>
      </w:r>
    </w:p>
    <w:p w:rsidR="00FB7B9C" w:rsidRPr="00FB7B9C" w:rsidRDefault="00FB7B9C" w:rsidP="00FB7B9C">
      <w:pPr>
        <w:spacing w:after="0" w:line="240" w:lineRule="auto"/>
        <w:rPr>
          <w:rFonts w:ascii="Arial" w:eastAsia="Times New Roman" w:hAnsi="Arial" w:cs="Arial"/>
          <w:color w:val="000000"/>
          <w:sz w:val="18"/>
          <w:szCs w:val="18"/>
        </w:rPr>
      </w:pPr>
    </w:p>
    <w:sectPr w:rsidR="00FB7B9C" w:rsidRPr="00FB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0A33"/>
    <w:multiLevelType w:val="multilevel"/>
    <w:tmpl w:val="FF06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C2FF5"/>
    <w:multiLevelType w:val="multilevel"/>
    <w:tmpl w:val="024C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9C"/>
    <w:rsid w:val="00187C17"/>
    <w:rsid w:val="0026783F"/>
    <w:rsid w:val="00432BFD"/>
    <w:rsid w:val="00552220"/>
    <w:rsid w:val="00762902"/>
    <w:rsid w:val="00FB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32DC"/>
  <w15:chartTrackingRefBased/>
  <w15:docId w15:val="{EF8BBEDB-826F-45F6-A5BC-E494F765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7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B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93668668301962150gmail-caps">
    <w:name w:val="m_3493668668301962150gmail-caps"/>
    <w:basedOn w:val="DefaultParagraphFont"/>
    <w:rsid w:val="00FB7B9C"/>
  </w:style>
  <w:style w:type="character" w:customStyle="1" w:styleId="m3493668668301962150gmail-reqd">
    <w:name w:val="m_3493668668301962150gmail-reqd"/>
    <w:basedOn w:val="DefaultParagraphFont"/>
    <w:rsid w:val="00FB7B9C"/>
  </w:style>
  <w:style w:type="character" w:styleId="Hyperlink">
    <w:name w:val="Hyperlink"/>
    <w:basedOn w:val="DefaultParagraphFont"/>
    <w:uiPriority w:val="99"/>
    <w:unhideWhenUsed/>
    <w:rsid w:val="00187C17"/>
    <w:rPr>
      <w:color w:val="0563C1" w:themeColor="hyperlink"/>
      <w:u w:val="single"/>
    </w:rPr>
  </w:style>
  <w:style w:type="character" w:styleId="FollowedHyperlink">
    <w:name w:val="FollowedHyperlink"/>
    <w:basedOn w:val="DefaultParagraphFont"/>
    <w:uiPriority w:val="99"/>
    <w:semiHidden/>
    <w:unhideWhenUsed/>
    <w:rsid w:val="00187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298945">
      <w:bodyDiv w:val="1"/>
      <w:marLeft w:val="0"/>
      <w:marRight w:val="0"/>
      <w:marTop w:val="0"/>
      <w:marBottom w:val="0"/>
      <w:divBdr>
        <w:top w:val="none" w:sz="0" w:space="0" w:color="auto"/>
        <w:left w:val="none" w:sz="0" w:space="0" w:color="auto"/>
        <w:bottom w:val="none" w:sz="0" w:space="0" w:color="auto"/>
        <w:right w:val="none" w:sz="0" w:space="0" w:color="auto"/>
      </w:divBdr>
      <w:divsChild>
        <w:div w:id="1493057434">
          <w:marLeft w:val="0"/>
          <w:marRight w:val="0"/>
          <w:marTop w:val="0"/>
          <w:marBottom w:val="0"/>
          <w:divBdr>
            <w:top w:val="none" w:sz="0" w:space="0" w:color="auto"/>
            <w:left w:val="none" w:sz="0" w:space="0" w:color="auto"/>
            <w:bottom w:val="none" w:sz="0" w:space="0" w:color="auto"/>
            <w:right w:val="none" w:sz="0" w:space="0" w:color="auto"/>
          </w:divBdr>
          <w:divsChild>
            <w:div w:id="1964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jobs.umd.edu/postings/589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Maryland (ARCH)</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2018-04-05T17:02:00Z</dcterms:created>
  <dcterms:modified xsi:type="dcterms:W3CDTF">2018-04-05T17:02:00Z</dcterms:modified>
</cp:coreProperties>
</file>