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EXECUTIVE EMPLOYMENT OFFER LETTER (CANDIDATE COUNTER-REVISION)</w:t>
      </w:r>
    </w:p>
    <w:p/>
    <w:p>
      <w:r>
        <w:t>Date: January 18, 2025</w:t>
      </w:r>
    </w:p>
    <w:p>
      <w:r>
        <w:t>To: Samantha Reed ("Candidate")</w:t>
      </w:r>
    </w:p>
    <w:p>
      <w:r>
        <w:t>From: Apex Fintech Dynamics ("Company")</w:t>
      </w:r>
    </w:p>
    <w:p/>
    <w:p>
      <w:r>
        <w:t>Dear Samantha,</w:t>
      </w:r>
    </w:p>
    <w:p/>
    <w:p>
      <w:r>
        <w:t>We are pleased to amend our offer for the position of VP of Product Architecture.</w:t>
      </w:r>
    </w:p>
    <w:p/>
    <w:p>
      <w:r>
        <w:rPr>
          <w:b/>
          <w:sz w:val="22"/>
        </w:rPr>
        <w:t>1. COMPENSATION &amp; COMMENCEMENT</w:t>
      </w:r>
    </w:p>
    <w:p>
      <w:r>
        <w:t>Base annual salary of $235,000 paid bi-weekly, plus guaranteed annual bonus target of 25%. Signing bonus: $30,000 payable on initial payroll. Start date: March 3, 2025.</w:t>
      </w:r>
    </w:p>
    <w:p/>
    <w:p>
      <w:r>
        <w:rPr>
          <w:b/>
          <w:sz w:val="22"/>
        </w:rPr>
        <w:t>2. SEVERANCE &amp; TERMINATION RIGHTS</w:t>
      </w:r>
    </w:p>
    <w:p>
      <w:r>
        <w:t>In the event of termination by Company without Cause or resignation by Executive for Good Reason, Company shall pay 6 months of base salary severance, continuation of healthcare COBRA coverage for 6 months, and pro-rata annual bonus.</w:t>
      </w:r>
    </w:p>
    <w:p/>
    <w:p>
      <w:r>
        <w:rPr>
          <w:b/>
          <w:sz w:val="22"/>
        </w:rPr>
        <w:t>3. EQUITY INCENTIVE GRANTS</w:t>
      </w:r>
    </w:p>
    <w:p>
      <w:r>
        <w:t>Candidate is awarded 60,000 Stock Options with 4-year vesting, 1-year cliff, and double-trigger equity acceleration (100% immediate vesting upon Change of Control and termination within 12 months).</w:t>
      </w:r>
    </w:p>
    <w:p/>
    <w:p>
      <w:r>
        <w:rPr>
          <w:b/>
          <w:sz w:val="22"/>
        </w:rPr>
        <w:t>4. NARROWED RESTRICTIVE COVENANTS</w:t>
      </w:r>
    </w:p>
    <w:p>
      <w:r>
        <w:t>Non-compete is restricted to six (6) months and limited strictly to direct-to-consumer B2C neo-banking applications located within the Austin, Texas metropolitan area. Non-solicitation is reduced to twelve (12) months for key engineers directly managed by Candidate.</w:t>
      </w:r>
    </w:p>
    <w:p/>
    <w:p>
      <w:r>
        <w:rPr>
          <w:b/>
          <w:sz w:val="22"/>
        </w:rPr>
        <w:t>5. DISPUTE RESOLUTION</w:t>
      </w:r>
    </w:p>
    <w:p>
      <w:r>
        <w:t>Disputes shall be handled in Travis County, Texas courts. In any prevailing action, reasonable attorney fees shall be awarded to the prevailing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