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B7846">
      <w:pPr>
        <w:pStyle w:val="2"/>
        <w:pBdr>
          <w:bottom w:val="single" w:color="auto" w:sz="4" w:space="1"/>
        </w:pBdr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37220232203786-潘腾凯-</w:t>
      </w:r>
      <w:commentRangeStart w:id="0"/>
      <w:r>
        <w:rPr>
          <w:rFonts w:hint="eastAsia" w:asciiTheme="minorEastAsia" w:hAnsiTheme="minorEastAsia" w:eastAsiaTheme="minorEastAsia"/>
        </w:rPr>
        <w:t>第</w:t>
      </w:r>
      <w:r>
        <w:rPr>
          <w:rFonts w:hint="eastAsia" w:asciiTheme="minorEastAsia" w:hAnsiTheme="minorEastAsia" w:eastAsiaTheme="minorEastAsia"/>
          <w:lang w:val="en-US" w:eastAsia="zh-CN"/>
        </w:rPr>
        <w:t>8</w:t>
      </w:r>
      <w:r>
        <w:rPr>
          <w:rFonts w:hint="eastAsia" w:asciiTheme="minorEastAsia" w:hAnsiTheme="minorEastAsia" w:eastAsiaTheme="minorEastAsia"/>
        </w:rPr>
        <w:t>章作业</w:t>
      </w:r>
      <w:commentRangeEnd w:id="0"/>
      <w:r>
        <w:rPr>
          <w:rStyle w:val="14"/>
          <w:rFonts w:asciiTheme="minorHAnsi" w:hAnsiTheme="minorHAnsi" w:eastAsiaTheme="minorEastAsia" w:cstheme="minorBidi"/>
        </w:rPr>
        <w:commentReference w:id="0"/>
      </w:r>
    </w:p>
    <w:p w14:paraId="518546A5">
      <w:r>
        <w:rPr>
          <w:rStyle w:val="14"/>
        </w:rPr>
        <w:commentReference w:id="1"/>
      </w:r>
    </w:p>
    <w:p w14:paraId="07F7A4D7">
      <w:pPr>
        <w:numPr>
          <w:ilvl w:val="0"/>
          <w:numId w:val="0"/>
        </w:num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1.什么是元数据？为什么说合适的元数据对于数仓的使用、构建和管理是绝对必要的？</w:t>
      </w:r>
    </w:p>
    <w:p w14:paraId="0DEF9B2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：（1）元数据：关于数据的数据，是将数据仓库内容结合到一起的黏合剂，覆盖外部数据源信息、内部数据（数据库、表、字段）详情、数据仓库组件（事实表、维表、立方等）信息、用户信息（用户名、密码）、数据挖掘算法及参数、挖掘任务步骤、数仓安全性与审计跟踪等。</w:t>
      </w:r>
    </w:p>
    <w:p w14:paraId="070EFD5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（2）数仓使用：OLTP 用户无需了解数据细节，而OLAP 用户需掌握数据含义开展分析，元数据提供数据上下文（含义、来源、更新周期），支持格式化报表、汇总分析、趋势预测，避免错误结论。</w:t>
      </w:r>
    </w:p>
    <w:p w14:paraId="3488EF32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数仓构建：数据抽取、转换、清洗需依赖源系统元数据、源目标映射规则，数仓维护者需了解逻辑结构、数据装载和更新规则，构建过程每个任务都离不开元数据支持。</w:t>
      </w:r>
    </w:p>
    <w:p w14:paraId="0CCEC7A6">
      <w:pPr>
        <w:numPr>
          <w:ilvl w:val="0"/>
          <w:numId w:val="0"/>
        </w:numPr>
        <w:ind w:firstLine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数仓管理：随着数仓规模和复杂性提升，元数据可解决新增数据源、数据清洗方法调整、查询性能优化、备份调度、外部数据合并验证等核心管理问题。</w:t>
      </w:r>
      <w:r>
        <w:rPr>
          <w:rFonts w:hint="eastAsia"/>
          <w:b w:val="0"/>
          <w:bCs w:val="0"/>
          <w:lang w:val="en-US" w:eastAsia="zh-CN"/>
        </w:rPr>
        <w:tab/>
      </w:r>
    </w:p>
    <w:p w14:paraId="4B9D8815">
      <w:pPr>
        <w:numPr>
          <w:ilvl w:val="0"/>
          <w:numId w:val="0"/>
        </w:num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2.简要比较业务元数据与技术元数据之间的差别。</w:t>
      </w:r>
    </w:p>
    <w:p w14:paraId="51A202E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答：对比维度：</w:t>
      </w:r>
    </w:p>
    <w:p w14:paraId="2AD4D24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业务元数据</w:t>
      </w:r>
    </w:p>
    <w:p w14:paraId="256ED10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核心面向对象：业务用户（经理、业务分析员、普通用户等）</w:t>
      </w:r>
    </w:p>
    <w:p w14:paraId="3B1764E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描述语言：业务术语、平直语言</w:t>
      </w:r>
    </w:p>
    <w:p w14:paraId="32E6A2A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结构化程度：较低，多来自文本、业务规则等非结构化数据</w:t>
      </w:r>
    </w:p>
    <w:p w14:paraId="191888D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核心内容：数据业务定义、源目标映射（业务视角）、汇总规则、数据所有权、预定义查询/报表、OLAP 分析规则、数仓刷新安排</w:t>
      </w:r>
    </w:p>
    <w:p w14:paraId="341A2A0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核心作用：连接业务用户与数仓，让用户理解 “数据是什么、如何用”</w:t>
      </w:r>
    </w:p>
    <w:p w14:paraId="0DE8778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对比维度：</w:t>
      </w:r>
    </w:p>
    <w:p w14:paraId="61DCADE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技术元数据</w:t>
      </w:r>
    </w:p>
    <w:p w14:paraId="7097756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核心面向对象：IT 人员（项目经理、数据仓库管理员、架构师等）</w:t>
      </w:r>
    </w:p>
    <w:p w14:paraId="774D560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描述语言：技术术语</w:t>
      </w:r>
    </w:p>
    <w:p w14:paraId="76ED907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结构化程度：较高，格式规范统一</w:t>
      </w:r>
    </w:p>
    <w:p w14:paraId="19150A0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核心内容：源/目标数据模型（逻辑/物理）、数据抽取/转换/清洗规则、数据库表/字段详情、装载计划、访问权限、程序名称及描述</w:t>
      </w:r>
    </w:p>
    <w:p w14:paraId="3DE84609">
      <w:pPr>
        <w:numPr>
          <w:ilvl w:val="0"/>
          <w:numId w:val="0"/>
        </w:num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核心作用：支持数仓开发、维护、管理，提供技术实现指南</w:t>
      </w:r>
    </w:p>
    <w:p w14:paraId="74F5C668">
      <w:pPr>
        <w:numPr>
          <w:ilvl w:val="0"/>
          <w:numId w:val="0"/>
        </w:num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3.元数据管理需求的具体规范有哪些？</w:t>
      </w:r>
    </w:p>
    <w:p w14:paraId="34B3CDD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答：（1）版本化存储，支持元数据按版本获取和存储，适配数仓长期跨度下数据源、ETL 规则的变化</w:t>
      </w:r>
    </w:p>
    <w:p w14:paraId="291C4AFA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多源获取，足够开放，可从工具、数字字典、ODS 等多个来源采集元数据</w:t>
      </w:r>
    </w:p>
    <w:p w14:paraId="5BBA76AF">
      <w:pPr>
        <w:numPr>
          <w:ilvl w:val="0"/>
          <w:numId w:val="1"/>
        </w:num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统一集成，将业务、技术等不同类型元数据以用户可理解的统一方式集成</w:t>
      </w:r>
    </w:p>
    <w:p w14:paraId="17E54252">
      <w:pPr>
        <w:numPr>
          <w:ilvl w:val="0"/>
          <w:numId w:val="1"/>
        </w:num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格式标准化，不同工具中同一种元数据采用一致表示方式</w:t>
      </w:r>
    </w:p>
    <w:p w14:paraId="79783CE1">
      <w:pPr>
        <w:numPr>
          <w:ilvl w:val="0"/>
          <w:numId w:val="1"/>
        </w:num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修订可见性，元数据修改后，同步反映到数仓所有相关处理过程</w:t>
      </w:r>
    </w:p>
    <w:p w14:paraId="5C5683BC">
      <w:pPr>
        <w:numPr>
          <w:ilvl w:val="0"/>
          <w:numId w:val="1"/>
        </w:num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全局同步，数据结构、规则等元数据在整个数仓中保持一致</w:t>
      </w:r>
    </w:p>
    <w:p w14:paraId="4C90B24D">
      <w:pPr>
        <w:numPr>
          <w:ilvl w:val="0"/>
          <w:numId w:val="1"/>
        </w:num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自由交换，支持不同工具间便捷交换元数据</w:t>
      </w:r>
    </w:p>
    <w:p w14:paraId="32E58B40">
      <w:pPr>
        <w:numPr>
          <w:ilvl w:val="0"/>
          <w:numId w:val="1"/>
        </w:num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用户友好，为最终用户提供图形化/列表式界面，方便从业务视角浏览元数据</w:t>
      </w:r>
    </w:p>
    <w:p w14:paraId="1DF9E253">
      <w:pPr>
        <w:numPr>
          <w:ilvl w:val="0"/>
          <w:numId w:val="0"/>
        </w:num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4.请列举元数据的典型来源。</w:t>
      </w:r>
    </w:p>
    <w:p w14:paraId="09E5779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答：元数据典型来源：</w:t>
      </w:r>
    </w:p>
    <w:p w14:paraId="692EE1B8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（1）源系统，包括 ODS 数据模型、系统文档的元素定义、字段定义、外部数据文件布局、电子表格/手工表格；</w:t>
      </w:r>
    </w:p>
    <w:p w14:paraId="7D0795D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（2）数据抽取，包括源平台数据及连接信息、抽取字段定义、文件合并准则、字段类型/长度标准化规则、抽取计划；</w:t>
      </w:r>
    </w:p>
    <w:p w14:paraId="373A6F7F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（3）数据转换和清洗，包括字段默认值、有效性检查规则、业务规则、文件转换规则、抽取文件到准备文件的映射规范；</w:t>
      </w:r>
    </w:p>
    <w:p w14:paraId="71CD4B97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（4）数据装载，包括增量装载计划、准备文件到装载映像的映射规则、刷新计划、审查跟踪；</w:t>
      </w:r>
    </w:p>
    <w:p w14:paraId="048375B0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（5）数据存储，包括数仓/数据集市数据模型、物理文件、表/列定义、有效性检查业务规则；</w:t>
      </w:r>
    </w:p>
    <w:p w14:paraId="2F87760C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（6）</w:t>
      </w:r>
      <w:r>
        <w:rPr>
          <w:rFonts w:hint="default"/>
          <w:b w:val="0"/>
          <w:bCs w:val="0"/>
          <w:lang w:val="en-US" w:eastAsia="zh-CN"/>
        </w:rPr>
        <w:t>信息传递，包括查询/报表工具列表、预定义查询</w:t>
      </w:r>
      <w:r>
        <w:rPr>
          <w:rFonts w:hint="eastAsia"/>
          <w:b w:val="0"/>
          <w:bCs w:val="0"/>
          <w:lang w:val="en-US" w:eastAsia="zh-CN"/>
        </w:rPr>
        <w:t>/</w:t>
      </w:r>
      <w:r>
        <w:rPr>
          <w:rFonts w:hint="default"/>
          <w:b w:val="0"/>
          <w:bCs w:val="0"/>
          <w:lang w:val="en-US" w:eastAsia="zh-CN"/>
        </w:rPr>
        <w:t>报表、OLAP 数据库数据模型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74FE2800">
      <w:pPr>
        <w:numPr>
          <w:ilvl w:val="0"/>
          <w:numId w:val="0"/>
        </w:num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5.什么是CWM？它有何作用？</w:t>
      </w:r>
    </w:p>
    <w:p w14:paraId="56A65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答：（1）定义：</w:t>
      </w:r>
    </w:p>
    <w:p w14:paraId="43E34A5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Common Warehouse Metamodel，即通用仓库元模型，由对象管理小组制定的数据仓库事实标准，基于 UML（建模标准）、MOF（元模型构建标准）、XMI（元数据交换标准）设计。</w:t>
      </w:r>
    </w:p>
    <w:p w14:paraId="068BF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（2）作用：</w:t>
      </w:r>
    </w:p>
    <w:p w14:paraId="604C87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定义数据仓库相关元数据的基础框架，涵盖数据源、数据目标、转换、分析、处理、操作等信息；</w:t>
      </w:r>
    </w:p>
    <w:p w14:paraId="000644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规范数仓建设和管理的过程与操作，支持信息继承；</w:t>
      </w:r>
    </w:p>
    <w:p w14:paraId="70FD9D4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解决多厂商产品间元数据通信与共享的兼容性问题，提供统一标准。</w:t>
      </w:r>
    </w:p>
    <w:p w14:paraId="75B18470">
      <w:pPr>
        <w:ind w:firstLine="420" w:firstLineChars="0"/>
        <w:rPr>
          <w:rFonts w:hint="eastAsia"/>
          <w:lang w:val="en-US" w:eastAsia="zh-CN"/>
        </w:rPr>
      </w:pPr>
    </w:p>
    <w:p w14:paraId="4E5471B6">
      <w:pPr>
        <w:ind w:firstLine="420" w:firstLineChars="0"/>
        <w:rPr>
          <w:rFonts w:hint="eastAsia"/>
          <w:lang w:val="en-US" w:eastAsia="zh-CN"/>
        </w:rPr>
      </w:pPr>
    </w:p>
    <w:p w14:paraId="46BCEF60">
      <w:pPr>
        <w:ind w:firstLine="420" w:firstLineChars="0"/>
        <w:rPr>
          <w:rFonts w:hint="eastAsia"/>
          <w:lang w:val="en-US" w:eastAsia="zh-CN"/>
        </w:rPr>
      </w:pPr>
    </w:p>
    <w:p w14:paraId="3B779FAA">
      <w:pPr>
        <w:ind w:firstLine="420" w:firstLineChars="0"/>
        <w:rPr>
          <w:rFonts w:hint="eastAsia"/>
          <w:lang w:val="en-US" w:eastAsia="zh-CN"/>
        </w:rPr>
      </w:pPr>
    </w:p>
    <w:p w14:paraId="67280286">
      <w:pPr>
        <w:ind w:firstLine="420" w:firstLineChars="0"/>
        <w:rPr>
          <w:rFonts w:hint="eastAsia"/>
          <w:lang w:val="en-US" w:eastAsia="zh-CN"/>
        </w:rPr>
      </w:pPr>
    </w:p>
    <w:p w14:paraId="1427C244">
      <w:pPr>
        <w:ind w:firstLine="420" w:firstLineChars="0"/>
        <w:rPr>
          <w:rFonts w:hint="eastAsia"/>
          <w:lang w:val="en-US" w:eastAsia="zh-CN"/>
        </w:rPr>
      </w:pPr>
    </w:p>
    <w:p w14:paraId="5C398D80">
      <w:pPr>
        <w:ind w:firstLine="420" w:firstLineChars="0"/>
        <w:rPr>
          <w:rFonts w:hint="eastAsia"/>
          <w:lang w:val="en-US" w:eastAsia="zh-CN"/>
        </w:rPr>
      </w:pPr>
    </w:p>
    <w:p w14:paraId="42143956">
      <w:pPr>
        <w:ind w:firstLine="420" w:firstLineChars="0"/>
        <w:rPr>
          <w:rFonts w:hint="eastAsia"/>
          <w:lang w:val="en-US" w:eastAsia="zh-CN"/>
        </w:rPr>
      </w:pPr>
    </w:p>
    <w:p w14:paraId="248DC1A8">
      <w:pPr>
        <w:ind w:firstLine="420" w:firstLineChars="0"/>
        <w:rPr>
          <w:rFonts w:hint="eastAsia"/>
          <w:lang w:val="en-US" w:eastAsia="zh-CN"/>
        </w:rPr>
      </w:pPr>
    </w:p>
    <w:p w14:paraId="6EA07C56">
      <w:pPr>
        <w:ind w:firstLine="420" w:firstLineChars="0"/>
        <w:rPr>
          <w:rFonts w:hint="eastAsia"/>
          <w:lang w:val="en-US" w:eastAsia="zh-CN"/>
        </w:rPr>
      </w:pPr>
    </w:p>
    <w:p w14:paraId="15985A3E">
      <w:pPr>
        <w:ind w:firstLine="420" w:firstLineChars="0"/>
        <w:rPr>
          <w:rFonts w:hint="eastAsia"/>
          <w:lang w:val="en-US" w:eastAsia="zh-CN"/>
        </w:rPr>
      </w:pPr>
    </w:p>
    <w:p w14:paraId="36F2D27C">
      <w:pPr>
        <w:ind w:firstLine="420" w:firstLineChars="0"/>
        <w:rPr>
          <w:rFonts w:hint="eastAsia"/>
          <w:lang w:val="en-US" w:eastAsia="zh-CN"/>
        </w:rPr>
      </w:pPr>
    </w:p>
    <w:p w14:paraId="2B27C07E">
      <w:pPr>
        <w:ind w:firstLine="420" w:firstLineChars="0"/>
        <w:rPr>
          <w:rFonts w:hint="eastAsia"/>
          <w:lang w:val="en-US" w:eastAsia="zh-CN"/>
        </w:rPr>
      </w:pPr>
    </w:p>
    <w:p w14:paraId="466AD6E3">
      <w:pPr>
        <w:ind w:firstLine="420" w:firstLineChars="0"/>
        <w:rPr>
          <w:rFonts w:hint="eastAsia"/>
          <w:lang w:val="en-US" w:eastAsia="zh-CN"/>
        </w:rPr>
      </w:pPr>
    </w:p>
    <w:p w14:paraId="41683359">
      <w:pPr>
        <w:ind w:firstLine="420" w:firstLineChars="0"/>
        <w:rPr>
          <w:rFonts w:hint="eastAsia"/>
          <w:lang w:val="en-US" w:eastAsia="zh-CN"/>
        </w:rPr>
      </w:pPr>
    </w:p>
    <w:p w14:paraId="705A67C6">
      <w:pPr>
        <w:ind w:firstLine="420" w:firstLineChars="0"/>
        <w:rPr>
          <w:rFonts w:hint="eastAsia"/>
          <w:lang w:val="en-US" w:eastAsia="zh-CN"/>
        </w:rPr>
      </w:pPr>
    </w:p>
    <w:p w14:paraId="3E8F40E6">
      <w:pPr>
        <w:ind w:firstLine="420" w:firstLineChars="0"/>
        <w:rPr>
          <w:rFonts w:hint="eastAsia"/>
          <w:lang w:val="en-US" w:eastAsia="zh-CN"/>
        </w:rPr>
      </w:pPr>
    </w:p>
    <w:p w14:paraId="75E34600">
      <w:pPr>
        <w:ind w:firstLine="420" w:firstLineChars="0"/>
        <w:rPr>
          <w:rFonts w:hint="eastAsia"/>
          <w:lang w:val="en-US" w:eastAsia="zh-CN"/>
        </w:rPr>
      </w:pPr>
    </w:p>
    <w:p w14:paraId="6002D7BF">
      <w:pPr>
        <w:ind w:firstLine="420" w:firstLineChars="0"/>
        <w:rPr>
          <w:rFonts w:hint="eastAsia"/>
          <w:lang w:val="en-US" w:eastAsia="zh-CN"/>
        </w:rPr>
      </w:pPr>
    </w:p>
    <w:p w14:paraId="42F3E803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6182360" cy="8208645"/>
            <wp:effectExtent l="0" t="0" r="2540" b="8255"/>
            <wp:docPr id="1" name="图片 1" descr="扫描件_定义关于数据的数据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扫描件_定义关于数据的数据_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820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footerReference r:id="rId5" w:type="default"/>
      <w:pgSz w:w="11906" w:h="16838"/>
      <w:pgMar w:top="1440" w:right="1080" w:bottom="1440" w:left="108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in wang" w:date="2025-09-04T23:07:00Z" w:initials="ww">
    <w:p w14:paraId="2B7F44D4">
      <w:pPr>
        <w:pStyle w:val="4"/>
        <w:rPr>
          <w:rFonts w:hint="eastAsia"/>
        </w:rPr>
      </w:pPr>
      <w:r>
        <w:rPr>
          <w:rFonts w:hint="eastAsia"/>
        </w:rPr>
        <w:t>文件命名：学号-姓名-第？章作业</w:t>
      </w:r>
    </w:p>
  </w:comment>
  <w:comment w:id="1" w:author="win wang" w:date="2025-09-04T23:03:00Z" w:initials="ww">
    <w:p w14:paraId="79FF0949">
      <w:pPr>
        <w:pStyle w:val="4"/>
      </w:pPr>
      <w:r>
        <w:rPr>
          <w:rFonts w:hint="eastAsia"/>
        </w:rPr>
        <w:t>先抄题目再写答案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B7F44D4" w15:done="0"/>
  <w15:commentEx w15:paraId="79FF094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PSimplifiedHan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libabaPuHuiTi_3_55_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85208998"/>
      <w:docPartObj>
        <w:docPartGallery w:val="autotext"/>
      </w:docPartObj>
    </w:sdtPr>
    <w:sdtContent>
      <w:p w14:paraId="3DBC0F11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4A0728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A1E3CD"/>
    <w:multiLevelType w:val="singleLevel"/>
    <w:tmpl w:val="F9A1E3C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EzMDkxNGMxOGFiYmVmMTkyZDBiN2FhYTU5ODkyZjYifQ=="/>
  </w:docVars>
  <w:rsids>
    <w:rsidRoot w:val="00211ADC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AF78B0"/>
    <w:rsid w:val="00B4383B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  <w:rsid w:val="07D54907"/>
    <w:rsid w:val="0ED82355"/>
    <w:rsid w:val="14CA4799"/>
    <w:rsid w:val="175A78F5"/>
    <w:rsid w:val="1E446A9C"/>
    <w:rsid w:val="2A3943B2"/>
    <w:rsid w:val="374414AE"/>
    <w:rsid w:val="395207A3"/>
    <w:rsid w:val="3FB03346"/>
    <w:rsid w:val="42F126C1"/>
    <w:rsid w:val="67EF7D4D"/>
    <w:rsid w:val="7F1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4"/>
    <w:next w:val="4"/>
    <w:link w:val="27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7">
    <w:name w:val="无间隔 字符"/>
    <w:basedOn w:val="12"/>
    <w:link w:val="16"/>
    <w:qFormat/>
    <w:uiPriority w:val="1"/>
    <w:rPr>
      <w:kern w:val="0"/>
      <w:sz w:val="22"/>
    </w:rPr>
  </w:style>
  <w:style w:type="table" w:customStyle="1" w:styleId="18">
    <w:name w:val="List Table 5 Dark Accent 2"/>
    <w:basedOn w:val="1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0504D" w:themeColor="accent2" w:sz="24" w:space="0"/>
        <w:left w:val="single" w:color="C0504D" w:themeColor="accent2" w:sz="24" w:space="0"/>
        <w:bottom w:val="single" w:color="C0504D" w:themeColor="accent2" w:sz="24" w:space="0"/>
        <w:right w:val="single" w:color="C0504D" w:themeColor="accent2" w:sz="24" w:space="0"/>
      </w:tblBorders>
    </w:tblPr>
    <w:tcPr>
      <w:shd w:val="clear" w:color="auto" w:fill="C0504D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9">
    <w:name w:val="List Table 5 Dark Accent 4"/>
    <w:basedOn w:val="1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64A2" w:themeColor="accent4" w:sz="24" w:space="0"/>
        <w:left w:val="single" w:color="8064A2" w:themeColor="accent4" w:sz="24" w:space="0"/>
        <w:bottom w:val="single" w:color="8064A2" w:themeColor="accent4" w:sz="24" w:space="0"/>
        <w:right w:val="single" w:color="8064A2" w:themeColor="accent4" w:sz="24" w:space="0"/>
      </w:tblBorders>
    </w:tblPr>
    <w:tcPr>
      <w:shd w:val="clear" w:color="auto" w:fill="8064A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0">
    <w:name w:val="Plain Table 2"/>
    <w:basedOn w:val="1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1">
    <w:name w:val="Plain Table 1"/>
    <w:basedOn w:val="10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2">
    <w:name w:val="Grid Table Light"/>
    <w:basedOn w:val="1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3">
    <w:name w:val="Grid Table 1 Light Accent 2"/>
    <w:basedOn w:val="10"/>
    <w:qFormat/>
    <w:uiPriority w:val="46"/>
    <w:tblPr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4">
    <w:name w:val="Grid Table 1 Light Accent 6"/>
    <w:basedOn w:val="10"/>
    <w:qFormat/>
    <w:uiPriority w:val="46"/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5">
    <w:name w:val="List Table 3 Accent 2"/>
    <w:basedOn w:val="10"/>
    <w:qFormat/>
    <w:uiPriority w:val="48"/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0504D" w:themeColor="accent2" w:sz="4" w:space="0"/>
          <w:left w:val="nil"/>
        </w:tcBorders>
      </w:tcPr>
    </w:tblStylePr>
    <w:tblStylePr w:type="swCell">
      <w:tcPr>
        <w:tcBorders>
          <w:top w:val="double" w:color="C0504D" w:themeColor="accent2" w:sz="4" w:space="0"/>
          <w:right w:val="nil"/>
        </w:tcBorders>
      </w:tcPr>
    </w:tblStylePr>
  </w:style>
  <w:style w:type="character" w:customStyle="1" w:styleId="26">
    <w:name w:val="批注文字 字符"/>
    <w:basedOn w:val="12"/>
    <w:link w:val="4"/>
    <w:semiHidden/>
    <w:qFormat/>
    <w:uiPriority w:val="99"/>
  </w:style>
  <w:style w:type="character" w:customStyle="1" w:styleId="27">
    <w:name w:val="批注主题 字符"/>
    <w:basedOn w:val="26"/>
    <w:link w:val="9"/>
    <w:semiHidden/>
    <w:qFormat/>
    <w:uiPriority w:val="99"/>
    <w:rPr>
      <w:b/>
      <w:bCs/>
    </w:rPr>
  </w:style>
  <w:style w:type="character" w:customStyle="1" w:styleId="28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9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30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31">
    <w:name w:val="标题 2 字符"/>
    <w:basedOn w:val="12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fontstyle01"/>
    <w:basedOn w:val="12"/>
    <w:qFormat/>
    <w:uiPriority w:val="0"/>
    <w:rPr>
      <w:rFonts w:ascii="HPSimplifiedHans-Regular" w:hAnsi="HPSimplifiedHans-Regular" w:eastAsia="HPSimplifiedHans-Regular" w:cs="HPSimplifiedHans-Regular"/>
      <w:color w:val="000000"/>
      <w:sz w:val="48"/>
      <w:szCs w:val="48"/>
    </w:rPr>
  </w:style>
  <w:style w:type="character" w:customStyle="1" w:styleId="33">
    <w:name w:val="fontstyle11"/>
    <w:basedOn w:val="12"/>
    <w:qFormat/>
    <w:uiPriority w:val="0"/>
    <w:rPr>
      <w:rFonts w:ascii="AlibabaPuHuiTi_3_55_Regular" w:hAnsi="AlibabaPuHuiTi_3_55_Regular" w:eastAsia="AlibabaPuHuiTi_3_55_Regular" w:cs="AlibabaPuHuiTi_3_55_Regular"/>
      <w:color w:val="000000"/>
      <w:sz w:val="48"/>
      <w:szCs w:val="48"/>
    </w:rPr>
  </w:style>
  <w:style w:type="character" w:customStyle="1" w:styleId="34">
    <w:name w:val="fontstyle31"/>
    <w:basedOn w:val="12"/>
    <w:qFormat/>
    <w:uiPriority w:val="0"/>
    <w:rPr>
      <w:rFonts w:ascii="Wingdings-Regular" w:hAnsi="Wingdings-Regular" w:eastAsia="Wingdings-Regular" w:cs="Wingdings-Regular"/>
      <w:color w:val="C00000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1464</Words>
  <Characters>1531</Characters>
  <Lines>1</Lines>
  <Paragraphs>1</Paragraphs>
  <TotalTime>59</TotalTime>
  <ScaleCrop>false</ScaleCrop>
  <LinksUpToDate>false</LinksUpToDate>
  <CharactersWithSpaces>1571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2025-02-25T13:11:00Z</dcterms:created>
  <dc:creator>michaelwin</dc:creator>
  <cp:lastModifiedBy>WPS_1693733568</cp:lastModifiedBy>
  <dcterms:modified xsi:type="dcterms:W3CDTF">2025-12-18T13:30:02Z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FB4380F1195C489F96C3DC543A078BF3</vt:lpwstr>
  </property>
  <property fmtid="{D5CDD505-2E9C-101B-9397-08002B2CF9AE}" pid="4" name="KSOTemplateDocerSaveRecord">
    <vt:lpwstr>eyJoZGlkIjoiMDEzMDkxNGMxOGFiYmVmMTkyZDBiN2FhYTU5ODkyZjYiLCJ1c2VySWQiOiIxNTI4OTA3NTA4In0=</vt:lpwstr>
  </property>
</Properties>
</file>