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5B61" w14:textId="77777777" w:rsidR="00E965E7" w:rsidRPr="008F635D" w:rsidRDefault="006F5FF0" w:rsidP="008F635D">
      <w:pPr>
        <w:pStyle w:val="Heading1"/>
      </w:pPr>
      <w:r w:rsidRPr="008F635D">
        <w:t xml:space="preserve">CYB 260 </w:t>
      </w:r>
      <w:r w:rsidR="00C40C3C" w:rsidRPr="008F635D">
        <w:t xml:space="preserve">Module </w:t>
      </w:r>
      <w:r w:rsidR="00147C89" w:rsidRPr="008F635D">
        <w:t>Three</w:t>
      </w:r>
      <w:r w:rsidRPr="008F635D">
        <w:t xml:space="preserve"> </w:t>
      </w:r>
      <w:r w:rsidR="008C3B5C">
        <w:t>Worksheet</w:t>
      </w:r>
    </w:p>
    <w:p w14:paraId="0FEB5B9A" w14:textId="77777777" w:rsidR="00E965E7" w:rsidRPr="00EB6E46" w:rsidRDefault="00E965E7" w:rsidP="00EB6E46">
      <w:pPr>
        <w:suppressAutoHyphens/>
        <w:spacing w:line="240" w:lineRule="auto"/>
        <w:contextualSpacing w:val="0"/>
        <w:rPr>
          <w:rFonts w:ascii="Calibri" w:hAnsi="Calibri" w:cs="Calibri"/>
          <w:b/>
          <w:lang w:val="en-US"/>
        </w:rPr>
      </w:pPr>
    </w:p>
    <w:p w14:paraId="5325E1BC" w14:textId="77777777" w:rsidR="00E965E7" w:rsidRPr="00EB6E46" w:rsidRDefault="006F5FF0" w:rsidP="00EB6E46">
      <w:pPr>
        <w:suppressAutoHyphens/>
        <w:spacing w:line="240" w:lineRule="auto"/>
        <w:rPr>
          <w:rFonts w:ascii="Calibri" w:hAnsi="Calibri" w:cs="Calibri"/>
          <w:lang w:val="en-US"/>
        </w:rPr>
      </w:pPr>
      <w:r w:rsidRPr="00EB6E46">
        <w:rPr>
          <w:rFonts w:ascii="Calibri" w:hAnsi="Calibri" w:cs="Calibri"/>
          <w:lang w:val="en-US"/>
        </w:rPr>
        <w:t xml:space="preserve">Complete the table </w:t>
      </w:r>
      <w:r w:rsidR="00103739" w:rsidRPr="00EB6E46">
        <w:rPr>
          <w:rFonts w:ascii="Calibri" w:hAnsi="Calibri" w:cs="Calibri"/>
          <w:lang w:val="en-US"/>
        </w:rPr>
        <w:t xml:space="preserve">below </w:t>
      </w:r>
      <w:r w:rsidRPr="00EB6E46">
        <w:rPr>
          <w:rFonts w:ascii="Calibri" w:hAnsi="Calibri" w:cs="Calibri"/>
          <w:lang w:val="en-US"/>
        </w:rPr>
        <w:t xml:space="preserve">by filling in the three blank columns for each law. </w:t>
      </w:r>
    </w:p>
    <w:p w14:paraId="6F51CB60" w14:textId="77777777" w:rsidR="00E965E7" w:rsidRPr="00EB6E46" w:rsidRDefault="00E965E7" w:rsidP="00EB6E46">
      <w:pPr>
        <w:suppressAutoHyphens/>
        <w:spacing w:line="240" w:lineRule="auto"/>
        <w:contextualSpacing w:val="0"/>
        <w:rPr>
          <w:rFonts w:ascii="Calibri" w:hAnsi="Calibri" w:cs="Calibri"/>
          <w:lang w:val="en-US"/>
        </w:rPr>
      </w:pPr>
    </w:p>
    <w:tbl>
      <w:tblPr>
        <w:tblStyle w:val="a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A0" w:firstRow="1" w:lastRow="0" w:firstColumn="1" w:lastColumn="0" w:noHBand="1" w:noVBand="1"/>
        <w:tblDescription w:val="Table"/>
      </w:tblPr>
      <w:tblGrid>
        <w:gridCol w:w="2729"/>
        <w:gridCol w:w="3883"/>
        <w:gridCol w:w="3883"/>
        <w:gridCol w:w="3885"/>
      </w:tblGrid>
      <w:tr w:rsidR="00E965E7" w:rsidRPr="00EB6E46" w14:paraId="1816101E" w14:textId="77777777" w:rsidTr="00A20089">
        <w:trPr>
          <w:cantSplit/>
          <w:tblHeader/>
        </w:trPr>
        <w:tc>
          <w:tcPr>
            <w:tcW w:w="949" w:type="pct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4192A" w14:textId="77777777" w:rsidR="00E965E7" w:rsidRPr="00EB6E46" w:rsidRDefault="006F5FF0" w:rsidP="00EB6E46">
            <w:pPr>
              <w:suppressAutoHyphens/>
              <w:spacing w:line="240" w:lineRule="auto"/>
              <w:contextualSpacing w:val="0"/>
              <w:jc w:val="center"/>
              <w:rPr>
                <w:rFonts w:ascii="Calibri" w:hAnsi="Calibri" w:cs="Calibri"/>
                <w:b/>
                <w:lang w:val="en-US"/>
              </w:rPr>
            </w:pPr>
            <w:r w:rsidRPr="00EB6E46">
              <w:rPr>
                <w:rFonts w:ascii="Calibri" w:hAnsi="Calibri" w:cs="Calibri"/>
                <w:b/>
                <w:lang w:val="en-US"/>
              </w:rPr>
              <w:t>Law</w:t>
            </w:r>
          </w:p>
        </w:tc>
        <w:tc>
          <w:tcPr>
            <w:tcW w:w="1350" w:type="pct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61A54" w14:textId="77777777" w:rsidR="00E965E7" w:rsidRPr="00EB6E46" w:rsidRDefault="006F5FF0" w:rsidP="00EB6E46">
            <w:pPr>
              <w:suppressAutoHyphens/>
              <w:spacing w:line="240" w:lineRule="auto"/>
              <w:contextualSpacing w:val="0"/>
              <w:jc w:val="center"/>
              <w:rPr>
                <w:rFonts w:ascii="Calibri" w:hAnsi="Calibri" w:cs="Calibri"/>
                <w:b/>
                <w:lang w:val="en-US"/>
              </w:rPr>
            </w:pPr>
            <w:r w:rsidRPr="00EB6E46">
              <w:rPr>
                <w:rFonts w:ascii="Calibri" w:hAnsi="Calibri" w:cs="Calibri"/>
                <w:b/>
                <w:lang w:val="en-US"/>
              </w:rPr>
              <w:t>Brief</w:t>
            </w:r>
            <w:r w:rsidR="00D52BAF" w:rsidRPr="00EB6E46">
              <w:rPr>
                <w:rFonts w:ascii="Calibri" w:hAnsi="Calibri" w:cs="Calibri"/>
                <w:b/>
                <w:lang w:val="en-US"/>
              </w:rPr>
              <w:t>ly</w:t>
            </w:r>
            <w:r w:rsidRPr="00EB6E46">
              <w:rPr>
                <w:rFonts w:ascii="Calibri" w:hAnsi="Calibri" w:cs="Calibri"/>
                <w:b/>
                <w:lang w:val="en-US"/>
              </w:rPr>
              <w:t xml:space="preserve"> </w:t>
            </w:r>
            <w:r w:rsidR="00D52BAF" w:rsidRPr="00EB6E46">
              <w:rPr>
                <w:rFonts w:ascii="Calibri" w:hAnsi="Calibri" w:cs="Calibri"/>
                <w:b/>
                <w:lang w:val="en-US"/>
              </w:rPr>
              <w:t xml:space="preserve">describe the </w:t>
            </w:r>
            <w:r w:rsidR="00E46E73" w:rsidRPr="00EB6E46">
              <w:rPr>
                <w:rFonts w:ascii="Calibri" w:hAnsi="Calibri" w:cs="Calibri"/>
                <w:b/>
                <w:lang w:val="en-US"/>
              </w:rPr>
              <w:t>law</w:t>
            </w:r>
            <w:r w:rsidR="00D52BAF" w:rsidRPr="00EB6E46">
              <w:rPr>
                <w:rFonts w:ascii="Calibri" w:hAnsi="Calibri" w:cs="Calibri"/>
                <w:b/>
                <w:lang w:val="en-US"/>
              </w:rPr>
              <w:t>.</w:t>
            </w:r>
          </w:p>
        </w:tc>
        <w:tc>
          <w:tcPr>
            <w:tcW w:w="1350" w:type="pct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DCD996" w14:textId="77777777" w:rsidR="00E965E7" w:rsidRPr="00EB6E46" w:rsidRDefault="006F5FF0" w:rsidP="00EB6E46">
            <w:pPr>
              <w:suppressAutoHyphens/>
              <w:spacing w:line="240" w:lineRule="auto"/>
              <w:contextualSpacing w:val="0"/>
              <w:jc w:val="center"/>
              <w:rPr>
                <w:rFonts w:ascii="Calibri" w:hAnsi="Calibri" w:cs="Calibri"/>
                <w:b/>
                <w:lang w:val="en-US"/>
              </w:rPr>
            </w:pPr>
            <w:r w:rsidRPr="00EB6E46">
              <w:rPr>
                <w:rFonts w:ascii="Calibri" w:hAnsi="Calibri" w:cs="Calibri"/>
                <w:b/>
                <w:lang w:val="en-US"/>
              </w:rPr>
              <w:t>Whose rights are covered by the law?</w:t>
            </w:r>
          </w:p>
        </w:tc>
        <w:tc>
          <w:tcPr>
            <w:tcW w:w="1351" w:type="pct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943DDC" w14:textId="77777777" w:rsidR="00E965E7" w:rsidRPr="00EB6E46" w:rsidRDefault="006F5FF0" w:rsidP="00EB6E46">
            <w:pPr>
              <w:suppressAutoHyphens/>
              <w:spacing w:line="240" w:lineRule="auto"/>
              <w:contextualSpacing w:val="0"/>
              <w:jc w:val="center"/>
              <w:rPr>
                <w:rFonts w:ascii="Calibri" w:hAnsi="Calibri" w:cs="Calibri"/>
                <w:b/>
                <w:lang w:val="en-US"/>
              </w:rPr>
            </w:pPr>
            <w:r w:rsidRPr="00EB6E46">
              <w:rPr>
                <w:rFonts w:ascii="Calibri" w:hAnsi="Calibri" w:cs="Calibri"/>
                <w:b/>
                <w:lang w:val="en-US"/>
              </w:rPr>
              <w:t xml:space="preserve">Who </w:t>
            </w:r>
            <w:r w:rsidR="00E42B1C" w:rsidRPr="00EB6E46">
              <w:rPr>
                <w:rFonts w:ascii="Calibri" w:hAnsi="Calibri" w:cs="Calibri"/>
                <w:b/>
                <w:lang w:val="en-US"/>
              </w:rPr>
              <w:t xml:space="preserve">in an organization </w:t>
            </w:r>
            <w:r w:rsidRPr="00EB6E46">
              <w:rPr>
                <w:rFonts w:ascii="Calibri" w:hAnsi="Calibri" w:cs="Calibri"/>
                <w:b/>
                <w:lang w:val="en-US"/>
              </w:rPr>
              <w:t xml:space="preserve">is responsible for ensuring compliance </w:t>
            </w:r>
            <w:r w:rsidR="00E42B1C" w:rsidRPr="00EB6E46">
              <w:rPr>
                <w:rFonts w:ascii="Calibri" w:hAnsi="Calibri" w:cs="Calibri"/>
                <w:b/>
                <w:lang w:val="en-US"/>
              </w:rPr>
              <w:t>with</w:t>
            </w:r>
            <w:r w:rsidRPr="00EB6E46">
              <w:rPr>
                <w:rFonts w:ascii="Calibri" w:hAnsi="Calibri" w:cs="Calibri"/>
                <w:b/>
                <w:lang w:val="en-US"/>
              </w:rPr>
              <w:t xml:space="preserve"> the law?</w:t>
            </w:r>
          </w:p>
        </w:tc>
      </w:tr>
      <w:tr w:rsidR="00EB6E46" w:rsidRPr="00EB6E46" w14:paraId="5B3ECBDE" w14:textId="77777777" w:rsidTr="00A20089">
        <w:trPr>
          <w:cantSplit/>
        </w:trPr>
        <w:tc>
          <w:tcPr>
            <w:tcW w:w="94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517A8" w14:textId="77777777" w:rsidR="00EB6E46" w:rsidRPr="00EB6E46" w:rsidRDefault="00EB6E46" w:rsidP="00EB6E46">
            <w:pPr>
              <w:suppressAutoHyphens/>
              <w:spacing w:line="240" w:lineRule="auto"/>
              <w:rPr>
                <w:rFonts w:ascii="Calibri" w:hAnsi="Calibri" w:cs="Calibri"/>
                <w:lang w:val="en-US"/>
              </w:rPr>
            </w:pPr>
            <w:r w:rsidRPr="00EB6E46">
              <w:rPr>
                <w:rFonts w:ascii="Calibri" w:hAnsi="Calibri" w:cs="Calibri"/>
                <w:lang w:val="en-US"/>
              </w:rPr>
              <w:t>Red Flags Rule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949D2" w14:textId="270698D5" w:rsidR="00EB6E46" w:rsidRPr="00EB6E46" w:rsidRDefault="00E355B2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E355B2">
              <w:rPr>
                <w:rFonts w:ascii="Calibri" w:hAnsi="Calibri" w:cs="Calibri"/>
              </w:rPr>
              <w:t>The Red Flags Rule requires financial institutions and creditors to implement identity theft prevention programs to detect, prevent, and mitigate identity theft.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1C332" w14:textId="7B60AD92" w:rsidR="00EB6E46" w:rsidRPr="00EB6E46" w:rsidRDefault="00E355B2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E355B2">
              <w:rPr>
                <w:rFonts w:ascii="Calibri" w:hAnsi="Calibri" w:cs="Calibri"/>
              </w:rPr>
              <w:t>Consumers who may be victims of identity theft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1351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A4111" w14:textId="45D0D147" w:rsidR="00EB6E46" w:rsidRPr="00EB6E46" w:rsidRDefault="00E355B2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E355B2">
              <w:rPr>
                <w:rFonts w:ascii="Calibri" w:hAnsi="Calibri" w:cs="Calibri"/>
              </w:rPr>
              <w:t>Compliance is typically overseen by an organization's designated compliance officer or a specific compliance department.</w:t>
            </w:r>
          </w:p>
        </w:tc>
      </w:tr>
      <w:tr w:rsidR="00EB6E46" w:rsidRPr="00EB6E46" w14:paraId="07A05492" w14:textId="77777777" w:rsidTr="00A20089">
        <w:trPr>
          <w:cantSplit/>
        </w:trPr>
        <w:tc>
          <w:tcPr>
            <w:tcW w:w="94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FE150" w14:textId="77777777" w:rsidR="00EB6E46" w:rsidRPr="00EB6E46" w:rsidRDefault="00EB6E46" w:rsidP="00EB6E46">
            <w:pPr>
              <w:suppressAutoHyphens/>
              <w:spacing w:line="240" w:lineRule="auto"/>
              <w:rPr>
                <w:rFonts w:ascii="Calibri" w:hAnsi="Calibri" w:cs="Calibri"/>
                <w:lang w:val="en-US"/>
              </w:rPr>
            </w:pPr>
            <w:r w:rsidRPr="00EB6E46">
              <w:rPr>
                <w:rFonts w:ascii="Calibri" w:hAnsi="Calibri" w:cs="Calibri"/>
                <w:lang w:val="en-US"/>
              </w:rPr>
              <w:t>Payment Card Industry Standards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36F7C" w14:textId="5DE02927" w:rsidR="00EB6E46" w:rsidRPr="00EB6E46" w:rsidRDefault="00E355B2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E355B2">
              <w:rPr>
                <w:rFonts w:ascii="Calibri" w:hAnsi="Calibri" w:cs="Calibri"/>
              </w:rPr>
              <w:t>The Payment Card Industry Data Security Standard (PCI DSS) sets security standards for handling payment card data to protect cardholders' information.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8D572" w14:textId="46EFB080" w:rsidR="00EB6E46" w:rsidRPr="00EB6E46" w:rsidRDefault="00E355B2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E355B2">
              <w:rPr>
                <w:rFonts w:ascii="Calibri" w:hAnsi="Calibri" w:cs="Calibri"/>
              </w:rPr>
              <w:t>Cardholders and organizations that process payment card data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1351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13162" w14:textId="37CE2B52" w:rsidR="00EB6E46" w:rsidRPr="00EB6E46" w:rsidRDefault="00E355B2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E355B2">
              <w:rPr>
                <w:rFonts w:ascii="Calibri" w:hAnsi="Calibri" w:cs="Calibri"/>
              </w:rPr>
              <w:t>Compliance is the responsibility of the organization's IT and security teams, often led by a Chief Information Security Officer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EB6E46" w:rsidRPr="00EB6E46" w14:paraId="0C186F1C" w14:textId="77777777" w:rsidTr="00A20089">
        <w:trPr>
          <w:cantSplit/>
        </w:trPr>
        <w:tc>
          <w:tcPr>
            <w:tcW w:w="94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D921F5" w14:textId="77777777" w:rsidR="00EB6E46" w:rsidRPr="00EB6E46" w:rsidRDefault="00EB6E46" w:rsidP="00EB6E46">
            <w:pPr>
              <w:suppressAutoHyphens/>
              <w:spacing w:line="240" w:lineRule="auto"/>
              <w:rPr>
                <w:rFonts w:ascii="Calibri" w:hAnsi="Calibri" w:cs="Calibri"/>
                <w:lang w:val="en-US"/>
              </w:rPr>
            </w:pPr>
            <w:r w:rsidRPr="00EB6E46">
              <w:rPr>
                <w:rFonts w:ascii="Calibri" w:hAnsi="Calibri" w:cs="Calibri"/>
                <w:lang w:val="en-US"/>
              </w:rPr>
              <w:t>Children’s Online Privacy Protection Act (COPPA)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88155" w14:textId="7D64309E" w:rsidR="00EB6E46" w:rsidRPr="00EB6E46" w:rsidRDefault="00E355B2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E355B2">
              <w:rPr>
                <w:rFonts w:ascii="Calibri" w:hAnsi="Calibri" w:cs="Calibri"/>
              </w:rPr>
              <w:t>COPPA is designed to protect the online privacy of children under 13 by requiring websites and online services to obtain parental consent before collecting personal information from them.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865EBC" w14:textId="248EE0AA" w:rsidR="00EB6E46" w:rsidRPr="00EB6E46" w:rsidRDefault="00E355B2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E355B2">
              <w:rPr>
                <w:rFonts w:ascii="Calibri" w:hAnsi="Calibri" w:cs="Calibri"/>
              </w:rPr>
              <w:t>Children under the age of 13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1351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D4FBA" w14:textId="3A0DFAE1" w:rsidR="00EB6E46" w:rsidRPr="00EB6E46" w:rsidRDefault="00E355B2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E355B2">
              <w:rPr>
                <w:rFonts w:ascii="Calibri" w:hAnsi="Calibri" w:cs="Calibri"/>
              </w:rPr>
              <w:t>Legal and compliance teams, as well as product managers, are typically responsible for COPPA compliance in an organization.</w:t>
            </w:r>
          </w:p>
        </w:tc>
      </w:tr>
      <w:tr w:rsidR="00EB6E46" w:rsidRPr="00EB6E46" w14:paraId="0654D6D9" w14:textId="77777777" w:rsidTr="00A20089">
        <w:trPr>
          <w:cantSplit/>
        </w:trPr>
        <w:tc>
          <w:tcPr>
            <w:tcW w:w="94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B452A" w14:textId="77777777" w:rsidR="00EB6E46" w:rsidRPr="00EB6E46" w:rsidRDefault="00EB6E46" w:rsidP="00EB6E46">
            <w:pPr>
              <w:suppressAutoHyphens/>
              <w:spacing w:line="240" w:lineRule="auto"/>
              <w:rPr>
                <w:rFonts w:ascii="Calibri" w:hAnsi="Calibri" w:cs="Calibri"/>
                <w:lang w:val="en-US"/>
              </w:rPr>
            </w:pPr>
            <w:r w:rsidRPr="00EB6E46">
              <w:rPr>
                <w:rFonts w:ascii="Calibri" w:hAnsi="Calibri" w:cs="Calibri"/>
                <w:lang w:val="en-US"/>
              </w:rPr>
              <w:t xml:space="preserve">Children’s Internet Protection Act (CIPA) 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91461" w14:textId="5AC2EAB0" w:rsidR="00EB6E46" w:rsidRPr="00EB6E46" w:rsidRDefault="00E355B2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E355B2">
              <w:rPr>
                <w:rFonts w:ascii="Calibri" w:hAnsi="Calibri" w:cs="Calibri"/>
              </w:rPr>
              <w:t>CIPA mandates that schools and libraries must implement internet filtering and safety measures to protect children from harmful online content.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9FA8F3" w14:textId="0C41854D" w:rsidR="00EB6E46" w:rsidRPr="00EB6E46" w:rsidRDefault="00A8467A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A8467A">
              <w:rPr>
                <w:rFonts w:ascii="Calibri" w:hAnsi="Calibri" w:cs="Calibri"/>
              </w:rPr>
              <w:t>Children using the internet in schools and libraries</w:t>
            </w:r>
          </w:p>
        </w:tc>
        <w:tc>
          <w:tcPr>
            <w:tcW w:w="1351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2158B4" w14:textId="7972203C" w:rsidR="00EB6E46" w:rsidRPr="00EB6E46" w:rsidRDefault="00A8467A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A8467A">
              <w:rPr>
                <w:rFonts w:ascii="Calibri" w:hAnsi="Calibri" w:cs="Calibri"/>
              </w:rPr>
              <w:t>School or library administrators are responsible for ensuring CIPA compliance.</w:t>
            </w:r>
          </w:p>
        </w:tc>
      </w:tr>
      <w:tr w:rsidR="00EB6E46" w:rsidRPr="00EB6E46" w14:paraId="7222D111" w14:textId="77777777" w:rsidTr="00A20089">
        <w:trPr>
          <w:cantSplit/>
        </w:trPr>
        <w:tc>
          <w:tcPr>
            <w:tcW w:w="94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C2F40E" w14:textId="77777777" w:rsidR="00EB6E46" w:rsidRPr="00EB6E46" w:rsidRDefault="00EB6E46" w:rsidP="00EB6E46">
            <w:pPr>
              <w:suppressAutoHyphens/>
              <w:spacing w:line="240" w:lineRule="auto"/>
              <w:rPr>
                <w:rFonts w:ascii="Calibri" w:hAnsi="Calibri" w:cs="Calibri"/>
                <w:lang w:val="en-US"/>
              </w:rPr>
            </w:pPr>
            <w:r w:rsidRPr="00EB6E46">
              <w:rPr>
                <w:rFonts w:ascii="Calibri" w:hAnsi="Calibri" w:cs="Calibri"/>
                <w:lang w:val="en-US"/>
              </w:rPr>
              <w:t>Federal Information Security Management Act (FISMA)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9CA3F" w14:textId="5E627199" w:rsidR="00EB6E46" w:rsidRPr="00EB6E46" w:rsidRDefault="00A8467A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A8467A">
              <w:rPr>
                <w:rFonts w:ascii="Calibri" w:hAnsi="Calibri" w:cs="Calibri"/>
              </w:rPr>
              <w:t>FISMA requires federal agencies to establish and maintain information security programs to safeguard sensitive government information and systems.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B2E" w14:textId="70D5CF27" w:rsidR="00EB6E46" w:rsidRPr="00EB6E46" w:rsidRDefault="00A8467A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A8467A">
              <w:rPr>
                <w:rFonts w:ascii="Calibri" w:hAnsi="Calibri" w:cs="Calibri"/>
              </w:rPr>
              <w:t>Federal government and its agencies</w:t>
            </w:r>
          </w:p>
        </w:tc>
        <w:tc>
          <w:tcPr>
            <w:tcW w:w="1351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955D22" w14:textId="700A0061" w:rsidR="00EB6E46" w:rsidRPr="00EB6E46" w:rsidRDefault="00A8467A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A8467A">
              <w:rPr>
                <w:rFonts w:ascii="Calibri" w:hAnsi="Calibri" w:cs="Calibri"/>
              </w:rPr>
              <w:t>Chief Information Officers and Chief Information Security Officers are typically responsible for FISMA compliance within federal agencies.</w:t>
            </w:r>
          </w:p>
        </w:tc>
      </w:tr>
      <w:tr w:rsidR="00EB6E46" w:rsidRPr="00EB6E46" w14:paraId="53E07570" w14:textId="77777777" w:rsidTr="00A20089">
        <w:trPr>
          <w:cantSplit/>
        </w:trPr>
        <w:tc>
          <w:tcPr>
            <w:tcW w:w="94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B72C9" w14:textId="77777777" w:rsidR="00EB6E46" w:rsidRPr="00EB6E46" w:rsidRDefault="00EB6E46" w:rsidP="00EB6E46">
            <w:pPr>
              <w:suppressAutoHyphens/>
              <w:spacing w:line="240" w:lineRule="auto"/>
              <w:rPr>
                <w:rFonts w:ascii="Calibri" w:hAnsi="Calibri" w:cs="Calibri"/>
                <w:lang w:val="en-US"/>
              </w:rPr>
            </w:pPr>
            <w:r w:rsidRPr="00EB6E46">
              <w:rPr>
                <w:rFonts w:ascii="Calibri" w:hAnsi="Calibri" w:cs="Calibri"/>
                <w:lang w:val="en-US"/>
              </w:rPr>
              <w:t>State Data Breach Notification Laws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2F5B5D" w14:textId="696350B0" w:rsidR="00EB6E46" w:rsidRPr="00EB6E46" w:rsidRDefault="00A8467A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A8467A">
              <w:rPr>
                <w:rFonts w:ascii="Calibri" w:hAnsi="Calibri" w:cs="Calibri"/>
              </w:rPr>
              <w:t>These state-specific laws require organizations to notify individuals when their personal information is compromised in a data breach.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D0F086" w14:textId="414AE930" w:rsidR="00EB6E46" w:rsidRPr="00EB6E46" w:rsidRDefault="00A8467A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A8467A">
              <w:rPr>
                <w:rFonts w:ascii="Calibri" w:hAnsi="Calibri" w:cs="Calibri"/>
              </w:rPr>
              <w:t>Residents of the respective state where the breach occurs</w:t>
            </w:r>
          </w:p>
        </w:tc>
        <w:tc>
          <w:tcPr>
            <w:tcW w:w="1351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83AB1" w14:textId="2C5D4366" w:rsidR="00EB6E46" w:rsidRPr="00EB6E46" w:rsidRDefault="00A8467A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A8467A">
              <w:rPr>
                <w:rFonts w:ascii="Calibri" w:hAnsi="Calibri" w:cs="Calibri"/>
              </w:rPr>
              <w:t>Legal and compliance teams, as well as data security professionals, are responsible for compliance with state data breach notification laws.</w:t>
            </w:r>
          </w:p>
        </w:tc>
      </w:tr>
      <w:tr w:rsidR="00EB6E46" w:rsidRPr="00EB6E46" w14:paraId="02039038" w14:textId="77777777" w:rsidTr="00A20089">
        <w:trPr>
          <w:cantSplit/>
        </w:trPr>
        <w:tc>
          <w:tcPr>
            <w:tcW w:w="94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61B0F" w14:textId="77777777" w:rsidR="00EB6E46" w:rsidRPr="00EB6E46" w:rsidRDefault="00EB6E46" w:rsidP="00EB6E46">
            <w:pPr>
              <w:suppressAutoHyphens/>
              <w:spacing w:line="240" w:lineRule="auto"/>
              <w:rPr>
                <w:rFonts w:ascii="Calibri" w:hAnsi="Calibri" w:cs="Calibri"/>
                <w:lang w:val="en-US"/>
              </w:rPr>
            </w:pPr>
            <w:r w:rsidRPr="00EB6E46">
              <w:rPr>
                <w:rFonts w:ascii="Calibri" w:hAnsi="Calibri" w:cs="Calibri"/>
                <w:lang w:val="en-US"/>
              </w:rPr>
              <w:lastRenderedPageBreak/>
              <w:t>U.S. Constitution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8F254" w14:textId="380C8518" w:rsidR="00EB6E46" w:rsidRPr="00EB6E46" w:rsidRDefault="00A8467A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A8467A">
              <w:rPr>
                <w:rFonts w:ascii="Calibri" w:hAnsi="Calibri" w:cs="Calibri"/>
              </w:rPr>
              <w:t>The U.S. Constitution contains various amendments and protections, including the Fourth Amendment, which safeguards individuals' rights against unreasonable searches and seizures by the government.</w:t>
            </w:r>
          </w:p>
        </w:tc>
        <w:tc>
          <w:tcPr>
            <w:tcW w:w="135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55F3A" w14:textId="443CAFEF" w:rsidR="00EB6E46" w:rsidRPr="00EB6E46" w:rsidRDefault="00A8467A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A8467A">
              <w:rPr>
                <w:rFonts w:ascii="Calibri" w:hAnsi="Calibri" w:cs="Calibri"/>
              </w:rPr>
              <w:t>U.S. citizens and residents</w:t>
            </w:r>
          </w:p>
        </w:tc>
        <w:tc>
          <w:tcPr>
            <w:tcW w:w="1351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2FE53" w14:textId="0DC6EEF6" w:rsidR="00EB6E46" w:rsidRPr="00EB6E46" w:rsidRDefault="00A8467A" w:rsidP="00EB6E46">
            <w:pPr>
              <w:suppressAutoHyphens/>
              <w:spacing w:line="240" w:lineRule="auto"/>
              <w:contextualSpacing w:val="0"/>
              <w:rPr>
                <w:rFonts w:ascii="Calibri" w:hAnsi="Calibri" w:cs="Calibri"/>
                <w:lang w:val="en-US"/>
              </w:rPr>
            </w:pPr>
            <w:r w:rsidRPr="00A8467A">
              <w:rPr>
                <w:rFonts w:ascii="Calibri" w:hAnsi="Calibri" w:cs="Calibri"/>
              </w:rPr>
              <w:t>Compliance with the U.S. Constitution is the responsibility of all government agencies and officials, as well as law enforcement and the judicial system.</w:t>
            </w:r>
          </w:p>
        </w:tc>
      </w:tr>
    </w:tbl>
    <w:p w14:paraId="5DC0748E" w14:textId="77777777" w:rsidR="00E965E7" w:rsidRDefault="00E965E7" w:rsidP="00EB6E46">
      <w:pPr>
        <w:suppressAutoHyphens/>
        <w:spacing w:line="240" w:lineRule="auto"/>
        <w:contextualSpacing w:val="0"/>
        <w:rPr>
          <w:rFonts w:ascii="Calibri" w:hAnsi="Calibri" w:cs="Calibri"/>
          <w:lang w:val="en-US"/>
        </w:rPr>
      </w:pPr>
    </w:p>
    <w:p w14:paraId="6845F3B3" w14:textId="77777777" w:rsidR="00E355B2" w:rsidRDefault="00E355B2" w:rsidP="00EB6E46">
      <w:pPr>
        <w:suppressAutoHyphens/>
        <w:spacing w:line="240" w:lineRule="auto"/>
        <w:contextualSpacing w:val="0"/>
        <w:rPr>
          <w:rFonts w:ascii="Calibri" w:hAnsi="Calibri" w:cs="Calibri"/>
          <w:lang w:val="en-US"/>
        </w:rPr>
      </w:pPr>
    </w:p>
    <w:p w14:paraId="2DC2AE31" w14:textId="5CBBFEB3" w:rsidR="00E355B2" w:rsidRPr="00EB6E46" w:rsidRDefault="00E355B2" w:rsidP="00EB6E46">
      <w:pPr>
        <w:suppressAutoHyphens/>
        <w:spacing w:line="240" w:lineRule="auto"/>
        <w:contextualSpacing w:val="0"/>
        <w:rPr>
          <w:rFonts w:ascii="Calibri" w:hAnsi="Calibri" w:cs="Calibri"/>
          <w:lang w:val="en-US"/>
        </w:rPr>
      </w:pPr>
    </w:p>
    <w:sectPr w:rsidR="00E355B2" w:rsidRPr="00EB6E46" w:rsidSect="00EB6E46">
      <w:headerReference w:type="default" r:id="rId10"/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0104C" w14:textId="77777777" w:rsidR="00A00ACE" w:rsidRDefault="00A00ACE" w:rsidP="00E46E73">
      <w:pPr>
        <w:spacing w:line="240" w:lineRule="auto"/>
      </w:pPr>
      <w:r>
        <w:separator/>
      </w:r>
    </w:p>
  </w:endnote>
  <w:endnote w:type="continuationSeparator" w:id="0">
    <w:p w14:paraId="2C5D23AE" w14:textId="77777777" w:rsidR="00A00ACE" w:rsidRDefault="00A00ACE" w:rsidP="00E46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7B349" w14:textId="77777777" w:rsidR="00A00ACE" w:rsidRDefault="00A00ACE" w:rsidP="00E46E73">
      <w:pPr>
        <w:spacing w:line="240" w:lineRule="auto"/>
      </w:pPr>
      <w:r>
        <w:separator/>
      </w:r>
    </w:p>
  </w:footnote>
  <w:footnote w:type="continuationSeparator" w:id="0">
    <w:p w14:paraId="1F247242" w14:textId="77777777" w:rsidR="00A00ACE" w:rsidRDefault="00A00ACE" w:rsidP="00E46E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DDE6E" w14:textId="77777777" w:rsidR="00E46E73" w:rsidRPr="00E46E73" w:rsidRDefault="00E46E73" w:rsidP="00E46E73">
    <w:pPr>
      <w:spacing w:after="200" w:line="240" w:lineRule="auto"/>
      <w:contextualSpacing w:val="0"/>
      <w:jc w:val="center"/>
      <w:rPr>
        <w:rFonts w:ascii="Calibri" w:hAnsi="Calibri" w:cs="Calibri"/>
      </w:rPr>
    </w:pPr>
    <w:r w:rsidRPr="00E46E73">
      <w:rPr>
        <w:rFonts w:ascii="Calibri" w:hAnsi="Calibri" w:cs="Calibri"/>
        <w:noProof/>
        <w:lang w:val="en-US"/>
      </w:rPr>
      <w:drawing>
        <wp:inline distT="0" distB="0" distL="0" distR="0" wp14:anchorId="46A97141" wp14:editId="6D6AA0A1">
          <wp:extent cx="2743200" cy="409575"/>
          <wp:effectExtent l="0" t="0" r="0" b="9525"/>
          <wp:docPr id="2" name="image2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MP_SNHU_withQuill_Horizstac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E074E"/>
    <w:multiLevelType w:val="multilevel"/>
    <w:tmpl w:val="F2AEC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146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E7"/>
    <w:rsid w:val="00066F64"/>
    <w:rsid w:val="00082959"/>
    <w:rsid w:val="00096A0B"/>
    <w:rsid w:val="000A5F6B"/>
    <w:rsid w:val="00103739"/>
    <w:rsid w:val="001409E1"/>
    <w:rsid w:val="00147C89"/>
    <w:rsid w:val="001F67D0"/>
    <w:rsid w:val="00245733"/>
    <w:rsid w:val="003B05E5"/>
    <w:rsid w:val="004743F9"/>
    <w:rsid w:val="0059538C"/>
    <w:rsid w:val="005F06F0"/>
    <w:rsid w:val="006F5FF0"/>
    <w:rsid w:val="007A5959"/>
    <w:rsid w:val="007E4369"/>
    <w:rsid w:val="008B64D1"/>
    <w:rsid w:val="008C3B5C"/>
    <w:rsid w:val="008F635D"/>
    <w:rsid w:val="009507FA"/>
    <w:rsid w:val="009C5320"/>
    <w:rsid w:val="00A00ACE"/>
    <w:rsid w:val="00A20089"/>
    <w:rsid w:val="00A8467A"/>
    <w:rsid w:val="00B25919"/>
    <w:rsid w:val="00B36B18"/>
    <w:rsid w:val="00C40C3C"/>
    <w:rsid w:val="00CE0929"/>
    <w:rsid w:val="00D45B8A"/>
    <w:rsid w:val="00D52BAF"/>
    <w:rsid w:val="00D60E8D"/>
    <w:rsid w:val="00E03E5F"/>
    <w:rsid w:val="00E355B2"/>
    <w:rsid w:val="00E42B1C"/>
    <w:rsid w:val="00E46E73"/>
    <w:rsid w:val="00E8128D"/>
    <w:rsid w:val="00E965E7"/>
    <w:rsid w:val="00EB6E46"/>
    <w:rsid w:val="00F2016B"/>
    <w:rsid w:val="00FB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379A"/>
  <w15:docId w15:val="{37A3CA9B-ADAE-46F8-AC69-A1B2B6B9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66F64"/>
  </w:style>
  <w:style w:type="paragraph" w:styleId="Heading1">
    <w:name w:val="heading 1"/>
    <w:basedOn w:val="Normal"/>
    <w:next w:val="Normal"/>
    <w:rsid w:val="008F635D"/>
    <w:pPr>
      <w:suppressAutoHyphens/>
      <w:spacing w:line="240" w:lineRule="auto"/>
      <w:contextualSpacing w:val="0"/>
      <w:jc w:val="center"/>
      <w:outlineLvl w:val="0"/>
    </w:pPr>
    <w:rPr>
      <w:rFonts w:ascii="Calibri" w:hAnsi="Calibri" w:cs="Calibri"/>
      <w:b/>
      <w:sz w:val="24"/>
      <w:lang w:val="en-US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semiHidden/>
    <w:unhideWhenUsed/>
    <w:rsid w:val="006F5F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6E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E73"/>
  </w:style>
  <w:style w:type="paragraph" w:styleId="Footer">
    <w:name w:val="footer"/>
    <w:basedOn w:val="Normal"/>
    <w:link w:val="FooterChar"/>
    <w:uiPriority w:val="99"/>
    <w:unhideWhenUsed/>
    <w:rsid w:val="00E46E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E73"/>
  </w:style>
  <w:style w:type="paragraph" w:styleId="BalloonText">
    <w:name w:val="Balloon Text"/>
    <w:basedOn w:val="Normal"/>
    <w:link w:val="BalloonTextChar"/>
    <w:uiPriority w:val="99"/>
    <w:semiHidden/>
    <w:unhideWhenUsed/>
    <w:rsid w:val="005953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64973B-0286-4251-BB96-95328F55B8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EA4894-52A1-471B-9CBA-0147626FBF5A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64A87465-C8CD-4919-95C1-B9934B725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 260 Module Three Worksheet</vt:lpstr>
    </vt:vector>
  </TitlesOfParts>
  <Company>SNHU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 260 Module Three Worksheet</dc:title>
  <dc:creator>Willoughby, Will</dc:creator>
  <cp:lastModifiedBy>Phillips, Jarrett</cp:lastModifiedBy>
  <cp:revision>3</cp:revision>
  <dcterms:created xsi:type="dcterms:W3CDTF">2023-11-06T21:32:00Z</dcterms:created>
  <dcterms:modified xsi:type="dcterms:W3CDTF">2025-03-06T23:58:00Z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