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spacing w:before="240" w:after="160"/>
        <w:jc w:val="center"/>
      </w:pPr>
      <w:r>
        <w:rPr>
          <w:b/>
          <w:sz w:val="32"/>
        </w:rPr>
        <w:t xml:space="preserve">Домашнее задание. Урок 7</w:t>
      </w:r>
    </w:p>
    <w:p>
      <w:pPr>
        <w:spacing w:before="240" w:after="160"/>
        <w:jc w:val="center"/>
      </w:pPr>
      <w:r>
        <w:rPr>
          <w:b/>
          <w:sz w:val="32"/>
        </w:rPr>
        <w:t xml:space="preserve">Сбор требований к моделям машинного обучения</w:t>
      </w:r>
    </w:p>
    <w:p/>
    <w:p>
      <w:pPr>
        <w:spacing w:after="80"/>
        <w:jc w:val="both"/>
      </w:pPr>
      <w:r>
        <w:t xml:space="preserve">Профессиональная область: производство, эксплуатация технологического оборудования. Рассматривается задача предиктивного обслуживания — заблаговременного выявления узлов оборудования, близких к отказу.</w:t>
      </w:r>
    </w:p>
    <w:p/>
    <w:p>
      <w:pPr>
        <w:spacing w:before="280" w:after="120"/>
      </w:pPr>
      <w:r>
        <w:rPr>
          <w:b/>
          <w:sz w:val="26"/>
        </w:rPr>
        <w:t xml:space="preserve">1. Проблема, которую предполагается решить с помощью ML</w:t>
      </w:r>
    </w:p>
    <w:p/>
    <w:p>
      <w:pPr>
        <w:spacing w:after="80"/>
        <w:jc w:val="both"/>
      </w:pPr>
      <w:r>
        <w:t xml:space="preserve">Основная потеря на производственной линии — это внеплановые остановы из-за отказов механических узлов: подшипниковых опор, приводов, насосов, редукторов. Отказ происходит без явного предупреждения и приводит сразу к нескольким видам потерь:</w:t>
      </w:r>
    </w:p>
    <w:p/>
    <w:p>
      <w:pPr>
        <w:spacing w:after="40"/>
        <w:ind w:left="454" w:hanging="227"/>
      </w:pPr>
      <w:r>
        <w:t xml:space="preserve">— недовыпуск продукции за время простоя, причём остановка одного узла останавливает всю линию;</w:t>
      </w:r>
    </w:p>
    <w:p>
      <w:pPr>
        <w:spacing w:after="40"/>
        <w:ind w:left="454" w:hanging="227"/>
      </w:pPr>
      <w:r>
        <w:t xml:space="preserve">— аварийный ремонт обходится дороже планового: сверхурочные, срочная доставка запчасти, иногда повреждение смежных деталей;</w:t>
      </w:r>
    </w:p>
    <w:p>
      <w:pPr>
        <w:spacing w:after="40"/>
        <w:ind w:left="454" w:hanging="227"/>
      </w:pPr>
      <w:r>
        <w:t xml:space="preserve">— часть продукции, находившейся в обработке в момент останова, уходит в брак;</w:t>
      </w:r>
    </w:p>
    <w:p>
      <w:pPr>
        <w:spacing w:after="40"/>
        <w:ind w:left="454" w:hanging="227"/>
      </w:pPr>
      <w:r>
        <w:t xml:space="preserve">— при этом обратная крайность тоже стоит денег — узлы, которые меняют строго по регламенту, нередко вырабатывают далеко не весь свой ресурс.</w:t>
      </w:r>
    </w:p>
    <w:p/>
    <w:p>
      <w:pPr>
        <w:spacing w:after="80"/>
        <w:jc w:val="both"/>
      </w:pPr>
      <w:r>
        <w:t xml:space="preserve">Гипотеза состоит в том, что признаки приближающегося отказа присутствуют в телеметрии оборудования за десятки часов до самого отказа, но не распознаются ни действующими пороговыми уставками, ни при обходах.</w:t>
      </w:r>
    </w:p>
    <w:p/>
    <w:p>
      <w:pPr>
        <w:spacing w:before="280" w:after="120"/>
      </w:pPr>
      <w:r>
        <w:rPr>
          <w:b/>
          <w:sz w:val="26"/>
        </w:rPr>
        <w:t xml:space="preserve">2. Показатель эффективного решения проблемы</w:t>
      </w:r>
    </w:p>
    <w:p/>
    <w:p>
      <w:pPr>
        <w:spacing w:after="80"/>
        <w:jc w:val="both"/>
      </w:pPr>
      <w:r>
        <w:t xml:space="preserve">Основная бизнес-метрика — доля внеплановых простоев в фонде рабочего времени линии. Формулировка цели в том виде, в каком её имеет смысл согласовывать с заказчиком: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Снизить долю внеплановых простоев линии с 6% до 4% фонда рабочего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времени в течение 6 месяцев, не увеличивая бюджет на техническое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обслуживание более чем на 10%</w:t>
      </w:r>
    </w:p>
    <w:p/>
    <w:p>
      <w:pPr>
        <w:spacing w:after="80"/>
        <w:jc w:val="both"/>
      </w:pPr>
      <w:r>
        <w:t xml:space="preserve">Ограничение по бюджету здесь обязательно. Без него задача решается тривиально и бессмысленно: достаточно менять все узлы вдвое чаще.</w:t>
      </w:r>
    </w:p>
    <w:p/>
    <w:p>
      <w:pPr>
        <w:spacing w:after="80"/>
        <w:jc w:val="both"/>
      </w:pPr>
      <w:r>
        <w:t xml:space="preserve">Вспомогательные показатели, за которыми нужно следить, чтобы улучшение одного не было получено за счёт ухудшения другого:</w:t>
      </w:r>
    </w:p>
    <w:p/>
    <w:p>
      <w:pPr>
        <w:spacing w:after="40"/>
        <w:ind w:left="454" w:hanging="227"/>
      </w:pPr>
      <w:r>
        <w:t xml:space="preserve">— OEE линии (общая эффективность оборудования) — не должна снижаться;</w:t>
      </w:r>
    </w:p>
    <w:p>
      <w:pPr>
        <w:spacing w:after="40"/>
        <w:ind w:left="454" w:hanging="227"/>
      </w:pPr>
      <w:r>
        <w:t xml:space="preserve">— средняя наработка на отказ (MTBF) — должна расти;</w:t>
      </w:r>
    </w:p>
    <w:p>
      <w:pPr>
        <w:spacing w:after="40"/>
        <w:ind w:left="454" w:hanging="227"/>
      </w:pPr>
      <w:r>
        <w:t xml:space="preserve">— доля узлов, заменённых со значительным остаточным ресурсом — не должна расти;</w:t>
      </w:r>
    </w:p>
    <w:p>
      <w:pPr>
        <w:spacing w:after="40"/>
        <w:ind w:left="454" w:hanging="227"/>
      </w:pPr>
      <w:r>
        <w:t xml:space="preserve">— число ложных тревог на одного механика в смену — ключевой показатель доверия к системе.</w:t>
      </w:r>
    </w:p>
    <w:p/>
    <w:p>
      <w:pPr>
        <w:spacing w:before="280" w:after="120"/>
      </w:pPr>
      <w:r>
        <w:rPr>
          <w:b/>
          <w:sz w:val="26"/>
        </w:rPr>
        <w:t xml:space="preserve">3. Как проблема решается сейчас</w:t>
      </w:r>
    </w:p>
    <w:p/>
    <w:p>
      <w:pPr>
        <w:spacing w:after="80"/>
        <w:jc w:val="both"/>
      </w:pPr>
      <w:r>
        <w:t xml:space="preserve">Сейчас используются три механизма, и все они работают либо постфактум, либо вслепую:</w:t>
      </w:r>
    </w:p>
    <w:p/>
    <w:p>
      <w:pPr>
        <w:spacing w:after="40"/>
        <w:ind w:left="454" w:hanging="227"/>
      </w:pPr>
      <w:r>
        <w:t xml:space="preserve">— планово-предупредительный ремонт по регламенту: узел обслуживается по календарю или по наработке в часах, независимо от фактического состояния;</w:t>
      </w:r>
    </w:p>
    <w:p>
      <w:pPr>
        <w:spacing w:after="40"/>
        <w:ind w:left="454" w:hanging="227"/>
      </w:pPr>
      <w:r>
        <w:t xml:space="preserve">— обходы и субъективная оценка механика — нагрев, посторонний шум, вибрация на ощупь; качество такой оценки полностью зависит от опыта конкретного человека и его текущей загрузки;</w:t>
      </w:r>
    </w:p>
    <w:p>
      <w:pPr>
        <w:spacing w:after="40"/>
        <w:ind w:left="454" w:hanging="227"/>
      </w:pPr>
      <w:r>
        <w:t xml:space="preserve">— аварийные пороговые уставки на щите управления: при превышении температуры или вибрации оборудование останавливается автоматически.</w:t>
      </w:r>
    </w:p>
    <w:p/>
    <w:p>
      <w:pPr>
        <w:spacing w:after="80"/>
        <w:jc w:val="both"/>
      </w:pPr>
      <w:r>
        <w:t xml:space="preserve">Регламент не учитывает фактические условия работы, обход субъективен и нерегулярен, а аварийная уставка по своей природе срабатывает тогда, когда предотвращать уже нечего.</w:t>
      </w:r>
    </w:p>
    <w:p/>
    <w:p>
      <w:pPr>
        <w:spacing w:before="280" w:after="120"/>
      </w:pPr>
      <w:r>
        <w:rPr>
          <w:b/>
          <w:sz w:val="26"/>
        </w:rPr>
        <w:t xml:space="preserve">4. Решается ли задача набором логических правил «если-то»?</w:t>
      </w:r>
    </w:p>
    <w:p/>
    <w:p>
      <w:pPr>
        <w:spacing w:after="80"/>
        <w:jc w:val="both"/>
      </w:pPr>
      <w:r>
        <w:t xml:space="preserve">Частично — и эта часть уже внедрена. Аварийные уставки представляют собой именно набор правил вида «если температура выше X, то стоп». Проблема в том, что на них нельзя построить раннее предупреждение, и вот почему.</w:t>
      </w:r>
    </w:p>
    <w:p/>
    <w:p>
      <w:pPr>
        <w:spacing w:after="40"/>
        <w:ind w:left="454" w:hanging="227"/>
      </w:pPr>
      <w:r>
        <w:t xml:space="preserve">— Порог, установленный на безопасном уровне, срабатывает практически в момент отказа. Запаса времени на планирование ремонта он не даёт.</w:t>
      </w:r>
    </w:p>
    <w:p>
      <w:pPr>
        <w:spacing w:after="40"/>
        <w:ind w:left="454" w:hanging="227"/>
      </w:pPr>
      <w:r>
        <w:t xml:space="preserve">— Попытка опустить порог, чтобы получить упреждение, приводит к лавине ложных срабатываний. Персонал начинает их игнорировать, и защита обесценивается.</w:t>
      </w:r>
    </w:p>
    <w:p>
      <w:pPr>
        <w:spacing w:after="40"/>
        <w:ind w:left="454" w:hanging="227"/>
      </w:pPr>
      <w:r>
        <w:t xml:space="preserve">— Деградация проявляется не в одном признаке, а в совместном изменении нескольких сразу: растёт амплитуда вибрации на характерной частоте, одновременно немного растёт температура опоры и потребляемый ток привода. Каждое изменение по отдельности лежит в пределах нормы, диагностически значима именно их комбинация.</w:t>
      </w:r>
    </w:p>
    <w:p>
      <w:pPr>
        <w:spacing w:after="40"/>
        <w:ind w:left="454" w:hanging="227"/>
      </w:pPr>
      <w:r>
        <w:t xml:space="preserve">— Нормальный уровень этих величин непостоянен. Он зависит от режима линии, вида выпускаемой продукции, температуры в цехе, времени с момента последнего обслуживания. Один и тот же уровень вибрации может быть нормой для одного режима и признаком дефекта для другого.</w:t>
      </w:r>
    </w:p>
    <w:p/>
    <w:p>
      <w:pPr>
        <w:spacing w:after="80"/>
        <w:jc w:val="both"/>
      </w:pPr>
      <w:r>
        <w:t xml:space="preserve">Составить вручную правила для всех сочетаний узлов и режимов практически невозможно, а при смене номенклатуры продукции такие правила пришлось бы переписывать заново. Именно здесь модель даёт то, чего правила дать не могут: она восстанавливает норму для каждого режима по самим данным, а не по экспертной догадке.</w:t>
      </w:r>
    </w:p>
    <w:p/>
    <w:p>
      <w:pPr>
        <w:spacing w:after="80"/>
        <w:jc w:val="both"/>
      </w:pPr>
      <w:r>
        <w:t xml:space="preserve">Важная оговорка: ML не заменяет аварийные защиты. Они остаются последним контуром безопасности, модель лишь добавляет к ним ранний горизонт предупреждения.</w:t>
      </w:r>
    </w:p>
    <w:p/>
    <w:p>
      <w:pPr>
        <w:spacing w:before="280" w:after="120"/>
      </w:pPr>
      <w:r>
        <w:rPr>
          <w:b/>
          <w:sz w:val="26"/>
        </w:rPr>
        <w:t xml:space="preserve">5. Данные</w:t>
      </w:r>
    </w:p>
    <w:p/>
    <w:p>
      <w:pPr>
        <w:spacing w:before="120" w:after="60"/>
      </w:pPr>
      <w:r>
        <w:rPr>
          <w:b/>
        </w:rPr>
        <w:t xml:space="preserve">Уже имеются:</w:t>
      </w:r>
    </w:p>
    <w:p/>
    <w:p>
      <w:pPr>
        <w:spacing w:after="40"/>
        <w:ind w:left="454" w:hanging="227"/>
      </w:pPr>
      <w:r>
        <w:t xml:space="preserve">— телеметрия из АСУ ТП и SCADA: вибрация, температура подшипниковых узлов, ток и мощность привода, давление, обороты — с накопленной историей;</w:t>
      </w:r>
    </w:p>
    <w:p>
      <w:pPr>
        <w:spacing w:after="40"/>
        <w:ind w:left="454" w:hanging="227"/>
      </w:pPr>
      <w:r>
        <w:t xml:space="preserve">— журнал остановов линии с кодами причин из MES;</w:t>
      </w:r>
    </w:p>
    <w:p>
      <w:pPr>
        <w:spacing w:after="40"/>
        <w:ind w:left="454" w:hanging="227"/>
      </w:pPr>
      <w:r>
        <w:t xml:space="preserve">— история ремонтов и обслуживания из системы ТОиР: какой узел, когда, что менялось, какая была наработка;</w:t>
      </w:r>
    </w:p>
    <w:p>
      <w:pPr>
        <w:spacing w:after="40"/>
        <w:ind w:left="454" w:hanging="227"/>
      </w:pPr>
      <w:r>
        <w:t xml:space="preserve">— паспорта оборудования, регламенты ТО, номенклатура запчастей;</w:t>
      </w:r>
    </w:p>
    <w:p>
      <w:pPr>
        <w:spacing w:after="40"/>
        <w:ind w:left="454" w:hanging="227"/>
      </w:pPr>
      <w:r>
        <w:t xml:space="preserve">— производственный план, по которому восстанавливается режим работы линии в каждый момент времени.</w:t>
      </w:r>
    </w:p>
    <w:p/>
    <w:p>
      <w:pPr>
        <w:spacing w:before="120" w:after="60"/>
      </w:pPr>
      <w:r>
        <w:rPr>
          <w:b/>
        </w:rPr>
        <w:t xml:space="preserve">Потребуются в идеале:</w:t>
      </w:r>
    </w:p>
    <w:p/>
    <w:p>
      <w:pPr>
        <w:spacing w:after="40"/>
        <w:ind w:left="454" w:hanging="227"/>
      </w:pPr>
      <w:r>
        <w:t xml:space="preserve">— вибрация с высокой частотой дискретизации и сохранением спектра, а не только среднеквадратичного значения: ранние признаки дефекта подшипника проявляются на характерных частотах, в интегральном показателе они теряются;</w:t>
      </w:r>
    </w:p>
    <w:p>
      <w:pPr>
        <w:spacing w:after="40"/>
        <w:ind w:left="454" w:hanging="227"/>
      </w:pPr>
      <w:r>
        <w:t xml:space="preserve">— дисциплинированно заполненные причины остановов — сейчас значительная их часть попадает в категорию «прочее» и для обучения непригодна;</w:t>
      </w:r>
    </w:p>
    <w:p>
      <w:pPr>
        <w:spacing w:after="40"/>
        <w:ind w:left="454" w:hanging="227"/>
      </w:pPr>
      <w:r>
        <w:t xml:space="preserve">— фактический момент отказа, а не момент оформления заявки на ремонт: разница между ними может составлять часы и напрямую портит разметку;</w:t>
      </w:r>
    </w:p>
    <w:p>
      <w:pPr>
        <w:spacing w:after="40"/>
        <w:ind w:left="454" w:hanging="227"/>
      </w:pPr>
      <w:r>
        <w:t xml:space="preserve">— данные о партии сырья и условиях в цехе — это часть факторов, определяющих фактическую нагрузку на узел;</w:t>
      </w:r>
    </w:p>
    <w:p>
      <w:pPr>
        <w:spacing w:after="40"/>
        <w:ind w:left="454" w:hanging="227"/>
      </w:pPr>
      <w:r>
        <w:t xml:space="preserve">— глубина истории не менее 18–24 месяцев: нужно захватить сезонность и накопить достаточное число самих отказов, поскольку именно они являются редким классом.</w:t>
      </w:r>
    </w:p>
    <w:p/>
    <w:p>
      <w:pPr>
        <w:spacing w:before="280" w:after="120"/>
      </w:pPr>
      <w:r>
        <w:rPr>
          <w:b/>
          <w:sz w:val="26"/>
        </w:rPr>
        <w:t xml:space="preserve">6. Формулировка задачи в терминах ML</w:t>
      </w:r>
    </w:p>
    <w:p/>
    <w:p>
      <w:pPr>
        <w:spacing w:after="80"/>
        <w:jc w:val="both"/>
      </w:pPr>
      <w:r>
        <w:t xml:space="preserve">Рассматривались три варианта постановки.</w:t>
      </w:r>
    </w:p>
    <w:p/>
    <w:p>
      <w:pPr>
        <w:spacing w:before="120" w:after="60"/>
      </w:pPr>
      <w:r>
        <w:rPr>
          <w:b/>
        </w:rPr>
        <w:t xml:space="preserve">Вариант А — бинарная классификация.</w:t>
      </w:r>
    </w:p>
    <w:p/>
    <w:p>
      <w:pPr>
        <w:spacing w:after="80"/>
        <w:jc w:val="both"/>
      </w:pPr>
      <w:r>
        <w:t xml:space="preserve">Предсказываем, произойдёт ли отказ узла в ближайшие 72 часа. Горизонт выбран из практических соображений: этого достаточно, чтобы заказать запчасть и включить узел в ближайшее плановое окно.</w:t>
      </w:r>
    </w:p>
    <w:p/>
    <w:p>
      <w:pPr>
        <w:spacing w:before="120" w:after="60"/>
      </w:pPr>
      <w:r>
        <w:rPr>
          <w:b/>
        </w:rPr>
        <w:t xml:space="preserve">Вариант Б — регрессия на остаточный ресурс.</w:t>
      </w:r>
    </w:p>
    <w:p/>
    <w:p>
      <w:pPr>
        <w:spacing w:after="80"/>
        <w:jc w:val="both"/>
      </w:pPr>
      <w:r>
        <w:t xml:space="preserve">Предсказываем, сколько часов узел проработает до отказа. Точнее для планирования, но требует большого числа полных траекторий «от исправного состояния до отказа», которых в истории мало.</w:t>
      </w:r>
    </w:p>
    <w:p/>
    <w:p>
      <w:pPr>
        <w:spacing w:before="120" w:after="60"/>
      </w:pPr>
      <w:r>
        <w:rPr>
          <w:b/>
        </w:rPr>
        <w:t xml:space="preserve">Вариант В — поиск аномалий без учителя.</w:t>
      </w:r>
    </w:p>
    <w:p/>
    <w:p>
      <w:pPr>
        <w:spacing w:after="80"/>
        <w:jc w:val="both"/>
      </w:pPr>
      <w:r>
        <w:t xml:space="preserve">Модель обучается нормальному поведению и отмечает отклонения от него. Не требует размеченных отказов, но и не отвечает на вопрос, когда именно ждать отказ.</w:t>
      </w:r>
    </w:p>
    <w:p/>
    <w:p>
      <w:pPr>
        <w:spacing w:after="80"/>
        <w:jc w:val="both"/>
      </w:pPr>
      <w:r>
        <w:t xml:space="preserve">Выбран вариант А. Он даёт однозначное действие по результату — включить узел в ближайшее ТО, проще всего валидируется на имеющихся данных и не требует того объёма размеченных траекторий, которого у предприятия пока нет. Вариант В разумно использовать параллельно на первом этапе, для тех узлов, по которым отказов в истории почти не накоплено.</w:t>
      </w:r>
    </w:p>
    <w:p/>
    <w:p>
      <w:pPr>
        <w:spacing w:before="280" w:after="120"/>
      </w:pPr>
      <w:r>
        <w:rPr>
          <w:b/>
          <w:sz w:val="26"/>
        </w:rPr>
        <w:t xml:space="preserve">7. Целевая переменная и её разметка</w:t>
      </w:r>
    </w:p>
    <w:p/>
    <w:p>
      <w:pPr>
        <w:spacing w:after="80"/>
        <w:jc w:val="both"/>
      </w:pPr>
      <w:r>
        <w:t xml:space="preserve">Целевая переменная бинарная: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target = 1, если в интервале [t, t + 72 ч] по данному узлу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зарегистрирован отказ или внеплановая замена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target = 0 во всех остальных случаях</w:t>
      </w:r>
    </w:p>
    <w:p/>
    <w:p>
      <w:pPr>
        <w:spacing w:after="80"/>
        <w:jc w:val="both"/>
      </w:pPr>
      <w:r>
        <w:t xml:space="preserve">Разметка выполняется автоматически: журнал остановов и наряды из системы ТОиР соединяются с временной шкалой телеметрии по идентификатору узла. Ручная разметка не требуется, но требуется аккуратность в нескольких местах.</w:t>
      </w:r>
    </w:p>
    <w:p/>
    <w:p>
      <w:pPr>
        <w:spacing w:after="40"/>
        <w:ind w:left="454" w:hanging="227"/>
      </w:pPr>
      <w:r>
        <w:t xml:space="preserve">— Плановые замены по регламенту не являются отказом и в положительный класс попадать не должны, иначе модель выучит календарь ТО вместо состояния оборудования.</w:t>
      </w:r>
    </w:p>
    <w:p>
      <w:pPr>
        <w:spacing w:after="40"/>
        <w:ind w:left="454" w:hanging="227"/>
      </w:pPr>
      <w:r>
        <w:t xml:space="preserve">— Период после отказа и ремонта нужно исключать из обучения: узел находится в принципиально другом состоянии, и приработка нового узла даёт нехарактерную картину.</w:t>
      </w:r>
    </w:p>
    <w:p>
      <w:pPr>
        <w:spacing w:after="40"/>
        <w:ind w:left="454" w:hanging="227"/>
      </w:pPr>
      <w:r>
        <w:t xml:space="preserve">— Необходимо исключить утечку целевой переменной. Признаки, которые появляются только после оформления заявки на ремонт — например, факт заказа запчасти, — использовать нельзя: на момент предсказания их ещё не существует.</w:t>
      </w:r>
    </w:p>
    <w:p>
      <w:pPr>
        <w:spacing w:after="40"/>
        <w:ind w:left="454" w:hanging="227"/>
      </w:pPr>
      <w:r>
        <w:t xml:space="preserve">— Классы сильно несбалансированы, доля положительных примеров составляет единицы процентов. Поэтому доля правильных ответов как метрика непригодна: модель, всегда отвечающая «отказа не будет», получит около 97% и нулевую пользу. Ориентироваться следует на полноту при фиксированном допустимом числе ложных тревог.</w:t>
      </w:r>
    </w:p>
    <w:p>
      <w:pPr>
        <w:spacing w:after="40"/>
        <w:ind w:left="454" w:hanging="227"/>
      </w:pPr>
      <w:r>
        <w:t xml:space="preserve">— Практическое качество разметки упирается в дисциплину заполнения журналов. Это организационная задача, и решать её нужно до начала моделирования, а не после.</w:t>
      </w:r>
    </w:p>
    <w:p/>
    <w:p>
      <w:pPr>
        <w:spacing w:before="280" w:after="120"/>
      </w:pPr>
      <w:r>
        <w:rPr>
          <w:b/>
          <w:sz w:val="26"/>
        </w:rPr>
        <w:t xml:space="preserve">8. Нефункциональные требования</w:t>
      </w:r>
    </w:p>
    <w:p/>
    <w:p>
      <w:pPr>
        <w:spacing w:after="40"/>
        <w:ind w:left="454" w:hanging="227"/>
      </w:pPr>
      <w:r>
        <w:t xml:space="preserve">— Скорость: работа в реальном времени не требуется, достаточно пересчитывать оценки раз в смену пакетным расчётом.</w:t>
      </w:r>
    </w:p>
    <w:p>
      <w:pPr>
        <w:spacing w:after="40"/>
        <w:ind w:left="454" w:hanging="227"/>
      </w:pPr>
      <w:r>
        <w:t xml:space="preserve">— Интерпретируемость: критична. Механик не пойдёт разбирать узел по указанию «чёрного ящика». Модель должна показывать, какие именно признаки вызвали тревогу, что склоняет выбор в сторону интерпретируемых моделей.</w:t>
      </w:r>
    </w:p>
    <w:p>
      <w:pPr>
        <w:spacing w:after="40"/>
        <w:ind w:left="454" w:hanging="227"/>
      </w:pPr>
      <w:r>
        <w:t xml:space="preserve">— Масштабируемость: десятки-сотни контролируемых узлов, объём данных умеренный, высоких требований к инфраструктуре нет.</w:t>
      </w:r>
    </w:p>
    <w:p>
      <w:pPr>
        <w:spacing w:after="40"/>
        <w:ind w:left="454" w:hanging="227"/>
      </w:pPr>
      <w:r>
        <w:t xml:space="preserve">— Стоимость: расчёт возможен на имеющихся мощностях предприятия, отдельная закупка оборудования не требуется.</w:t>
      </w:r>
    </w:p>
    <w:p/>
    <w:p>
      <w:pPr>
        <w:spacing w:before="280" w:after="120"/>
      </w:pPr>
      <w:r>
        <w:rPr>
          <w:b/>
          <w:sz w:val="26"/>
        </w:rPr>
        <w:t xml:space="preserve">9. Этические и юридические риски</w:t>
      </w:r>
    </w:p>
    <w:p/>
    <w:p>
      <w:pPr>
        <w:spacing w:before="120" w:after="60"/>
      </w:pPr>
      <w:r>
        <w:rPr>
          <w:b/>
        </w:rPr>
        <w:t xml:space="preserve">Непреднамеренная оценка персонала.</w:t>
      </w:r>
    </w:p>
    <w:p/>
    <w:p>
      <w:pPr>
        <w:spacing w:after="80"/>
        <w:jc w:val="both"/>
      </w:pPr>
      <w:r>
        <w:t xml:space="preserve">Телеметрия привязана ко времени, а через график смен — к конкретным операторам. Модель, формально предсказывающая состояние оборудования, легко превращается в инструмент оценки людей: «на смене такого-то узлы выходят из строя чаще». Это прямой путь к несправедливым кадровым решениям, поскольку модель не учитывает, что тяжёлые режимы могли просто чаще выпадать на эту смену. Меры: не включать идентификатор оператора и смены в признаки, а на уровне регламента закрепить, что выходы модели не используются в аттестации и премировании.</w:t>
      </w:r>
    </w:p>
    <w:p/>
    <w:p>
      <w:pPr>
        <w:spacing w:before="120" w:after="60"/>
      </w:pPr>
      <w:r>
        <w:rPr>
          <w:b/>
        </w:rPr>
        <w:t xml:space="preserve">Обработка персональных данных.</w:t>
      </w:r>
    </w:p>
    <w:p/>
    <w:p>
      <w:pPr>
        <w:spacing w:after="80"/>
        <w:jc w:val="both"/>
      </w:pPr>
      <w:r>
        <w:t xml:space="preserve">Если данные о персонале всё же попадают в контур решения, требуется правовое основание обработки и согласие работников. Это вопрос к юридической службе, а не к разработчику модели.</w:t>
      </w:r>
    </w:p>
    <w:p/>
    <w:p>
      <w:pPr>
        <w:spacing w:before="120" w:after="60"/>
      </w:pPr>
      <w:r>
        <w:rPr>
          <w:b/>
        </w:rPr>
        <w:t xml:space="preserve">Ответственность за ошибку модели.</w:t>
      </w:r>
    </w:p>
    <w:p/>
    <w:p>
      <w:pPr>
        <w:spacing w:after="80"/>
        <w:jc w:val="both"/>
      </w:pPr>
      <w:r>
        <w:t xml:space="preserve">Пропущенный отказ может привести не только к простою, но и к аварии и травме. Должно быть письменно зафиксировано, что модель носит рекомендательный характер, ответственность за решение остаётся на службе эксплуатации, а штатные аварийные защиты и блокировки не отключаются ни при каких предсказаниях модели.</w:t>
      </w:r>
    </w:p>
    <w:p/>
    <w:p>
      <w:pPr>
        <w:spacing w:before="120" w:after="60"/>
      </w:pPr>
      <w:r>
        <w:rPr>
          <w:b/>
        </w:rPr>
        <w:t xml:space="preserve">Цена ложной тревоги.</w:t>
      </w:r>
    </w:p>
    <w:p/>
    <w:p>
      <w:pPr>
        <w:spacing w:after="80"/>
        <w:jc w:val="both"/>
      </w:pPr>
      <w:r>
        <w:t xml:space="preserve">Обратная ошибка тоже имеет стоимость: остановка исправного оборудования — это прямые потери выпуска. Поэтому порог принятия решения должен согласовываться с производством, а не выбираться разработчиком модели в одиночку исходя из статистических соображений.</w:t>
      </w:r>
    </w:p>
    <w:p/>
    <w:p>
      <w:pPr>
        <w:spacing w:before="120" w:after="60"/>
      </w:pPr>
      <w:r>
        <w:rPr>
          <w:b/>
        </w:rPr>
        <w:t xml:space="preserve">Права на данные и режим доступа.</w:t>
      </w:r>
    </w:p>
    <w:p/>
    <w:p>
      <w:pPr>
        <w:spacing w:after="80"/>
        <w:jc w:val="both"/>
      </w:pPr>
      <w:r>
        <w:t xml:space="preserve">Телеметрия может принадлежать поставщику оборудования по договору сервисного обслуживания, и её выгрузка во внешний облачный сервис способна нарушить условия договора. Кроме того, если предприятие отнесено к значимым объектам критической информационной инфраструктуры, обработка технологических данных во внешнем облаке ограничена законодательно. Это нужно выяснить на этапе сбора требований, а не после выбора платформы.</w:t>
      </w:r>
    </w:p>
    <w:sectPr>
      <w:pgSz w:w="11906" w:h="16838"/>
      <w:pgMar w:top="1134" w:right="850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