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3a2999b3f0904bdbce25ed2b28572430e3432e8"/>
    <w:p>
      <w:pPr>
        <w:pStyle w:val="Heading1"/>
      </w:pPr>
      <w:r>
        <w:t xml:space="preserve">Cahier des charges détaillé de la plateforme GoSanté</w:t>
      </w:r>
    </w:p>
    <w:bookmarkStart w:id="21" w:name="contexte-et-objectifs"/>
    <w:p>
      <w:pPr>
        <w:pStyle w:val="Heading2"/>
      </w:pPr>
      <w:r>
        <w:t xml:space="preserve">1. Contexte et objectifs</w:t>
      </w:r>
    </w:p>
    <w:p>
      <w:pPr>
        <w:pStyle w:val="FirstParagraph"/>
      </w:pPr>
      <w:r>
        <w:t xml:space="preserve">Le projet</w:t>
      </w:r>
      <w:r>
        <w:t xml:space="preserve"> </w:t>
      </w:r>
      <w:r>
        <w:rPr>
          <w:b/>
          <w:bCs/>
        </w:rPr>
        <w:t xml:space="preserve">GoSanté</w:t>
      </w:r>
      <w:r>
        <w:t xml:space="preserve"> </w:t>
      </w:r>
      <w:r>
        <w:t xml:space="preserve">vise à</w:t>
      </w:r>
      <w:r>
        <w:t xml:space="preserve"> </w:t>
      </w:r>
      <w:r>
        <w:rPr>
          <w:i/>
          <w:iCs/>
        </w:rPr>
        <w:t xml:space="preserve">« faciliter l’accès aux médicaments, aux informations de santé et aux services de bien-être au Burkina Faso »</w:t>
      </w:r>
      <w:r>
        <w:t xml:space="preserve"> </w:t>
      </w:r>
      <w:r>
        <w:t xml:space="preserve">grâce à une plateforme numérique. Le Burkina Faso a élaboré un</w:t>
      </w:r>
      <w:r>
        <w:t xml:space="preserve"> </w:t>
      </w:r>
      <w:r>
        <w:rPr>
          <w:b/>
          <w:bCs/>
        </w:rPr>
        <w:t xml:space="preserve">plan stratégique de santé numérique 2025‑2029</w:t>
      </w:r>
      <w:r>
        <w:t xml:space="preserve"> </w:t>
      </w:r>
      <w:r>
        <w:t xml:space="preserve">pour intégrer les TIC dans le système de santé【3†L29-L38】. Malgré des progrès (84 % de couverture 2G, 41 % de 4G en 2023【3†L43-L46】), des défis subsistent : couverture inégale, manque de réglementations spécifiques pour l’e-santé【3†L47-L55】 et besoins en infrastructures. GoSanté s’inscrit dans cette dynamique : il s’agit de lancer rapidement un produit utile (modules pharmacie, santé mentale, dossier médical, scan d’ordonnances) avant d’ajouter la consultation en ligne (IA et médecins) en phase 2. Cette approche incrémentale limite la complexité initiale et les risques d’échec.</w:t>
      </w:r>
    </w:p>
    <w:bookmarkEnd w:id="21"/>
    <w:bookmarkStart w:id="22" w:name="cadre-réglementaire-et-normes"/>
    <w:p>
      <w:pPr>
        <w:pStyle w:val="Heading2"/>
      </w:pPr>
      <w:r>
        <w:t xml:space="preserve">2. Cadre réglementaire et normes</w:t>
      </w:r>
    </w:p>
    <w:p>
      <w:pPr>
        <w:pStyle w:val="FirstParagraph"/>
      </w:pPr>
      <w:r>
        <w:t xml:space="preserve">Le Burkina Faso a mis en place une</w:t>
      </w:r>
      <w:r>
        <w:t xml:space="preserve"> </w:t>
      </w:r>
      <w:r>
        <w:rPr>
          <w:b/>
          <w:bCs/>
        </w:rPr>
        <w:t xml:space="preserve">stratégie de santé numérique</w:t>
      </w:r>
      <w:r>
        <w:t xml:space="preserve"> </w:t>
      </w:r>
      <w:r>
        <w:t xml:space="preserve">et une loi de protection des données personnelles (Loi n°001‑2021/AN) pour encadrer l’e-santé. Le Plan stratégique santé numérique insiste sur l’intégration des technologies numériques pour l’accès universel aux soins【3†L29-L38】. La réglementation impose notamment que</w:t>
      </w:r>
      <w:r>
        <w:t xml:space="preserve"> </w:t>
      </w:r>
      <w:r>
        <w:rPr>
          <w:i/>
          <w:iCs/>
        </w:rPr>
        <w:t xml:space="preserve">« les traitements de données à caractère personnel, dans le secteur de la santé, doivent respecter les principes et obligations prévus par la présente loi »</w:t>
      </w:r>
      <w:r>
        <w:t xml:space="preserve">【39†L769-L773】. Par ailleurs,</w:t>
      </w:r>
      <w:r>
        <w:t xml:space="preserve"> </w:t>
      </w:r>
      <w:r>
        <w:rPr>
          <w:i/>
          <w:iCs/>
        </w:rPr>
        <w:t xml:space="preserve">« les données de santé permettant l’identification directe ou indirecte des personnes… doivent être hébergées sur le territoire national »</w:t>
      </w:r>
      <w:r>
        <w:t xml:space="preserve"> </w:t>
      </w:r>
      <w:r>
        <w:t xml:space="preserve">sauf dérogation【36†L738-L740】. En pratique, cela signifie que l’infrastructure (base de données, sauvegardes) doit idéalement se trouver au Burkina (ou sur un cloud local) pour les données sensibles de santé. Un cadre réglementaire pour la télémédecine est en cours de discussion : un colloque national récent a pour objectif de</w:t>
      </w:r>
      <w:r>
        <w:t xml:space="preserve"> </w:t>
      </w:r>
      <w:r>
        <w:rPr>
          <w:i/>
          <w:iCs/>
        </w:rPr>
        <w:t xml:space="preserve">« discuter du cadre réglementaire pour la mise en œuvre de la télémédecine »</w:t>
      </w:r>
      <w:r>
        <w:t xml:space="preserve">【34†L1843-L1847】. GoSanté devra donc prévoir la confidentialité (chiffrement, audit) et respecter les obligations (consentement, traçabilité, secret médical) liées aux données de santé, en se conformant à la loi et en anticipant les futures normes spécifiques.</w:t>
      </w:r>
    </w:p>
    <w:bookmarkEnd w:id="22"/>
    <w:bookmarkStart w:id="23" w:name="architecture-technique-proposée"/>
    <w:p>
      <w:pPr>
        <w:pStyle w:val="Heading2"/>
      </w:pPr>
      <w:r>
        <w:t xml:space="preserve">3. Architecture technique proposée</w:t>
      </w:r>
    </w:p>
    <w:p>
      <w:pPr>
        <w:pStyle w:val="FirstParagraph"/>
      </w:pPr>
      <w:r>
        <w:t xml:space="preserve">On opte pour une solution</w:t>
      </w:r>
      <w:r>
        <w:t xml:space="preserve"> </w:t>
      </w:r>
      <w:r>
        <w:rPr>
          <w:b/>
          <w:bCs/>
        </w:rPr>
        <w:t xml:space="preserve">full-stack JavaScript/TypeScript</w:t>
      </w:r>
      <w:r>
        <w:t xml:space="preserve"> </w:t>
      </w:r>
      <w:r>
        <w:t xml:space="preserve">moderne. Le front-end utilisera</w:t>
      </w:r>
      <w:r>
        <w:t xml:space="preserve"> </w:t>
      </w:r>
      <w:r>
        <w:rPr>
          <w:b/>
          <w:bCs/>
        </w:rPr>
        <w:t xml:space="preserve">Next.js</w:t>
      </w:r>
      <w:r>
        <w:t xml:space="preserve"> </w:t>
      </w:r>
      <w:r>
        <w:t xml:space="preserve">(framework React) avec TypeScript, garantissant vitesse et SEO optimisé【28†L24-L31】. Next.js gère le routage et le rendu (SSR/SSG) et fournit des API routes serverless, facilitant l’intégration de l’application web et mobile (PWA ou wrapper). Le back-end repose sur</w:t>
      </w:r>
      <w:r>
        <w:t xml:space="preserve"> </w:t>
      </w:r>
      <w:r>
        <w:rPr>
          <w:b/>
          <w:bCs/>
        </w:rPr>
        <w:t xml:space="preserve">Supabase</w:t>
      </w:r>
      <w:r>
        <w:t xml:space="preserve"> </w:t>
      </w:r>
      <w:r>
        <w:t xml:space="preserve">(base Postgres gérée) pour l’authentification, le stockage et les fonctions serverless. Supabase fournit un service complet « HIPAA-compliant » pour la santé【12†L21-L24】 : base Postgres sécurisée, authentification (email/mot de passe, SMS), stockage d’objets, fonctions Edge et API REST générées automatiquement【12†L21-L24】. Cette plateforme assure le chiffrement des données et des journaux d’accès (audit) propres aux exigences réglementaires【12†L21-L24】. L’utilisation de TypeScript partout accroît la robustesse et la maintenabilité du code. On abandonne PHP/Laravel pour une stack JavaScript moderne, ce qui accélère le développement et l’homogénéise, et profite d’une riche communauté. Le déploiement envisagé peut être sur Vercel (Next.js) et Supabase Cloud (ou instance auto-hébergée si besoin de souveraineté). L’architecture se présente donc en front-end Next.js + Tailwind/React, back-end Supabase (PostgreSQL + Edge Functions), avec intégration d’API tierces.</w:t>
      </w:r>
    </w:p>
    <w:bookmarkEnd w:id="23"/>
    <w:bookmarkStart w:id="24" w:name="modules-et-fonctionnalités"/>
    <w:p>
      <w:pPr>
        <w:pStyle w:val="Heading2"/>
      </w:pPr>
      <w:r>
        <w:t xml:space="preserve">4. Modules et fonctionnalités</w:t>
      </w:r>
    </w:p>
    <w:p>
      <w:pPr>
        <w:pStyle w:val="FirstParagraph"/>
      </w:pPr>
      <w:r>
        <w:t xml:space="preserve">Le projet est découpé en plusieurs modules (voir plan initial). Pour chacun, on décrit les besoins techniques :</w:t>
      </w:r>
    </w:p>
    <w:p>
      <w:pPr>
        <w:numPr>
          <w:ilvl w:val="0"/>
          <w:numId w:val="1001"/>
        </w:numPr>
      </w:pPr>
      <w:r>
        <w:rPr>
          <w:b/>
          <w:bCs/>
        </w:rPr>
        <w:t xml:space="preserve">Pharmacie intelligente (Phase 1)</w:t>
      </w:r>
      <w:r>
        <w:t xml:space="preserve"> </w:t>
      </w:r>
      <w:r>
        <w:t xml:space="preserve">: recherche et réservation de médicaments. La base de données Supabase contiendra un catalogue de médicaments (commercial ou molécule), les stock et prix. Le front-end Next.js proposera un moteur de recherche et filtrage. Les pharmacies pourront mettre à jour en temps réel les stocks via une interface dédiée. L’API propose des endpoints REST (p. ex.</w:t>
      </w:r>
      <w:r>
        <w:t xml:space="preserve"> </w:t>
      </w:r>
      <w:r>
        <w:rPr>
          <w:rStyle w:val="VerbatimChar"/>
        </w:rPr>
        <w:t xml:space="preserve">/api/pharmacies</w:t>
      </w:r>
      <w:r>
        <w:t xml:space="preserve">,</w:t>
      </w:r>
      <w:r>
        <w:t xml:space="preserve"> </w:t>
      </w:r>
      <w:r>
        <w:rPr>
          <w:rStyle w:val="VerbatimChar"/>
        </w:rPr>
        <w:t xml:space="preserve">/api/medicaments</w:t>
      </w:r>
      <w:r>
        <w:t xml:space="preserve">,</w:t>
      </w:r>
      <w:r>
        <w:t xml:space="preserve"> </w:t>
      </w:r>
      <w:r>
        <w:rPr>
          <w:rStyle w:val="VerbatimChar"/>
        </w:rPr>
        <w:t xml:space="preserve">/api/commande</w:t>
      </w:r>
      <w:r>
        <w:t xml:space="preserve">). La carte interactive des pharmacies (pharmacies de garde, etc.) sera affichée via OpenStreetMap (Leaflet ou Mapbox) pour l’itinéraire et géolocalisation. Pour le paiement, on intégrera l’API</w:t>
      </w:r>
      <w:r>
        <w:t xml:space="preserve"> </w:t>
      </w:r>
      <w:r>
        <w:rPr>
          <w:b/>
          <w:bCs/>
        </w:rPr>
        <w:t xml:space="preserve">Orange Money Web Payment</w:t>
      </w:r>
      <w:r>
        <w:t xml:space="preserve"> </w:t>
      </w:r>
      <w:r>
        <w:t xml:space="preserve">(Orange Developer)【20†L1-L9】 et l’API</w:t>
      </w:r>
      <w:r>
        <w:t xml:space="preserve"> </w:t>
      </w:r>
      <w:r>
        <w:rPr>
          <w:b/>
          <w:bCs/>
        </w:rPr>
        <w:t xml:space="preserve">Moov Money</w:t>
      </w:r>
      <w:r>
        <w:t xml:space="preserve"> </w:t>
      </w:r>
      <w:r>
        <w:t xml:space="preserve">(via leur SDK ou APIs REST) pour permettre le paiement en ligne. Le paiement à la livraison (cash) sera également prévu dans le système. La gestion des commandes (Panier, historique) sera assurée par des tables Supabase sécurisées.</w:t>
      </w:r>
    </w:p>
    <w:p>
      <w:pPr>
        <w:numPr>
          <w:ilvl w:val="0"/>
          <w:numId w:val="1001"/>
        </w:numPr>
      </w:pPr>
      <w:r>
        <w:rPr>
          <w:b/>
          <w:bCs/>
        </w:rPr>
        <w:t xml:space="preserve">Santé mentale (Phase 1)</w:t>
      </w:r>
      <w:r>
        <w:t xml:space="preserve"> </w:t>
      </w:r>
      <w:r>
        <w:t xml:space="preserve">: offre d’un espace d’écoute et de soutien. Fonctionnalités : messagerie de discussion anonyme (chat) où l’utilisateur peut échanger avec un chatbot d’« IA de soutien psychologique » ou avec des professionnels. L’IA peut être alimentée par un modèle de langage (ex: GPT) adapté au discours de bien-être, mais sans diagnostic médical. On proposera des conseils et exercices anti-stress (respiration, mindfulness) statiques ou via chatbot. Pour la mise en relation, une interface liste des psychologues disponibles (profil, contact). Tous les échanges seront anonymisés. Un journal personnel (note privée) sera stocké localement ou crypté dans le cloud. Des rappels (notifications push) peuvent alerter sur des exercices ou contacts d’urgence. Comme pour les autres données, le chat d’IA utilisera une API externe (OpenAI, HuggingFace, etc.) en s’assurant de ne pas outrepasser les règles d’utilisation (voir ci-dessous).</w:t>
      </w:r>
    </w:p>
    <w:p>
      <w:pPr>
        <w:numPr>
          <w:ilvl w:val="0"/>
          <w:numId w:val="1001"/>
        </w:numPr>
      </w:pPr>
      <w:r>
        <w:rPr>
          <w:b/>
          <w:bCs/>
        </w:rPr>
        <w:t xml:space="preserve">Carnet médical numérique (Phase 1)</w:t>
      </w:r>
      <w:r>
        <w:t xml:space="preserve"> </w:t>
      </w:r>
      <w:r>
        <w:t xml:space="preserve">: l’utilisateur renseigne son profil médical : groupe sanguin, allergies, vaccins, maladies chroniques, traitement habituel, etc. Ces informations sont stockées dans Supabase (tables sécurisées). On ajoutera un historique médical (examens, hospitalisations) ainsi que les ordonnances reçues. Une fonction d’export PDF sera disponible (génération server-side via Puppeteer ou client-side). Le carnet permet l’échange de données (par ex. avec un médecin), sous condition d’accessibilité (l’utilisateur contrôle ses partages).</w:t>
      </w:r>
    </w:p>
    <w:p>
      <w:pPr>
        <w:numPr>
          <w:ilvl w:val="0"/>
          <w:numId w:val="1001"/>
        </w:numPr>
      </w:pPr>
      <w:r>
        <w:rPr>
          <w:b/>
          <w:bCs/>
        </w:rPr>
        <w:t xml:space="preserve">Scan d’ordonnances (Phase 1)</w:t>
      </w:r>
      <w:r>
        <w:t xml:space="preserve"> </w:t>
      </w:r>
      <w:r>
        <w:t xml:space="preserve">: l’utilisateur photographie une ordonnance papier. Le système envoie l’image à un module OCR (p. ex.</w:t>
      </w:r>
      <w:r>
        <w:t xml:space="preserve"> </w:t>
      </w:r>
      <w:r>
        <w:rPr>
          <w:b/>
          <w:bCs/>
        </w:rPr>
        <w:t xml:space="preserve">Tesseract.js</w:t>
      </w:r>
      <w:r>
        <w:t xml:space="preserve"> </w:t>
      </w:r>
      <w:r>
        <w:t xml:space="preserve">côté client, ou Google Vision API) pour extraire le texte des médicaments et posologies. Un algorithme de correspondance compare le texte OCR aux médicaments connus (base Supabase). L’utilisateur peut corriger manuellement les erreurs d’OCR. Les médicaments détectés sont ajoutés directement au panier d’achat de la pharmacie. Cette fonctionnalité nécessite un traitement d’image léger : on optimise l’image (redimensionnement) avant OCR.</w:t>
      </w:r>
    </w:p>
    <w:p>
      <w:pPr>
        <w:numPr>
          <w:ilvl w:val="0"/>
          <w:numId w:val="1001"/>
        </w:numPr>
      </w:pPr>
      <w:r>
        <w:rPr>
          <w:b/>
          <w:bCs/>
        </w:rPr>
        <w:t xml:space="preserve">Consultation médicale (Phase 2)</w:t>
      </w:r>
      <w:r>
        <w:t xml:space="preserve"> </w:t>
      </w:r>
      <w:r>
        <w:t xml:space="preserve">: consultations virtuelles avec IA et médecins. On proposera d’abord un</w:t>
      </w:r>
      <w:r>
        <w:t xml:space="preserve"> </w:t>
      </w:r>
      <w:r>
        <w:rPr>
          <w:b/>
          <w:bCs/>
        </w:rPr>
        <w:t xml:space="preserve">chat IA médical</w:t>
      </w:r>
      <w:r>
        <w:t xml:space="preserve"> </w:t>
      </w:r>
      <w:r>
        <w:t xml:space="preserve">(à l’aide de l’API ChatGPT/OpenAI ou autre modèle spécialisé) pour des conseils basiques. Selon la politique d’OpenAI 2025, les chatbots ne peuvent</w:t>
      </w:r>
      <w:r>
        <w:t xml:space="preserve"> </w:t>
      </w:r>
      <w:r>
        <w:rPr>
          <w:b/>
          <w:bCs/>
        </w:rPr>
        <w:t xml:space="preserve">pas fournir de conseils médicaux certifiés</w:t>
      </w:r>
      <w:r>
        <w:t xml:space="preserve"> </w:t>
      </w:r>
      <w:r>
        <w:t xml:space="preserve">sans pros (usage policy interdit</w:t>
      </w:r>
      <w:r>
        <w:t xml:space="preserve"> </w:t>
      </w:r>
      <w:r>
        <w:rPr>
          <w:i/>
          <w:iCs/>
        </w:rPr>
        <w:t xml:space="preserve">« fourniture de conseils médicaux sans un professionnel habilité »</w:t>
      </w:r>
      <w:r>
        <w:t xml:space="preserve">【32†L81-L83】). Il faudra donc avertir que l’IA n’est qu’un support d’information. Pour les vrais médecins, on implémente un module de visioconférence : par exemple</w:t>
      </w:r>
      <w:r>
        <w:t xml:space="preserve"> </w:t>
      </w:r>
      <w:r>
        <w:rPr>
          <w:b/>
          <w:bCs/>
        </w:rPr>
        <w:t xml:space="preserve">Jitsi Meet React SDK</w:t>
      </w:r>
      <w:r>
        <w:t xml:space="preserve">【40†L29-L35】 permet d’intégrer facilement des appels vidéo dans l’application Next.js. Les utilisateurs prennent rendez-vous via une interface, et lors de la consultation ils échangent en visio (audio/vidéo). À la fin, le médecin peut générer une ordonnance électronique, envoyée au patient et stockée dans le carnet. Le paiement de la consultation (Orange/Moov) est traité à la réservation ou après appel.</w:t>
      </w:r>
    </w:p>
    <w:p>
      <w:pPr>
        <w:pStyle w:val="FirstParagraph"/>
      </w:pPr>
      <w:r>
        <w:t xml:space="preserve">Chaque module respectera les espaces utilisateurs définis (patients, pharmaciens, livreurs, administrateurs) via des rôles dans Supabase (Row-Level Security pour isoler données par rôle). L’interface front-end s’adaptera selon le rôle (accès aux pages / API). Des notifications push (via Firebase ou Supabase Realtime) informeront l’utilisateur à chaque étape : confirmation de commande, pharmacie prête, livraison en route, traitement/vaccination à faire, etc.</w:t>
      </w:r>
    </w:p>
    <w:bookmarkEnd w:id="24"/>
    <w:bookmarkStart w:id="25" w:name="intégrations-tierces-essentielles"/>
    <w:p>
      <w:pPr>
        <w:pStyle w:val="Heading2"/>
      </w:pPr>
      <w:r>
        <w:t xml:space="preserve">5. Intégrations tierces essentielles</w:t>
      </w:r>
    </w:p>
    <w:p>
      <w:pPr>
        <w:pStyle w:val="Compact"/>
        <w:numPr>
          <w:ilvl w:val="0"/>
          <w:numId w:val="1002"/>
        </w:numPr>
      </w:pPr>
      <w:r>
        <w:rPr>
          <w:b/>
          <w:bCs/>
        </w:rPr>
        <w:t xml:space="preserve">Paiement mobile-money</w:t>
      </w:r>
      <w:r>
        <w:t xml:space="preserve"> </w:t>
      </w:r>
      <w:r>
        <w:t xml:space="preserve">: Orange Money (via l’API</w:t>
      </w:r>
      <w:r>
        <w:t xml:space="preserve"> </w:t>
      </w:r>
      <w:r>
        <w:rPr>
          <w:i/>
          <w:iCs/>
        </w:rPr>
        <w:t xml:space="preserve">Orange Money Web Payment</w:t>
      </w:r>
      <w:r>
        <w:t xml:space="preserve">)【20†L1-L9】 et Moov Money (API Moov ou SDK) permettent d’accepter des paiements en ligne. Orange dispose d’un portail développeurs avec API REST couvrant le paiement web via son réseau mobile【20†L1-L9】. Les utilisateurs paient avec leur compte Orange/Moov. Pour la carte bancaire (phase ultérieure), on pourra intégrer Stripe ou PayPlug.</w:t>
      </w:r>
    </w:p>
    <w:p>
      <w:pPr>
        <w:pStyle w:val="Compact"/>
        <w:numPr>
          <w:ilvl w:val="0"/>
          <w:numId w:val="1002"/>
        </w:numPr>
      </w:pPr>
      <w:r>
        <w:rPr>
          <w:b/>
          <w:bCs/>
        </w:rPr>
        <w:t xml:space="preserve">Cartographie</w:t>
      </w:r>
      <w:r>
        <w:t xml:space="preserve"> </w:t>
      </w:r>
      <w:r>
        <w:t xml:space="preserve">: on utilisera des données</w:t>
      </w:r>
      <w:r>
        <w:t xml:space="preserve"> </w:t>
      </w:r>
      <w:r>
        <w:rPr>
          <w:b/>
          <w:bCs/>
        </w:rPr>
        <w:t xml:space="preserve">OpenStreetMap</w:t>
      </w:r>
      <w:r>
        <w:t xml:space="preserve"> </w:t>
      </w:r>
      <w:r>
        <w:t xml:space="preserve">(OSM) pour afficher les pharmacies sur une carte. Par ex. la librairie Leaflet ou MapLibre GL JS permet d’afficher une carte OSM interactive, sans coût de licence. Les itinéraires de livraison et la géolocalisation du livreur peuvent utiliser les API d’OSRM ou GraphHopper sur OSM. Des couches personnalisées indiqueront les pharmacies de garde ou points de collecte. Des projets locaux (p.ex. IeDA) montrent l’usage de cartes web dans la santé publique burkinabè【17†L282-L288】.</w:t>
      </w:r>
    </w:p>
    <w:p>
      <w:pPr>
        <w:pStyle w:val="Compact"/>
        <w:numPr>
          <w:ilvl w:val="0"/>
          <w:numId w:val="1002"/>
        </w:numPr>
      </w:pPr>
      <w:r>
        <w:rPr>
          <w:b/>
          <w:bCs/>
        </w:rPr>
        <w:t xml:space="preserve">Reconnaissance de texte (OCR)</w:t>
      </w:r>
      <w:r>
        <w:t xml:space="preserve"> </w:t>
      </w:r>
      <w:r>
        <w:t xml:space="preserve">: pour le module de scan d’ordonnances, on peut utiliser</w:t>
      </w:r>
      <w:r>
        <w:t xml:space="preserve"> </w:t>
      </w:r>
      <w:r>
        <w:rPr>
          <w:b/>
          <w:bCs/>
        </w:rPr>
        <w:t xml:space="preserve">Tesseract.js</w:t>
      </w:r>
      <w:r>
        <w:t xml:space="preserve"> </w:t>
      </w:r>
      <w:r>
        <w:t xml:space="preserve">(OCR open-source côté client) ou un service cloud (Google Vision ou AWS Rekognition). Tesseract.js fonctionne hors-ligne dans le navigateur (vitesse modérée) et reconnaît bien le texte imprimé. L’approche hybride pourrait envoyer l’image à Google Cloud Vision pour un meilleur taux de reconnaissance sur manuscrit, puis retours modifiables par l’utilisateur. Ce module doit être robuste aux photos floues ou mal cadrées.</w:t>
      </w:r>
    </w:p>
    <w:p>
      <w:pPr>
        <w:pStyle w:val="Compact"/>
        <w:numPr>
          <w:ilvl w:val="0"/>
          <w:numId w:val="1002"/>
        </w:numPr>
      </w:pPr>
      <w:r>
        <w:rPr>
          <w:b/>
          <w:bCs/>
        </w:rPr>
        <w:t xml:space="preserve">Intelligence artificielle (IA)</w:t>
      </w:r>
      <w:r>
        <w:t xml:space="preserve"> </w:t>
      </w:r>
      <w:r>
        <w:t xml:space="preserve">: GoSanté intégrera un chatbot IA pour le support santé. Des modèles comme OpenAI GPT-4 (via API) ou Claude peuvent fournir des réponses. Il faut néanmoins encadrer l’usage : la politique d’OpenAI (2025) interdit explicitement de</w:t>
      </w:r>
      <w:r>
        <w:t xml:space="preserve"> </w:t>
      </w:r>
      <w:r>
        <w:rPr>
          <w:i/>
          <w:iCs/>
        </w:rPr>
        <w:t xml:space="preserve">« fournir des conseils médicaux sans un professionnel habilité »</w:t>
      </w:r>
      <w:r>
        <w:t xml:space="preserve">【32†L81-L83】. En pratique, l’IA sera donc limitée à du conseil général (par ex. symptômes basiques, recettes bien-être) avec un disclaimer. Les messages sensibles (urgences médicales, diagnostics) orienteront systématiquement vers un professionnel. L’IA peut aussi alimenter des FAQ et contenus statiques. On devra loguer anonymement les conversations pour audit de sécurité (conformément à la loi de protection des données).</w:t>
      </w:r>
    </w:p>
    <w:p>
      <w:pPr>
        <w:pStyle w:val="Compact"/>
        <w:numPr>
          <w:ilvl w:val="0"/>
          <w:numId w:val="1002"/>
        </w:numPr>
      </w:pPr>
      <w:r>
        <w:rPr>
          <w:b/>
          <w:bCs/>
        </w:rPr>
        <w:t xml:space="preserve">Télémédecine et visioconférence</w:t>
      </w:r>
      <w:r>
        <w:t xml:space="preserve"> </w:t>
      </w:r>
      <w:r>
        <w:t xml:space="preserve">: pour la visio-consultation, le</w:t>
      </w:r>
      <w:r>
        <w:t xml:space="preserve"> </w:t>
      </w:r>
      <w:r>
        <w:rPr>
          <w:b/>
          <w:bCs/>
        </w:rPr>
        <w:t xml:space="preserve">Jitsi Meet React SDK</w:t>
      </w:r>
      <w:r>
        <w:t xml:space="preserve"> </w:t>
      </w:r>
      <w:r>
        <w:t xml:space="preserve">simplifie l’intégration d’appels vidéo dans Next.js【40†L29-L35】. Jitsi est open-source et auto-hébergeable (autant d’intérêt pour la souveraineté), mais on peut commencer avec l’hébergement public (meet.jit.si). Des alternatives comme Daily.co ou Twilio Video existent mais coûtent plus cher. Quoi qu’il en soit, la visioconférence sera sécurisée (chiffrée) et conforme aux normes médico-techniques.</w:t>
      </w:r>
    </w:p>
    <w:p>
      <w:pPr>
        <w:pStyle w:val="FirstParagraph"/>
      </w:pPr>
      <w:r>
        <w:t xml:space="preserve">Chaque intégration choisie (paiement, OCR, IA, visio) a été retenue pour sa maturité et sa simplicité d’usage. Le choix de Supabase permet de connecter ces services externes via ses fonctions serverless (Edge Functions) ou directement via Next.js.</w:t>
      </w:r>
    </w:p>
    <w:bookmarkEnd w:id="25"/>
    <w:bookmarkStart w:id="26" w:name="sécurité-et-protection-des-données"/>
    <w:p>
      <w:pPr>
        <w:pStyle w:val="Heading2"/>
      </w:pPr>
      <w:r>
        <w:t xml:space="preserve">6. Sécurité et protection des données</w:t>
      </w:r>
    </w:p>
    <w:p>
      <w:pPr>
        <w:pStyle w:val="FirstParagraph"/>
      </w:pPr>
      <w:r>
        <w:t xml:space="preserve">La sécurité est cruciale pour des données de santé sensibles.</w:t>
      </w:r>
      <w:r>
        <w:t xml:space="preserve"> </w:t>
      </w:r>
      <w:r>
        <w:rPr>
          <w:b/>
          <w:bCs/>
        </w:rPr>
        <w:t xml:space="preserve">Cryptage</w:t>
      </w:r>
      <w:r>
        <w:t xml:space="preserve"> </w:t>
      </w:r>
      <w:r>
        <w:t xml:space="preserve">et</w:t>
      </w:r>
      <w:r>
        <w:t xml:space="preserve"> </w:t>
      </w:r>
      <w:r>
        <w:rPr>
          <w:b/>
          <w:bCs/>
        </w:rPr>
        <w:t xml:space="preserve">authentification forte</w:t>
      </w:r>
      <w:r>
        <w:t xml:space="preserve"> </w:t>
      </w:r>
      <w:r>
        <w:t xml:space="preserve">seront déployés : Supabase supporte l’authentification multi-facteurs (SMS OTP) et le chiffrement TLS pour toutes les connexions. Les données utilisateur (dossier médical, historique de commande, profils) sont chiffrées au repos et en transit. Supabase permet d’activer le</w:t>
      </w:r>
      <w:r>
        <w:t xml:space="preserve"> </w:t>
      </w:r>
      <w:r>
        <w:rPr>
          <w:b/>
          <w:bCs/>
        </w:rPr>
        <w:t xml:space="preserve">Row-Level Security</w:t>
      </w:r>
      <w:r>
        <w:t xml:space="preserve"> </w:t>
      </w:r>
      <w:r>
        <w:t xml:space="preserve">(RLS) : chaque requête SQL ne peut accéder qu’aux données de l’utilisateur concerné, selon des politiques définies. Par exemple, un patient ne verra que son propre carnet médical, un livreur ne verra que les commandes attribuées, etc.</w:t>
      </w:r>
    </w:p>
    <w:p>
      <w:pPr>
        <w:pStyle w:val="BodyText"/>
      </w:pPr>
      <w:r>
        <w:t xml:space="preserve">On appliquera les obligations légales burkinabè : hébergement local des données de santé identifiables【36†L738-L740】 (cf. AWS/Azure au Sénégal ou infrastructure locale Supabase si possible), traçabilité des accès (logs d’audit dans Supabase), et procédures de sauvegarde. Les responsables du traitement (personnes accédant aux données) seront tenus au secret professionnel. De plus, on devra obtenir le consentement éclairé des utilisateurs pour traiter leurs données de santé. Les transferts de données à l’étranger (p. ex. appel à l’API OpenAI) s’accompagneront d’une clause de confidentialité et seront limités aux finalités déclarées. Les serveurs seront mis à jour régulièrement et protégés contre les intrusions (firewalls, sauvegardes, surveillance).</w:t>
      </w:r>
    </w:p>
    <w:bookmarkEnd w:id="26"/>
    <w:bookmarkStart w:id="27" w:name="architecture-fonctionnelle-et-api"/>
    <w:p>
      <w:pPr>
        <w:pStyle w:val="Heading2"/>
      </w:pPr>
      <w:r>
        <w:t xml:space="preserve">7. Architecture fonctionnelle et API</w:t>
      </w:r>
    </w:p>
    <w:p>
      <w:pPr>
        <w:pStyle w:val="FirstParagraph"/>
      </w:pPr>
      <w:r>
        <w:t xml:space="preserve">L’architecture cible peut être décrite schématiquement : l’application Next.js (hébergée sur Vercel ou similaire) communique en HTTPS avec Supabase (Postgres) et des microservices (Edge Functions) pour les tâches métiers. Par exemple, on proposera des</w:t>
      </w:r>
      <w:r>
        <w:t xml:space="preserve"> </w:t>
      </w:r>
      <w:r>
        <w:rPr>
          <w:b/>
          <w:bCs/>
        </w:rPr>
        <w:t xml:space="preserve">endpoints RESTful</w:t>
      </w:r>
      <w:r>
        <w:t xml:space="preserve"> </w:t>
      </w:r>
      <w:r>
        <w:t xml:space="preserve">tels que :</w:t>
      </w:r>
    </w:p>
    <w:p>
      <w:pPr>
        <w:pStyle w:val="Compact"/>
        <w:numPr>
          <w:ilvl w:val="0"/>
          <w:numId w:val="1003"/>
        </w:numPr>
      </w:pPr>
      <w:r>
        <w:rPr>
          <w:rStyle w:val="VerbatimChar"/>
        </w:rPr>
        <w:t xml:space="preserve">POST /api/auth/register</w:t>
      </w:r>
      <w:r>
        <w:t xml:space="preserve"> </w:t>
      </w:r>
      <w:r>
        <w:t xml:space="preserve">– création de compte patient/pharmacie/livreur (Supabase Auth).</w:t>
      </w:r>
    </w:p>
    <w:p>
      <w:pPr>
        <w:pStyle w:val="Compact"/>
        <w:numPr>
          <w:ilvl w:val="0"/>
          <w:numId w:val="1003"/>
        </w:numPr>
      </w:pPr>
      <w:r>
        <w:rPr>
          <w:rStyle w:val="VerbatimChar"/>
        </w:rPr>
        <w:t xml:space="preserve">GET /api/pharmacies?location={lat,lng}</w:t>
      </w:r>
      <w:r>
        <w:t xml:space="preserve"> </w:t>
      </w:r>
      <w:r>
        <w:t xml:space="preserve">– liste des pharmacies proches (DB Supabase) avec stocks.</w:t>
      </w:r>
    </w:p>
    <w:p>
      <w:pPr>
        <w:pStyle w:val="Compact"/>
        <w:numPr>
          <w:ilvl w:val="0"/>
          <w:numId w:val="1003"/>
        </w:numPr>
      </w:pPr>
      <w:r>
        <w:rPr>
          <w:rStyle w:val="VerbatimChar"/>
        </w:rPr>
        <w:t xml:space="preserve">POST /api/commande</w:t>
      </w:r>
      <w:r>
        <w:t xml:space="preserve"> </w:t>
      </w:r>
      <w:r>
        <w:t xml:space="preserve">– création d’une commande (liens avec paiement Orange/Moov).</w:t>
      </w:r>
    </w:p>
    <w:p>
      <w:pPr>
        <w:pStyle w:val="Compact"/>
        <w:numPr>
          <w:ilvl w:val="0"/>
          <w:numId w:val="1003"/>
        </w:numPr>
      </w:pPr>
      <w:r>
        <w:rPr>
          <w:rStyle w:val="VerbatimChar"/>
        </w:rPr>
        <w:t xml:space="preserve">GET /api/medicament/search?q=xxx</w:t>
      </w:r>
      <w:r>
        <w:t xml:space="preserve"> </w:t>
      </w:r>
      <w:r>
        <w:t xml:space="preserve">– recherche en base de données.</w:t>
      </w:r>
    </w:p>
    <w:p>
      <w:pPr>
        <w:pStyle w:val="Compact"/>
        <w:numPr>
          <w:ilvl w:val="0"/>
          <w:numId w:val="1003"/>
        </w:numPr>
      </w:pPr>
      <w:r>
        <w:rPr>
          <w:rStyle w:val="VerbatimChar"/>
        </w:rPr>
        <w:t xml:space="preserve">GET /api/ordonnance/scan</w:t>
      </w:r>
      <w:r>
        <w:t xml:space="preserve"> </w:t>
      </w:r>
      <w:r>
        <w:t xml:space="preserve">– envoi de l’image à OCR (Edge Function).</w:t>
      </w:r>
    </w:p>
    <w:p>
      <w:pPr>
        <w:pStyle w:val="Compact"/>
        <w:numPr>
          <w:ilvl w:val="0"/>
          <w:numId w:val="1003"/>
        </w:numPr>
      </w:pPr>
      <w:r>
        <w:rPr>
          <w:rStyle w:val="VerbatimChar"/>
        </w:rPr>
        <w:t xml:space="preserve">GET /api/notifications</w:t>
      </w:r>
      <w:r>
        <w:t xml:space="preserve"> </w:t>
      </w:r>
      <w:r>
        <w:t xml:space="preserve">– consultation des notifications en temps réel.</w:t>
      </w:r>
    </w:p>
    <w:p>
      <w:pPr>
        <w:pStyle w:val="Compact"/>
        <w:numPr>
          <w:ilvl w:val="0"/>
          <w:numId w:val="1003"/>
        </w:numPr>
      </w:pPr>
      <w:r>
        <w:rPr>
          <w:rStyle w:val="VerbatimChar"/>
        </w:rPr>
        <w:t xml:space="preserve">POST /api/mental/journal</w:t>
      </w:r>
      <w:r>
        <w:t xml:space="preserve"> </w:t>
      </w:r>
      <w:r>
        <w:t xml:space="preserve">– sauvegarde d’une entrée de journal (carnet de bord).</w:t>
      </w:r>
    </w:p>
    <w:p>
      <w:pPr>
        <w:pStyle w:val="Compact"/>
        <w:numPr>
          <w:ilvl w:val="0"/>
          <w:numId w:val="1003"/>
        </w:numPr>
      </w:pPr>
      <w:r>
        <w:rPr>
          <w:rStyle w:val="VerbatimChar"/>
        </w:rPr>
        <w:t xml:space="preserve">GET /api/profile/medical</w:t>
      </w:r>
      <w:r>
        <w:t xml:space="preserve"> </w:t>
      </w:r>
      <w:r>
        <w:t xml:space="preserve">– lecture du carnet médical (avec vérification des droits RLS).</w:t>
      </w:r>
    </w:p>
    <w:p>
      <w:pPr>
        <w:pStyle w:val="Compact"/>
        <w:numPr>
          <w:ilvl w:val="0"/>
          <w:numId w:val="1003"/>
        </w:numPr>
      </w:pPr>
      <w:r>
        <w:rPr>
          <w:rStyle w:val="VerbatimChar"/>
        </w:rPr>
        <w:t xml:space="preserve">POST /api/ai/chat</w:t>
      </w:r>
      <w:r>
        <w:t xml:space="preserve"> </w:t>
      </w:r>
      <w:r>
        <w:t xml:space="preserve">– requête au modèle IA pour réponse (avec modération).</w:t>
      </w:r>
    </w:p>
    <w:p>
      <w:pPr>
        <w:pStyle w:val="FirstParagraph"/>
      </w:pPr>
      <w:r>
        <w:t xml:space="preserve">Ces API seront documentées via OpenAPI/Swagger. Le routage de Next.js servira le front-end (pages, composants) et les appels AJAX sont faits avec fetch/Axios en TS. L’architecture reste « serverless-first » pour simplifier la scalabilité : Supabase gère la base en service managé, Next.js utilise le CDN et l’Edge pour la montée en charge.</w:t>
      </w:r>
    </w:p>
    <w:bookmarkEnd w:id="27"/>
    <w:bookmarkStart w:id="28" w:name="roadmap-et-déploiement"/>
    <w:p>
      <w:pPr>
        <w:pStyle w:val="Heading2"/>
      </w:pPr>
      <w:r>
        <w:t xml:space="preserve">8. Roadmap et déploiement</w:t>
      </w:r>
    </w:p>
    <w:p>
      <w:pPr>
        <w:pStyle w:val="FirstParagraph"/>
      </w:pPr>
      <w:r>
        <w:t xml:space="preserve">Le projet se déploie en plusieurs phases incrémentales :</w:t>
      </w:r>
    </w:p>
    <w:p>
      <w:pPr>
        <w:pStyle w:val="Compact"/>
        <w:numPr>
          <w:ilvl w:val="0"/>
          <w:numId w:val="1004"/>
        </w:numPr>
      </w:pPr>
      <w:r>
        <w:rPr>
          <w:b/>
          <w:bCs/>
        </w:rPr>
        <w:t xml:space="preserve">Phase 1 (Mois 0–4)</w:t>
      </w:r>
      <w:r>
        <w:t xml:space="preserve"> </w:t>
      </w:r>
      <w:r>
        <w:t xml:space="preserve">: Lancement des modules</w:t>
      </w:r>
      <w:r>
        <w:t xml:space="preserve"> </w:t>
      </w:r>
      <w:r>
        <w:rPr>
          <w:b/>
          <w:bCs/>
        </w:rPr>
        <w:t xml:space="preserve">pharmacie intelligente</w:t>
      </w:r>
      <w:r>
        <w:t xml:space="preserve">,</w:t>
      </w:r>
      <w:r>
        <w:t xml:space="preserve"> </w:t>
      </w:r>
      <w:r>
        <w:rPr>
          <w:b/>
          <w:bCs/>
        </w:rPr>
        <w:t xml:space="preserve">santé mentale</w:t>
      </w:r>
      <w:r>
        <w:t xml:space="preserve">,</w:t>
      </w:r>
      <w:r>
        <w:t xml:space="preserve"> </w:t>
      </w:r>
      <w:r>
        <w:rPr>
          <w:b/>
          <w:bCs/>
        </w:rPr>
        <w:t xml:space="preserve">carnet médical</w:t>
      </w:r>
      <w:r>
        <w:t xml:space="preserve"> </w:t>
      </w:r>
      <w:r>
        <w:t xml:space="preserve">et</w:t>
      </w:r>
      <w:r>
        <w:t xml:space="preserve"> </w:t>
      </w:r>
      <w:r>
        <w:rPr>
          <w:b/>
          <w:bCs/>
        </w:rPr>
        <w:t xml:space="preserve">scan d’ordonnances</w:t>
      </w:r>
      <w:r>
        <w:t xml:space="preserve">. Objectif : produire une version bêta utilisable par un groupe pilote de pharmacies et patients. L’accent est mis sur l’UX mobile-friendly (même si c’est une webapp) pour atteindre la population connectée. Un suivi de bugs intensive est prévu.</w:t>
      </w:r>
    </w:p>
    <w:p>
      <w:pPr>
        <w:pStyle w:val="Compact"/>
        <w:numPr>
          <w:ilvl w:val="0"/>
          <w:numId w:val="1004"/>
        </w:numPr>
      </w:pPr>
      <w:r>
        <w:rPr>
          <w:b/>
          <w:bCs/>
        </w:rPr>
        <w:t xml:space="preserve">Phase 2 (Mois 5–8)</w:t>
      </w:r>
      <w:r>
        <w:t xml:space="preserve"> </w:t>
      </w:r>
      <w:r>
        <w:t xml:space="preserve">: Ajout du module</w:t>
      </w:r>
      <w:r>
        <w:t xml:space="preserve"> </w:t>
      </w:r>
      <w:r>
        <w:rPr>
          <w:b/>
          <w:bCs/>
        </w:rPr>
        <w:t xml:space="preserve">consultations en ligne</w:t>
      </w:r>
      <w:r>
        <w:t xml:space="preserve"> </w:t>
      </w:r>
      <w:r>
        <w:t xml:space="preserve">– d’abord</w:t>
      </w:r>
      <w:r>
        <w:t xml:space="preserve"> </w:t>
      </w:r>
      <w:r>
        <w:rPr>
          <w:b/>
          <w:bCs/>
        </w:rPr>
        <w:t xml:space="preserve">IA conversationnelle</w:t>
      </w:r>
      <w:r>
        <w:t xml:space="preserve">, puis</w:t>
      </w:r>
      <w:r>
        <w:t xml:space="preserve"> </w:t>
      </w:r>
      <w:r>
        <w:rPr>
          <w:b/>
          <w:bCs/>
        </w:rPr>
        <w:t xml:space="preserve">visioconférence</w:t>
      </w:r>
      <w:r>
        <w:t xml:space="preserve"> </w:t>
      </w:r>
      <w:r>
        <w:t xml:space="preserve">avec médecins et ordonnances numériques. On conclut des partenariats avec médecins volontaires (public/privé). Ce palier nécessite une certification possible (conformité télémedecine) et une campagne de formation interne.</w:t>
      </w:r>
    </w:p>
    <w:p>
      <w:pPr>
        <w:pStyle w:val="Compact"/>
        <w:numPr>
          <w:ilvl w:val="0"/>
          <w:numId w:val="1004"/>
        </w:numPr>
      </w:pPr>
      <w:r>
        <w:rPr>
          <w:b/>
          <w:bCs/>
        </w:rPr>
        <w:t xml:space="preserve">Phase 3 (Mois 9+)</w:t>
      </w:r>
      <w:r>
        <w:t xml:space="preserve"> </w:t>
      </w:r>
      <w:r>
        <w:t xml:space="preserve">: Intégrations avancées : connexion aux</w:t>
      </w:r>
      <w:r>
        <w:t xml:space="preserve"> </w:t>
      </w:r>
      <w:r>
        <w:rPr>
          <w:b/>
          <w:bCs/>
        </w:rPr>
        <w:t xml:space="preserve">hôpitaux</w:t>
      </w:r>
      <w:r>
        <w:t xml:space="preserve"> </w:t>
      </w:r>
      <w:r>
        <w:t xml:space="preserve">(dossiers partagés),</w:t>
      </w:r>
      <w:r>
        <w:t xml:space="preserve"> </w:t>
      </w:r>
      <w:r>
        <w:rPr>
          <w:b/>
          <w:bCs/>
        </w:rPr>
        <w:t xml:space="preserve">laboratoires d’analyses</w:t>
      </w:r>
      <w:r>
        <w:t xml:space="preserve"> </w:t>
      </w:r>
      <w:r>
        <w:t xml:space="preserve">(résultats intégrés),</w:t>
      </w:r>
      <w:r>
        <w:t xml:space="preserve"> </w:t>
      </w:r>
      <w:r>
        <w:rPr>
          <w:b/>
          <w:bCs/>
        </w:rPr>
        <w:t xml:space="preserve">assurances santé</w:t>
      </w:r>
      <w:r>
        <w:t xml:space="preserve"> </w:t>
      </w:r>
      <w:r>
        <w:t xml:space="preserve">(pré-validation des prises en charge), et</w:t>
      </w:r>
      <w:r>
        <w:t xml:space="preserve"> </w:t>
      </w:r>
      <w:r>
        <w:rPr>
          <w:b/>
          <w:bCs/>
        </w:rPr>
        <w:t xml:space="preserve">ambulances</w:t>
      </w:r>
      <w:r>
        <w:t xml:space="preserve"> </w:t>
      </w:r>
      <w:r>
        <w:t xml:space="preserve">(demande de transport médical). On envisage aussi le support multilingue (mooré, dioula, fulfuldé) pour l’interface et le chatbot. À ce stade, la plateforme doit être robuste : les fonctionnalités critiques sont stabilisées et l’écosystème (partenariats, cadre légal) est plus mature.</w:t>
      </w:r>
    </w:p>
    <w:p>
      <w:pPr>
        <w:pStyle w:val="FirstParagraph"/>
      </w:pPr>
      <w:r>
        <w:t xml:space="preserve">Chaque phase sera validée par des tests utilisateurs (hôpitaux, pharmacies, patients) et des itérations d’amélioration. Une documentation technique et fonctionnelle accompagnera le développement pour faciliter la maintenance et le transfert aux équipes locales.</w:t>
      </w:r>
    </w:p>
    <w:bookmarkEnd w:id="28"/>
    <w:bookmarkStart w:id="29" w:name="conclusion"/>
    <w:p>
      <w:pPr>
        <w:pStyle w:val="Heading2"/>
      </w:pPr>
      <w:r>
        <w:t xml:space="preserve">9. Conclusion</w:t>
      </w:r>
    </w:p>
    <w:p>
      <w:pPr>
        <w:pStyle w:val="FirstParagraph"/>
      </w:pPr>
      <w:r>
        <w:t xml:space="preserve">La stratégie retenue –</w:t>
      </w:r>
      <w:r>
        <w:t xml:space="preserve"> </w:t>
      </w:r>
      <w:r>
        <w:rPr>
          <w:b/>
          <w:bCs/>
        </w:rPr>
        <w:t xml:space="preserve">développer en priorité une base solide et utile (pharmacie, santé mentale, carnet, scan)</w:t>
      </w:r>
      <w:r>
        <w:t xml:space="preserve"> </w:t>
      </w:r>
      <w:r>
        <w:t xml:space="preserve">puis intégrer les aspects les plus complexes (consultation, visioconf)</w:t>
      </w:r>
      <w:r>
        <w:t xml:space="preserve"> </w:t>
      </w:r>
      <w:r>
        <w:rPr>
          <w:b/>
          <w:bCs/>
        </w:rPr>
        <w:t xml:space="preserve">– répond aux enjeux réels du terrain. Elle évite de vouloir tout lancer d’un coup, ce qui est souvent fatal aux projets ambitieux. Le choix d’une stack moderne</w:t>
      </w:r>
      <w:r>
        <w:t xml:space="preserve"> </w:t>
      </w:r>
      <w:r>
        <w:t xml:space="preserve">Next.js/TypeScript + Supabase** apporte rapidité de développement et sécurité (p. ex. conformité HIPAA-like【12†L21-L24】), tout en restant extensible. Les intégrations de paiement mobile, d’OCR, de cartographie ouverte et d’IA sont assurées par des outils éprouvés (Orange Money【20†L1-L9】, Tesseract/ML Kit, OSM, OpenAI/GPT).</w:t>
      </w:r>
    </w:p>
    <w:p>
      <w:pPr>
        <w:pStyle w:val="BodyText"/>
      </w:pPr>
      <w:r>
        <w:t xml:space="preserve">En somme, le cahier des charges détaillé ci-dessus constitue une feuille de route complète pour GoSanté. Il tient compte du contexte burkinabè (régulation, infrastructure, usages) et des meilleures pratiques techniques. Les fonctionnalités sont décomposées étape par étape, avec l’assurance que la plateforme respecte les obligations légales (protection des données, secret médical) et les besoins utilisateurs. Un pilotage rigoureux et itératif permettra de livrer progressivement une solution stable et à fort impact social.</w:t>
      </w:r>
    </w:p>
    <w:p>
      <w:pPr>
        <w:pStyle w:val="BodyText"/>
      </w:pPr>
      <w:r>
        <w:rPr>
          <w:b/>
          <w:bCs/>
        </w:rPr>
        <w:t xml:space="preserve">Sources :</w:t>
      </w:r>
      <w:r>
        <w:t xml:space="preserve"> </w:t>
      </w:r>
      <w:r>
        <w:t xml:space="preserve">données du Plan stratégique santé numérique et de la loi sur la protection des données au BF【3†L29-L38】【36†L738-L740】, documentation officielle Next.js et Supabase【28†L24-L31】【12†L21-L24】, site Orange Developer pour l’API Paiement【20†L1-L9】, notes de projets e-santé locaux (IeDA)【17†L282-L288】, usage policy d’OpenAI【32†L81-L83】, etc. Ces références illustrent la viabilité technique et réglementaire des choix proposés.</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2026-07-07T19:51:49Z</dcterms:created>
  <dcterms:modified xsi:type="dcterms:W3CDTF">2026-07-07T19:51:49Z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