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740" w:rsidRPr="00354740" w:rsidRDefault="00354740" w:rsidP="00354740">
      <w:pPr>
        <w:shd w:val="clear" w:color="auto" w:fill="FFFFFF"/>
        <w:spacing w:after="90" w:line="240" w:lineRule="auto"/>
        <w:jc w:val="both"/>
        <w:rPr>
          <w:rFonts w:ascii="Arial" w:eastAsia="Times New Roman" w:hAnsi="Arial" w:cs="Arial"/>
          <w:color w:val="666666"/>
          <w:sz w:val="20"/>
          <w:szCs w:val="20"/>
          <w:lang w:eastAsia="fr-FR"/>
        </w:rPr>
      </w:pPr>
      <w:r w:rsidRPr="00354740">
        <w:rPr>
          <w:rFonts w:ascii="Arial" w:eastAsia="Times New Roman" w:hAnsi="Arial" w:cs="Arial"/>
          <w:b/>
          <w:bCs/>
          <w:color w:val="666666"/>
          <w:sz w:val="20"/>
          <w:szCs w:val="20"/>
          <w:lang w:eastAsia="fr-FR"/>
        </w:rPr>
        <w:t>L‘analyse par activation neutronique (INAA : </w:t>
      </w:r>
      <w:r w:rsidRPr="00354740">
        <w:rPr>
          <w:rFonts w:ascii="Arial" w:eastAsia="Times New Roman" w:hAnsi="Arial" w:cs="Arial"/>
          <w:color w:val="666666"/>
          <w:sz w:val="20"/>
          <w:szCs w:val="20"/>
          <w:lang w:eastAsia="fr-FR"/>
        </w:rPr>
        <w:t xml:space="preserve">Instrumental Neutron Activation </w:t>
      </w:r>
      <w:proofErr w:type="spellStart"/>
      <w:r w:rsidRPr="00354740">
        <w:rPr>
          <w:rFonts w:ascii="Arial" w:eastAsia="Times New Roman" w:hAnsi="Arial" w:cs="Arial"/>
          <w:color w:val="666666"/>
          <w:sz w:val="20"/>
          <w:szCs w:val="20"/>
          <w:lang w:eastAsia="fr-FR"/>
        </w:rPr>
        <w:t>Analysis</w:t>
      </w:r>
      <w:proofErr w:type="spellEnd"/>
      <w:r w:rsidRPr="00354740">
        <w:rPr>
          <w:rFonts w:ascii="Arial" w:eastAsia="Times New Roman" w:hAnsi="Arial" w:cs="Arial"/>
          <w:b/>
          <w:bCs/>
          <w:color w:val="666666"/>
          <w:sz w:val="20"/>
          <w:szCs w:val="20"/>
          <w:lang w:eastAsia="fr-FR"/>
        </w:rPr>
        <w:t>)</w:t>
      </w:r>
      <w:r w:rsidRPr="00354740">
        <w:rPr>
          <w:rFonts w:ascii="Arial" w:eastAsia="Times New Roman" w:hAnsi="Arial" w:cs="Arial"/>
          <w:color w:val="666666"/>
          <w:sz w:val="20"/>
          <w:szCs w:val="20"/>
          <w:lang w:eastAsia="fr-FR"/>
        </w:rPr>
        <w:t> est une </w:t>
      </w:r>
      <w:r w:rsidRPr="00354740">
        <w:rPr>
          <w:rFonts w:ascii="Arial" w:eastAsia="Times New Roman" w:hAnsi="Arial" w:cs="Arial"/>
          <w:b/>
          <w:bCs/>
          <w:color w:val="666666"/>
          <w:sz w:val="20"/>
          <w:szCs w:val="20"/>
          <w:lang w:eastAsia="fr-FR"/>
        </w:rPr>
        <w:t>méthode d’analyse exclusivement élémentaire</w:t>
      </w:r>
      <w:r w:rsidRPr="00354740">
        <w:rPr>
          <w:rFonts w:ascii="Arial" w:eastAsia="Times New Roman" w:hAnsi="Arial" w:cs="Arial"/>
          <w:color w:val="666666"/>
          <w:sz w:val="20"/>
          <w:szCs w:val="20"/>
          <w:lang w:eastAsia="fr-FR"/>
        </w:rPr>
        <w:t xml:space="preserve">. Sa mise en œuvre consiste à irradier l’échantillon à analyser dans un flux de particules appropriées, neutrons, particules chargées... et à identifier, ensuite, après irradiation, les isotopes radioactifs créés à partir des éléments à doser. Par son principe même, la méthode est unique parmi les méthodes d’analyse : l’excitation concerne le noyau de l’atome et les mesures portent sur les isotopes radioactifs artificiels ainsi créés. Il en résulte un certain nombre d’avantages : l’analyse est non seulement </w:t>
      </w:r>
      <w:proofErr w:type="spellStart"/>
      <w:r w:rsidRPr="00354740">
        <w:rPr>
          <w:rFonts w:ascii="Arial" w:eastAsia="Times New Roman" w:hAnsi="Arial" w:cs="Arial"/>
          <w:color w:val="666666"/>
          <w:sz w:val="20"/>
          <w:szCs w:val="20"/>
          <w:lang w:eastAsia="fr-FR"/>
        </w:rPr>
        <w:t>multiélémentaire</w:t>
      </w:r>
      <w:proofErr w:type="spellEnd"/>
      <w:r w:rsidRPr="00354740">
        <w:rPr>
          <w:rFonts w:ascii="Arial" w:eastAsia="Times New Roman" w:hAnsi="Arial" w:cs="Arial"/>
          <w:color w:val="666666"/>
          <w:sz w:val="20"/>
          <w:szCs w:val="20"/>
          <w:lang w:eastAsia="fr-FR"/>
        </w:rPr>
        <w:t xml:space="preserve"> et très sensible (limite de détection pouvant atteindre 10</w:t>
      </w:r>
      <w:r w:rsidRPr="00354740">
        <w:rPr>
          <w:rFonts w:ascii="Arial" w:eastAsia="Times New Roman" w:hAnsi="Arial" w:cs="Arial"/>
          <w:color w:val="666666"/>
          <w:sz w:val="20"/>
          <w:szCs w:val="20"/>
          <w:vertAlign w:val="superscript"/>
          <w:lang w:eastAsia="fr-FR"/>
        </w:rPr>
        <w:t>-12</w:t>
      </w:r>
      <w:r w:rsidRPr="00354740">
        <w:rPr>
          <w:rFonts w:ascii="Arial" w:eastAsia="Times New Roman" w:hAnsi="Arial" w:cs="Arial"/>
          <w:color w:val="666666"/>
          <w:sz w:val="20"/>
          <w:szCs w:val="20"/>
          <w:lang w:eastAsia="fr-FR"/>
        </w:rPr>
        <w:t>g et moins quelquefois) mais de plus sa réponse est indépendante de la forme chimique de l’élément. La masse de l’échantillon peut varier dans une large mesure, de quelques milligrammes à plusieurs grammes, et sa préparation est en général très simple. La plupart des risques d’erreur (pertes et pollutions), qui guettent les méthodes classiques, peuvent être évités ou à défaut contrôlés. Après irradiation, un décapage permet de s’affranchir des pollutions de surface et les contaminations, introduites lors des séparations chimiques éventuelles, ne peuvent ni fausser les résultats, ni dégrader les limites de détection. Les mesures de </w:t>
      </w:r>
      <w:r w:rsidRPr="00354740">
        <w:rPr>
          <w:rFonts w:ascii="Arial" w:eastAsia="Times New Roman" w:hAnsi="Arial" w:cs="Arial"/>
          <w:color w:val="000000"/>
          <w:sz w:val="20"/>
          <w:szCs w:val="20"/>
          <w:lang w:eastAsia="fr-FR"/>
        </w:rPr>
        <w:t>radioactivité permettent d’identifier de façon très sélective chacun des atomes présents et d’en quantifier le nombre. L’étalonnage est généralement obtenu à partir soit de l’élément lui-même, soit d’un moniteur de flux, irradiés simultanément ou dans des conditions comparables.</w:t>
      </w:r>
    </w:p>
    <w:p w:rsidR="00354740" w:rsidRPr="00354740" w:rsidRDefault="00354740" w:rsidP="00354740">
      <w:pPr>
        <w:shd w:val="clear" w:color="auto" w:fill="FFFFFF"/>
        <w:spacing w:after="90" w:line="240" w:lineRule="auto"/>
        <w:jc w:val="both"/>
        <w:rPr>
          <w:rFonts w:ascii="Arial" w:eastAsia="Times New Roman" w:hAnsi="Arial" w:cs="Arial"/>
          <w:color w:val="666666"/>
          <w:sz w:val="20"/>
          <w:szCs w:val="20"/>
          <w:lang w:eastAsia="fr-FR"/>
        </w:rPr>
      </w:pPr>
      <w:r w:rsidRPr="00354740">
        <w:rPr>
          <w:rFonts w:ascii="Arial" w:eastAsia="Times New Roman" w:hAnsi="Arial" w:cs="Arial"/>
          <w:color w:val="666666"/>
          <w:sz w:val="20"/>
          <w:szCs w:val="20"/>
          <w:lang w:eastAsia="fr-FR"/>
        </w:rPr>
        <w:t> </w:t>
      </w:r>
    </w:p>
    <w:tbl>
      <w:tblPr>
        <w:tblW w:w="21186" w:type="dxa"/>
        <w:tblCellMar>
          <w:top w:w="240" w:type="dxa"/>
          <w:left w:w="240" w:type="dxa"/>
          <w:bottom w:w="240" w:type="dxa"/>
          <w:right w:w="240" w:type="dxa"/>
        </w:tblCellMar>
        <w:tblLook w:val="04A0" w:firstRow="1" w:lastRow="0" w:firstColumn="1" w:lastColumn="0" w:noHBand="0" w:noVBand="1"/>
      </w:tblPr>
      <w:tblGrid>
        <w:gridCol w:w="11192"/>
        <w:gridCol w:w="9994"/>
      </w:tblGrid>
      <w:tr w:rsidR="00354740" w:rsidRPr="00354740" w:rsidTr="00354740">
        <w:trPr>
          <w:trHeight w:val="2823"/>
        </w:trPr>
        <w:tc>
          <w:tcPr>
            <w:tcW w:w="2641" w:type="pct"/>
            <w:shd w:val="clear" w:color="auto" w:fill="auto"/>
            <w:tcMar>
              <w:top w:w="90" w:type="dxa"/>
              <w:left w:w="90" w:type="dxa"/>
              <w:bottom w:w="90" w:type="dxa"/>
              <w:right w:w="90" w:type="dxa"/>
            </w:tcMar>
            <w:vAlign w:val="center"/>
            <w:hideMark/>
          </w:tcPr>
          <w:p w:rsidR="00354740" w:rsidRDefault="00354740" w:rsidP="00354740">
            <w:pPr>
              <w:spacing w:after="90" w:line="240" w:lineRule="auto"/>
              <w:jc w:val="both"/>
              <w:rPr>
                <w:rFonts w:ascii="Times New Roman" w:eastAsia="Times New Roman" w:hAnsi="Times New Roman" w:cs="Times New Roman"/>
                <w:color w:val="000000"/>
                <w:sz w:val="20"/>
                <w:szCs w:val="20"/>
                <w:lang w:eastAsia="fr-FR"/>
              </w:rPr>
            </w:pPr>
            <w:r w:rsidRPr="00354740">
              <w:rPr>
                <w:rFonts w:ascii="Times New Roman" w:eastAsia="Times New Roman" w:hAnsi="Times New Roman" w:cs="Times New Roman"/>
                <w:sz w:val="24"/>
                <w:szCs w:val="24"/>
                <w:lang w:eastAsia="fr-FR"/>
              </w:rPr>
              <w:t>Pour le dosage des traces, cette méthode est l’une des rares à atteindre couramment et de façon sûre, ses limites théoriques de détection. Ses temps de réponse sont tributaires de la période de décroissance des radio-isotopes utilisés et peuvent atteindre plusieurs jours. </w:t>
            </w:r>
            <w:r w:rsidRPr="00354740">
              <w:rPr>
                <w:rFonts w:ascii="Times New Roman" w:eastAsia="Times New Roman" w:hAnsi="Times New Roman" w:cs="Times New Roman"/>
                <w:b/>
                <w:bCs/>
                <w:sz w:val="24"/>
                <w:szCs w:val="24"/>
                <w:lang w:eastAsia="fr-FR"/>
              </w:rPr>
              <w:t>La méthode s’applique sans modification majeure à de très nombreux matériaux (métaux, semi-conducteurs, échantillons archéologiques, biologiques, géologiques...) </w:t>
            </w:r>
            <w:r w:rsidRPr="00354740">
              <w:rPr>
                <w:rFonts w:ascii="Times New Roman" w:eastAsia="Times New Roman" w:hAnsi="Times New Roman" w:cs="Times New Roman"/>
                <w:sz w:val="24"/>
                <w:szCs w:val="24"/>
                <w:lang w:eastAsia="fr-FR"/>
              </w:rPr>
              <w:t>dont la forme et la masse peuvent varier dans une large mesure. Il en va de même pour les quantités dosées qui peuvent varier du picogramme au gramme avec en général une précision de l’ordre de quelques pour-cent, quelle que soit la teneur, sauf au voisinage de la limite de détection. Actuellement la méthode est surtout utilisée comme </w:t>
            </w:r>
            <w:r w:rsidRPr="00354740">
              <w:rPr>
                <w:rFonts w:ascii="Times New Roman" w:eastAsia="Times New Roman" w:hAnsi="Times New Roman" w:cs="Times New Roman"/>
                <w:b/>
                <w:bCs/>
                <w:color w:val="000000"/>
                <w:sz w:val="20"/>
                <w:szCs w:val="20"/>
                <w:lang w:eastAsia="fr-FR"/>
              </w:rPr>
              <w:t>méthode d’analyse de traces et d’</w:t>
            </w:r>
            <w:proofErr w:type="spellStart"/>
            <w:r w:rsidRPr="00354740">
              <w:rPr>
                <w:rFonts w:ascii="Times New Roman" w:eastAsia="Times New Roman" w:hAnsi="Times New Roman" w:cs="Times New Roman"/>
                <w:b/>
                <w:bCs/>
                <w:color w:val="000000"/>
                <w:sz w:val="20"/>
                <w:szCs w:val="20"/>
                <w:lang w:eastAsia="fr-FR"/>
              </w:rPr>
              <w:t>ultratraces</w:t>
            </w:r>
            <w:proofErr w:type="spellEnd"/>
            <w:r w:rsidRPr="00354740">
              <w:rPr>
                <w:rFonts w:ascii="Times New Roman" w:eastAsia="Times New Roman" w:hAnsi="Times New Roman" w:cs="Times New Roman"/>
                <w:color w:val="000000"/>
                <w:sz w:val="20"/>
                <w:szCs w:val="20"/>
                <w:lang w:eastAsia="fr-FR"/>
              </w:rPr>
              <w:t>, soit en tant que telle, soit pour calibrer et vérifier les résultats obtenus par d’autres méthodes, en général plus accessibles et plus rapides mais qui n’ont pas toujours la fiabilité de l’analyse par activation. La possibilité de doser simultanément, sur un même échantillon, un grand nombre d’éléments présents dans des domaines de concentration très différents, en fait aussi une méthode de choix pour des études de provenance ou de mécanisme.</w:t>
            </w:r>
          </w:p>
          <w:p w:rsidR="00354740" w:rsidRDefault="00354740" w:rsidP="00354740">
            <w:pPr>
              <w:spacing w:after="90" w:line="240" w:lineRule="auto"/>
              <w:jc w:val="both"/>
              <w:rPr>
                <w:rFonts w:ascii="Times New Roman" w:eastAsia="Times New Roman" w:hAnsi="Times New Roman" w:cs="Times New Roman"/>
                <w:color w:val="000000"/>
                <w:sz w:val="20"/>
                <w:szCs w:val="20"/>
                <w:lang w:eastAsia="fr-FR"/>
              </w:rPr>
            </w:pPr>
          </w:p>
          <w:p w:rsidR="00354740" w:rsidRPr="00354740" w:rsidRDefault="00354740" w:rsidP="00354740">
            <w:pPr>
              <w:shd w:val="clear" w:color="auto" w:fill="FFFFFF"/>
              <w:spacing w:after="90" w:line="240" w:lineRule="auto"/>
              <w:jc w:val="both"/>
              <w:rPr>
                <w:rFonts w:ascii="Arial" w:eastAsia="Times New Roman" w:hAnsi="Arial" w:cs="Arial"/>
                <w:color w:val="666666"/>
                <w:sz w:val="20"/>
                <w:szCs w:val="20"/>
                <w:lang w:eastAsia="fr-FR"/>
              </w:rPr>
            </w:pPr>
            <w:r w:rsidRPr="00354740">
              <w:rPr>
                <w:rFonts w:ascii="Arial" w:eastAsia="Times New Roman" w:hAnsi="Arial" w:cs="Arial"/>
                <w:color w:val="666666"/>
                <w:sz w:val="20"/>
                <w:szCs w:val="20"/>
                <w:lang w:eastAsia="fr-FR"/>
              </w:rPr>
              <w:t>Limites de détection estimées par INAA suite à une irradiation dans un réacteur de flux de neutrons de 1x10</w:t>
            </w:r>
            <w:r w:rsidRPr="00354740">
              <w:rPr>
                <w:rFonts w:ascii="Arial" w:eastAsia="Times New Roman" w:hAnsi="Arial" w:cs="Arial"/>
                <w:color w:val="666666"/>
                <w:sz w:val="15"/>
                <w:szCs w:val="15"/>
                <w:vertAlign w:val="superscript"/>
                <w:lang w:eastAsia="fr-FR"/>
              </w:rPr>
              <w:t>13</w:t>
            </w:r>
            <w:r w:rsidRPr="00354740">
              <w:rPr>
                <w:rFonts w:ascii="Arial" w:eastAsia="Times New Roman" w:hAnsi="Arial" w:cs="Arial"/>
                <w:color w:val="666666"/>
                <w:sz w:val="20"/>
                <w:szCs w:val="20"/>
                <w:lang w:eastAsia="fr-FR"/>
              </w:rPr>
              <w:t> n cm</w:t>
            </w:r>
            <w:r w:rsidRPr="00354740">
              <w:rPr>
                <w:rFonts w:ascii="Arial" w:eastAsia="Times New Roman" w:hAnsi="Arial" w:cs="Arial"/>
                <w:color w:val="666666"/>
                <w:sz w:val="15"/>
                <w:szCs w:val="15"/>
                <w:vertAlign w:val="superscript"/>
                <w:lang w:eastAsia="fr-FR"/>
              </w:rPr>
              <w:t>-2</w:t>
            </w:r>
            <w:r w:rsidRPr="00354740">
              <w:rPr>
                <w:rFonts w:ascii="Arial" w:eastAsia="Times New Roman" w:hAnsi="Arial" w:cs="Arial"/>
                <w:color w:val="666666"/>
                <w:sz w:val="20"/>
                <w:szCs w:val="20"/>
                <w:lang w:eastAsia="fr-FR"/>
              </w:rPr>
              <w:t> s</w:t>
            </w:r>
            <w:r w:rsidRPr="00354740">
              <w:rPr>
                <w:rFonts w:ascii="Arial" w:eastAsia="Times New Roman" w:hAnsi="Arial" w:cs="Arial"/>
                <w:color w:val="666666"/>
                <w:sz w:val="15"/>
                <w:szCs w:val="15"/>
                <w:vertAlign w:val="superscript"/>
                <w:lang w:eastAsia="fr-FR"/>
              </w:rPr>
              <w:t>-1</w:t>
            </w:r>
            <w:r w:rsidRPr="00354740">
              <w:rPr>
                <w:rFonts w:ascii="Arial" w:eastAsia="Times New Roman" w:hAnsi="Arial" w:cs="Arial"/>
                <w:color w:val="666666"/>
                <w:sz w:val="20"/>
                <w:szCs w:val="20"/>
                <w:lang w:eastAsia="fr-FR"/>
              </w:rPr>
              <w:t>.</w:t>
            </w:r>
          </w:p>
          <w:tbl>
            <w:tblPr>
              <w:tblW w:w="0" w:type="auto"/>
              <w:tblCellMar>
                <w:left w:w="0" w:type="dxa"/>
                <w:right w:w="0" w:type="dxa"/>
              </w:tblCellMar>
              <w:tblLook w:val="04A0" w:firstRow="1" w:lastRow="0" w:firstColumn="1" w:lastColumn="0" w:noHBand="0" w:noVBand="1"/>
            </w:tblPr>
            <w:tblGrid>
              <w:gridCol w:w="1425"/>
              <w:gridCol w:w="7030"/>
            </w:tblGrid>
            <w:tr w:rsidR="00354740" w:rsidRPr="00354740" w:rsidTr="00354740">
              <w:tc>
                <w:tcPr>
                  <w:tcW w:w="1425"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b/>
                      <w:bCs/>
                      <w:sz w:val="20"/>
                      <w:szCs w:val="20"/>
                      <w:lang w:eastAsia="fr-FR"/>
                    </w:rPr>
                    <w:t>Sensibilité (picogrammes)</w:t>
                  </w:r>
                </w:p>
              </w:tc>
              <w:tc>
                <w:tcPr>
                  <w:tcW w:w="0" w:type="auto"/>
                  <w:tcBorders>
                    <w:top w:val="single" w:sz="8" w:space="0" w:color="auto"/>
                    <w:left w:val="nil"/>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b/>
                      <w:bCs/>
                      <w:sz w:val="20"/>
                      <w:szCs w:val="20"/>
                      <w:lang w:eastAsia="fr-FR"/>
                    </w:rPr>
                    <w:t>Eléments</w:t>
                  </w:r>
                </w:p>
              </w:tc>
            </w:tr>
            <w:tr w:rsidR="00354740" w:rsidRPr="00354740" w:rsidTr="00354740">
              <w:tc>
                <w:tcPr>
                  <w:tcW w:w="0" w:type="auto"/>
                  <w:tcBorders>
                    <w:top w:val="nil"/>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1</w:t>
                  </w:r>
                </w:p>
              </w:tc>
              <w:tc>
                <w:tcPr>
                  <w:tcW w:w="0" w:type="auto"/>
                  <w:tcBorders>
                    <w:top w:val="nil"/>
                    <w:left w:val="nil"/>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Dy, Eu</w:t>
                  </w:r>
                </w:p>
              </w:tc>
            </w:tr>
            <w:tr w:rsidR="00354740" w:rsidRPr="00354740" w:rsidTr="00354740">
              <w:tc>
                <w:tcPr>
                  <w:tcW w:w="0" w:type="auto"/>
                  <w:tcBorders>
                    <w:top w:val="nil"/>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1 - 10</w:t>
                  </w:r>
                </w:p>
              </w:tc>
              <w:tc>
                <w:tcPr>
                  <w:tcW w:w="0" w:type="auto"/>
                  <w:tcBorders>
                    <w:top w:val="nil"/>
                    <w:left w:val="nil"/>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In, Lu, Mn</w:t>
                  </w:r>
                </w:p>
              </w:tc>
            </w:tr>
            <w:tr w:rsidR="00354740" w:rsidRPr="00354740" w:rsidTr="00354740">
              <w:tc>
                <w:tcPr>
                  <w:tcW w:w="0" w:type="auto"/>
                  <w:tcBorders>
                    <w:top w:val="nil"/>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10 - 100</w:t>
                  </w:r>
                </w:p>
              </w:tc>
              <w:tc>
                <w:tcPr>
                  <w:tcW w:w="0" w:type="auto"/>
                  <w:tcBorders>
                    <w:top w:val="nil"/>
                    <w:left w:val="nil"/>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 xml:space="preserve">Au, Ho, Ir, Re, </w:t>
                  </w:r>
                  <w:proofErr w:type="spellStart"/>
                  <w:r w:rsidRPr="00354740">
                    <w:rPr>
                      <w:rFonts w:ascii="Times New Roman" w:eastAsia="Times New Roman" w:hAnsi="Times New Roman" w:cs="Times New Roman"/>
                      <w:sz w:val="20"/>
                      <w:szCs w:val="20"/>
                      <w:lang w:eastAsia="fr-FR"/>
                    </w:rPr>
                    <w:t>Sm</w:t>
                  </w:r>
                  <w:proofErr w:type="spellEnd"/>
                  <w:r w:rsidRPr="00354740">
                    <w:rPr>
                      <w:rFonts w:ascii="Times New Roman" w:eastAsia="Times New Roman" w:hAnsi="Times New Roman" w:cs="Times New Roman"/>
                      <w:sz w:val="20"/>
                      <w:szCs w:val="20"/>
                      <w:lang w:eastAsia="fr-FR"/>
                    </w:rPr>
                    <w:t>, W</w:t>
                  </w:r>
                </w:p>
              </w:tc>
            </w:tr>
            <w:tr w:rsidR="00354740" w:rsidRPr="00354740" w:rsidTr="00354740">
              <w:tc>
                <w:tcPr>
                  <w:tcW w:w="0" w:type="auto"/>
                  <w:tcBorders>
                    <w:top w:val="nil"/>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100 - 10</w:t>
                  </w:r>
                  <w:r w:rsidRPr="00354740">
                    <w:rPr>
                      <w:rFonts w:ascii="Times New Roman" w:eastAsia="Times New Roman" w:hAnsi="Times New Roman" w:cs="Times New Roman"/>
                      <w:sz w:val="15"/>
                      <w:szCs w:val="15"/>
                      <w:vertAlign w:val="superscript"/>
                      <w:lang w:eastAsia="fr-FR"/>
                    </w:rPr>
                    <w:t>3</w:t>
                  </w:r>
                </w:p>
              </w:tc>
              <w:tc>
                <w:tcPr>
                  <w:tcW w:w="0" w:type="auto"/>
                  <w:tcBorders>
                    <w:top w:val="nil"/>
                    <w:left w:val="nil"/>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Ag, Ar, As, Br, Cl, Co, Cs, Cu, Er, Ga, Hf, I, La, Sb, Sc, Se, Ta, Tb, Th, Tm, U, V, Yb</w:t>
                  </w:r>
                </w:p>
              </w:tc>
            </w:tr>
            <w:tr w:rsidR="00354740" w:rsidRPr="00354740" w:rsidTr="00354740">
              <w:tc>
                <w:tcPr>
                  <w:tcW w:w="0" w:type="auto"/>
                  <w:tcBorders>
                    <w:top w:val="nil"/>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10</w:t>
                  </w:r>
                  <w:r w:rsidRPr="00354740">
                    <w:rPr>
                      <w:rFonts w:ascii="Times New Roman" w:eastAsia="Times New Roman" w:hAnsi="Times New Roman" w:cs="Times New Roman"/>
                      <w:sz w:val="15"/>
                      <w:szCs w:val="15"/>
                      <w:vertAlign w:val="superscript"/>
                      <w:lang w:eastAsia="fr-FR"/>
                    </w:rPr>
                    <w:t>3</w:t>
                  </w:r>
                  <w:r w:rsidRPr="00354740">
                    <w:rPr>
                      <w:rFonts w:ascii="Times New Roman" w:eastAsia="Times New Roman" w:hAnsi="Times New Roman" w:cs="Times New Roman"/>
                      <w:sz w:val="20"/>
                      <w:szCs w:val="20"/>
                      <w:lang w:eastAsia="fr-FR"/>
                    </w:rPr>
                    <w:t> - 10</w:t>
                  </w:r>
                  <w:r w:rsidRPr="00354740">
                    <w:rPr>
                      <w:rFonts w:ascii="Times New Roman" w:eastAsia="Times New Roman" w:hAnsi="Times New Roman" w:cs="Times New Roman"/>
                      <w:sz w:val="15"/>
                      <w:szCs w:val="15"/>
                      <w:vertAlign w:val="superscript"/>
                      <w:lang w:eastAsia="fr-FR"/>
                    </w:rPr>
                    <w:t>4</w:t>
                  </w:r>
                </w:p>
              </w:tc>
              <w:tc>
                <w:tcPr>
                  <w:tcW w:w="0" w:type="auto"/>
                  <w:tcBorders>
                    <w:top w:val="nil"/>
                    <w:left w:val="nil"/>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Al, Ba, Cd, Ce, Cr, Hg, Kr, Gd, Ge, Mo, Na, Nd, Ni, Os, Pd, Rb, Rh, Ru, Sr, Te, Zn, Zr</w:t>
                  </w:r>
                </w:p>
              </w:tc>
            </w:tr>
            <w:tr w:rsidR="00354740" w:rsidRPr="00354740" w:rsidTr="00354740">
              <w:tc>
                <w:tcPr>
                  <w:tcW w:w="0" w:type="auto"/>
                  <w:tcBorders>
                    <w:top w:val="nil"/>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10</w:t>
                  </w:r>
                  <w:r w:rsidRPr="00354740">
                    <w:rPr>
                      <w:rFonts w:ascii="Times New Roman" w:eastAsia="Times New Roman" w:hAnsi="Times New Roman" w:cs="Times New Roman"/>
                      <w:sz w:val="15"/>
                      <w:szCs w:val="15"/>
                      <w:vertAlign w:val="superscript"/>
                      <w:lang w:eastAsia="fr-FR"/>
                    </w:rPr>
                    <w:t>4</w:t>
                  </w:r>
                  <w:r w:rsidRPr="00354740">
                    <w:rPr>
                      <w:rFonts w:ascii="Times New Roman" w:eastAsia="Times New Roman" w:hAnsi="Times New Roman" w:cs="Times New Roman"/>
                      <w:sz w:val="20"/>
                      <w:szCs w:val="20"/>
                      <w:lang w:eastAsia="fr-FR"/>
                    </w:rPr>
                    <w:t> - 10</w:t>
                  </w:r>
                  <w:r w:rsidRPr="00354740">
                    <w:rPr>
                      <w:rFonts w:ascii="Times New Roman" w:eastAsia="Times New Roman" w:hAnsi="Times New Roman" w:cs="Times New Roman"/>
                      <w:sz w:val="15"/>
                      <w:szCs w:val="15"/>
                      <w:vertAlign w:val="superscript"/>
                      <w:lang w:eastAsia="fr-FR"/>
                    </w:rPr>
                    <w:t>5</w:t>
                  </w:r>
                </w:p>
              </w:tc>
              <w:tc>
                <w:tcPr>
                  <w:tcW w:w="0" w:type="auto"/>
                  <w:tcBorders>
                    <w:top w:val="nil"/>
                    <w:left w:val="nil"/>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 xml:space="preserve">Bi, </w:t>
                  </w:r>
                  <w:proofErr w:type="gramStart"/>
                  <w:r w:rsidRPr="00354740">
                    <w:rPr>
                      <w:rFonts w:ascii="Times New Roman" w:eastAsia="Times New Roman" w:hAnsi="Times New Roman" w:cs="Times New Roman"/>
                      <w:sz w:val="20"/>
                      <w:szCs w:val="20"/>
                      <w:lang w:eastAsia="fr-FR"/>
                    </w:rPr>
                    <w:t>Ca</w:t>
                  </w:r>
                  <w:proofErr w:type="gramEnd"/>
                  <w:r w:rsidRPr="00354740">
                    <w:rPr>
                      <w:rFonts w:ascii="Times New Roman" w:eastAsia="Times New Roman" w:hAnsi="Times New Roman" w:cs="Times New Roman"/>
                      <w:sz w:val="20"/>
                      <w:szCs w:val="20"/>
                      <w:lang w:eastAsia="fr-FR"/>
                    </w:rPr>
                    <w:t>, K, Mg, P, Pt, Si, Sn, Ti, Tl, Xe, Y</w:t>
                  </w:r>
                </w:p>
              </w:tc>
            </w:tr>
            <w:tr w:rsidR="00354740" w:rsidRPr="00354740" w:rsidTr="00354740">
              <w:tc>
                <w:tcPr>
                  <w:tcW w:w="0" w:type="auto"/>
                  <w:tcBorders>
                    <w:top w:val="nil"/>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10</w:t>
                  </w:r>
                  <w:r w:rsidRPr="00354740">
                    <w:rPr>
                      <w:rFonts w:ascii="Times New Roman" w:eastAsia="Times New Roman" w:hAnsi="Times New Roman" w:cs="Times New Roman"/>
                      <w:sz w:val="15"/>
                      <w:szCs w:val="15"/>
                      <w:vertAlign w:val="superscript"/>
                      <w:lang w:eastAsia="fr-FR"/>
                    </w:rPr>
                    <w:t>5</w:t>
                  </w:r>
                  <w:r w:rsidRPr="00354740">
                    <w:rPr>
                      <w:rFonts w:ascii="Times New Roman" w:eastAsia="Times New Roman" w:hAnsi="Times New Roman" w:cs="Times New Roman"/>
                      <w:sz w:val="20"/>
                      <w:szCs w:val="20"/>
                      <w:lang w:eastAsia="fr-FR"/>
                    </w:rPr>
                    <w:t> - 10</w:t>
                  </w:r>
                  <w:r w:rsidRPr="00354740">
                    <w:rPr>
                      <w:rFonts w:ascii="Times New Roman" w:eastAsia="Times New Roman" w:hAnsi="Times New Roman" w:cs="Times New Roman"/>
                      <w:sz w:val="15"/>
                      <w:szCs w:val="15"/>
                      <w:vertAlign w:val="superscript"/>
                      <w:lang w:eastAsia="fr-FR"/>
                    </w:rPr>
                    <w:t>6</w:t>
                  </w:r>
                </w:p>
              </w:tc>
              <w:tc>
                <w:tcPr>
                  <w:tcW w:w="0" w:type="auto"/>
                  <w:tcBorders>
                    <w:top w:val="nil"/>
                    <w:left w:val="nil"/>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F, Fe, Nb, Ne</w:t>
                  </w:r>
                </w:p>
              </w:tc>
            </w:tr>
            <w:tr w:rsidR="00354740" w:rsidRPr="00354740" w:rsidTr="00354740">
              <w:tc>
                <w:tcPr>
                  <w:tcW w:w="0" w:type="auto"/>
                  <w:tcBorders>
                    <w:top w:val="nil"/>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10</w:t>
                  </w:r>
                  <w:r w:rsidRPr="00354740">
                    <w:rPr>
                      <w:rFonts w:ascii="Times New Roman" w:eastAsia="Times New Roman" w:hAnsi="Times New Roman" w:cs="Times New Roman"/>
                      <w:sz w:val="15"/>
                      <w:szCs w:val="15"/>
                      <w:vertAlign w:val="superscript"/>
                      <w:lang w:eastAsia="fr-FR"/>
                    </w:rPr>
                    <w:t>7</w:t>
                  </w:r>
                </w:p>
              </w:tc>
              <w:tc>
                <w:tcPr>
                  <w:tcW w:w="0" w:type="auto"/>
                  <w:tcBorders>
                    <w:top w:val="nil"/>
                    <w:left w:val="nil"/>
                    <w:bottom w:val="single" w:sz="8" w:space="0" w:color="auto"/>
                    <w:right w:val="single" w:sz="8" w:space="0" w:color="auto"/>
                  </w:tcBorders>
                  <w:shd w:val="clear" w:color="auto" w:fill="auto"/>
                  <w:tcMar>
                    <w:top w:w="15" w:type="dxa"/>
                    <w:left w:w="15" w:type="dxa"/>
                    <w:bottom w:w="15" w:type="dxa"/>
                    <w:right w:w="15" w:type="dxa"/>
                  </w:tcMar>
                  <w:vAlign w:val="center"/>
                  <w:hideMark/>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r w:rsidRPr="00354740">
                    <w:rPr>
                      <w:rFonts w:ascii="Times New Roman" w:eastAsia="Times New Roman" w:hAnsi="Times New Roman" w:cs="Times New Roman"/>
                      <w:sz w:val="20"/>
                      <w:szCs w:val="20"/>
                      <w:lang w:eastAsia="fr-FR"/>
                    </w:rPr>
                    <w:t>Pb, S</w:t>
                  </w:r>
                </w:p>
              </w:tc>
            </w:tr>
          </w:tbl>
          <w:p w:rsidR="00354740" w:rsidRDefault="00354740" w:rsidP="00354740">
            <w:pPr>
              <w:spacing w:after="90" w:line="240" w:lineRule="auto"/>
              <w:jc w:val="both"/>
              <w:rPr>
                <w:rFonts w:ascii="Times New Roman" w:eastAsia="Times New Roman" w:hAnsi="Times New Roman" w:cs="Times New Roman"/>
                <w:sz w:val="24"/>
                <w:szCs w:val="24"/>
                <w:lang w:eastAsia="fr-FR"/>
              </w:rPr>
            </w:pPr>
          </w:p>
          <w:p w:rsidR="00354740" w:rsidRPr="00354740" w:rsidRDefault="00354740" w:rsidP="00354740">
            <w:pPr>
              <w:shd w:val="clear" w:color="auto" w:fill="FFFFFF"/>
              <w:spacing w:after="0" w:line="240" w:lineRule="auto"/>
              <w:jc w:val="both"/>
              <w:rPr>
                <w:rFonts w:ascii="Arial" w:eastAsia="Times New Roman" w:hAnsi="Arial" w:cs="Arial"/>
                <w:color w:val="666666"/>
                <w:sz w:val="20"/>
                <w:szCs w:val="20"/>
                <w:lang w:eastAsia="fr-FR"/>
              </w:rPr>
            </w:pPr>
            <w:r w:rsidRPr="00354740">
              <w:rPr>
                <w:rFonts w:ascii="Arial" w:eastAsia="Times New Roman" w:hAnsi="Arial" w:cs="Arial"/>
                <w:noProof/>
                <w:color w:val="23527C"/>
                <w:sz w:val="20"/>
                <w:szCs w:val="20"/>
                <w:lang w:eastAsia="fr-FR"/>
              </w:rPr>
              <w:lastRenderedPageBreak/>
              <w:drawing>
                <wp:inline distT="0" distB="0" distL="0" distR="0">
                  <wp:extent cx="2435860" cy="2096135"/>
                  <wp:effectExtent l="0" t="0" r="0" b="0"/>
                  <wp:docPr id="1" name="Image 1" descr="Analyse par Activation Neutronique Instrumental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e par Activation Neutronique Instrumental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5860" cy="2096135"/>
                          </a:xfrm>
                          <a:prstGeom prst="rect">
                            <a:avLst/>
                          </a:prstGeom>
                          <a:noFill/>
                          <a:ln>
                            <a:noFill/>
                          </a:ln>
                        </pic:spPr>
                      </pic:pic>
                    </a:graphicData>
                  </a:graphic>
                </wp:inline>
              </w:drawing>
            </w:r>
          </w:p>
          <w:p w:rsidR="00354740" w:rsidRPr="00354740" w:rsidRDefault="00354740" w:rsidP="00354740">
            <w:pPr>
              <w:shd w:val="clear" w:color="auto" w:fill="FFFFFF"/>
              <w:spacing w:before="150" w:after="90" w:line="240" w:lineRule="auto"/>
              <w:jc w:val="both"/>
              <w:rPr>
                <w:rFonts w:ascii="Arial" w:eastAsia="Times New Roman" w:hAnsi="Arial" w:cs="Arial"/>
                <w:color w:val="868686"/>
                <w:sz w:val="20"/>
                <w:szCs w:val="20"/>
                <w:lang w:eastAsia="fr-FR"/>
              </w:rPr>
            </w:pPr>
            <w:r w:rsidRPr="00354740">
              <w:rPr>
                <w:rFonts w:ascii="Arial" w:eastAsia="Times New Roman" w:hAnsi="Arial" w:cs="Arial"/>
                <w:color w:val="868686"/>
                <w:sz w:val="20"/>
                <w:szCs w:val="20"/>
                <w:lang w:eastAsia="fr-FR"/>
              </w:rPr>
              <w:t>Zone chaude LPS pour la récupération des échantillons provenant des réacteurs Orphée ou Osiris</w:t>
            </w:r>
          </w:p>
          <w:p w:rsidR="00354740" w:rsidRDefault="00354740" w:rsidP="00354740">
            <w:pPr>
              <w:spacing w:after="90" w:line="240" w:lineRule="auto"/>
              <w:jc w:val="both"/>
              <w:rPr>
                <w:rFonts w:ascii="Times New Roman" w:eastAsia="Times New Roman" w:hAnsi="Times New Roman" w:cs="Times New Roman"/>
                <w:sz w:val="24"/>
                <w:szCs w:val="24"/>
                <w:lang w:eastAsia="fr-FR"/>
              </w:rPr>
            </w:pPr>
          </w:p>
          <w:p w:rsidR="00354740" w:rsidRPr="00354740" w:rsidRDefault="00354740" w:rsidP="00354740">
            <w:pPr>
              <w:shd w:val="clear" w:color="auto" w:fill="FFFFFF"/>
              <w:spacing w:after="90" w:line="240" w:lineRule="auto"/>
              <w:jc w:val="both"/>
              <w:rPr>
                <w:rFonts w:ascii="Arial" w:eastAsia="Times New Roman" w:hAnsi="Arial" w:cs="Arial"/>
                <w:color w:val="666666"/>
                <w:sz w:val="20"/>
                <w:szCs w:val="20"/>
                <w:lang w:eastAsia="fr-FR"/>
              </w:rPr>
            </w:pPr>
            <w:r w:rsidRPr="00354740">
              <w:rPr>
                <w:rFonts w:ascii="Arial" w:eastAsia="Times New Roman" w:hAnsi="Arial" w:cs="Arial"/>
                <w:b/>
                <w:bCs/>
                <w:color w:val="666666"/>
                <w:sz w:val="20"/>
                <w:szCs w:val="20"/>
                <w:lang w:eastAsia="fr-FR"/>
              </w:rPr>
              <w:t>Préparation de l’échantillon</w:t>
            </w:r>
          </w:p>
          <w:p w:rsidR="00354740" w:rsidRPr="00354740" w:rsidRDefault="00354740" w:rsidP="00354740">
            <w:pPr>
              <w:shd w:val="clear" w:color="auto" w:fill="FFFFFF"/>
              <w:spacing w:after="90" w:line="240" w:lineRule="auto"/>
              <w:jc w:val="both"/>
              <w:rPr>
                <w:rFonts w:ascii="Arial" w:eastAsia="Times New Roman" w:hAnsi="Arial" w:cs="Arial"/>
                <w:color w:val="666666"/>
                <w:sz w:val="20"/>
                <w:szCs w:val="20"/>
                <w:lang w:eastAsia="fr-FR"/>
              </w:rPr>
            </w:pPr>
            <w:r w:rsidRPr="00354740">
              <w:rPr>
                <w:rFonts w:ascii="Arial" w:eastAsia="Times New Roman" w:hAnsi="Arial" w:cs="Arial"/>
                <w:color w:val="666666"/>
                <w:sz w:val="20"/>
                <w:szCs w:val="20"/>
                <w:lang w:eastAsia="fr-FR"/>
              </w:rPr>
              <w:t>La forme géométrique de l’échantillon importe peu. En effet, les neutrons, à cause de leur charge nulle, ont un grand pouvoir de pénétration dans la matière, sauf pour quelques éléments (bore, cadmium...) qui ont une très forte section efficace de capture neutronique (plusieurs milliers de barns). Théoriquement, il est possible d’appliquer la méthode aux solides, aux liquides et aux gaz. En fait, sauf exception, à cause des phénomènes de radiolyse et des risques de contamination, les échantillons sont irradiés sous forme solide, enveloppés par exemple dans du papier d’aluminium. Ce matériau peut être obtenu très pur et conduit à des radio-isotopes dont la radioactivité décroît rapidement après irradiation. Les masses irradiées peuvent varier de quelques milligrammes à quelques grammes et même beaucoup plus si le dispositif prévu pour l’irradiation le permet. Dans la majorité des cas, le ou les échantillons avec le ou les étalons, ou encore le ou les moniteurs de flux, sont placés dans une navette fermée, adaptée au dispositif de transfert. Cette navette peut être en matière plastique pour les irradiations courtes (moins d’une heure à 10</w:t>
            </w:r>
            <w:r w:rsidRPr="00354740">
              <w:rPr>
                <w:rFonts w:ascii="Arial" w:eastAsia="Times New Roman" w:hAnsi="Arial" w:cs="Arial"/>
                <w:color w:val="666666"/>
                <w:sz w:val="15"/>
                <w:szCs w:val="15"/>
                <w:vertAlign w:val="superscript"/>
                <w:lang w:eastAsia="fr-FR"/>
              </w:rPr>
              <w:t>13</w:t>
            </w:r>
            <w:r w:rsidRPr="00354740">
              <w:rPr>
                <w:rFonts w:ascii="Arial" w:eastAsia="Times New Roman" w:hAnsi="Arial" w:cs="Arial"/>
                <w:color w:val="666666"/>
                <w:sz w:val="20"/>
                <w:szCs w:val="20"/>
                <w:lang w:eastAsia="fr-FR"/>
              </w:rPr>
              <w:t> n.cm</w:t>
            </w:r>
            <w:r w:rsidRPr="00354740">
              <w:rPr>
                <w:rFonts w:ascii="Arial" w:eastAsia="Times New Roman" w:hAnsi="Arial" w:cs="Arial"/>
                <w:color w:val="666666"/>
                <w:sz w:val="15"/>
                <w:szCs w:val="15"/>
                <w:vertAlign w:val="superscript"/>
                <w:lang w:eastAsia="fr-FR"/>
              </w:rPr>
              <w:t>-</w:t>
            </w:r>
            <w:proofErr w:type="gramStart"/>
            <w:r w:rsidRPr="00354740">
              <w:rPr>
                <w:rFonts w:ascii="Arial" w:eastAsia="Times New Roman" w:hAnsi="Arial" w:cs="Arial"/>
                <w:color w:val="666666"/>
                <w:sz w:val="15"/>
                <w:szCs w:val="15"/>
                <w:vertAlign w:val="superscript"/>
                <w:lang w:eastAsia="fr-FR"/>
              </w:rPr>
              <w:t>2</w:t>
            </w:r>
            <w:r w:rsidRPr="00354740">
              <w:rPr>
                <w:rFonts w:ascii="Arial" w:eastAsia="Times New Roman" w:hAnsi="Arial" w:cs="Arial"/>
                <w:color w:val="666666"/>
                <w:sz w:val="20"/>
                <w:szCs w:val="20"/>
                <w:lang w:eastAsia="fr-FR"/>
              </w:rPr>
              <w:t>.s</w:t>
            </w:r>
            <w:proofErr w:type="gramEnd"/>
            <w:r w:rsidRPr="00354740">
              <w:rPr>
                <w:rFonts w:ascii="Arial" w:eastAsia="Times New Roman" w:hAnsi="Arial" w:cs="Arial"/>
                <w:color w:val="666666"/>
                <w:sz w:val="15"/>
                <w:szCs w:val="15"/>
                <w:vertAlign w:val="superscript"/>
                <w:lang w:eastAsia="fr-FR"/>
              </w:rPr>
              <w:t>-1</w:t>
            </w:r>
            <w:r w:rsidRPr="00354740">
              <w:rPr>
                <w:rFonts w:ascii="Arial" w:eastAsia="Times New Roman" w:hAnsi="Arial" w:cs="Arial"/>
                <w:color w:val="666666"/>
                <w:sz w:val="20"/>
                <w:szCs w:val="20"/>
                <w:lang w:eastAsia="fr-FR"/>
              </w:rPr>
              <w:t>), en graphite ou en aluminium pour les irradiations plus longues.</w:t>
            </w:r>
          </w:p>
          <w:p w:rsidR="00354740" w:rsidRPr="00354740" w:rsidRDefault="00354740" w:rsidP="00354740">
            <w:pPr>
              <w:shd w:val="clear" w:color="auto" w:fill="FFFFFF"/>
              <w:jc w:val="both"/>
              <w:rPr>
                <w:rFonts w:ascii="Arial" w:eastAsia="Times New Roman" w:hAnsi="Arial" w:cs="Arial"/>
                <w:color w:val="666666"/>
                <w:sz w:val="20"/>
                <w:szCs w:val="20"/>
                <w:lang w:eastAsia="fr-FR"/>
              </w:rPr>
            </w:pPr>
            <w:r w:rsidRPr="00354740">
              <w:rPr>
                <w:rFonts w:ascii="Arial" w:eastAsia="Times New Roman" w:hAnsi="Arial" w:cs="Arial"/>
                <w:color w:val="666666"/>
                <w:sz w:val="20"/>
                <w:szCs w:val="20"/>
                <w:shd w:val="clear" w:color="auto" w:fill="FFFFFF"/>
                <w:lang w:eastAsia="fr-FR"/>
              </w:rPr>
              <w:t> </w:t>
            </w:r>
            <w:r w:rsidRPr="00354740">
              <w:rPr>
                <w:rFonts w:ascii="Arial" w:eastAsia="Times New Roman" w:hAnsi="Arial" w:cs="Arial"/>
                <w:noProof/>
                <w:color w:val="23527C"/>
                <w:sz w:val="20"/>
                <w:szCs w:val="20"/>
                <w:lang w:eastAsia="fr-FR"/>
              </w:rPr>
              <w:drawing>
                <wp:inline distT="0" distB="0" distL="0" distR="0">
                  <wp:extent cx="2435860" cy="1998980"/>
                  <wp:effectExtent l="0" t="0" r="0" b="0"/>
                  <wp:docPr id="2" name="Image 2" descr="Analyse par Activation Neutronique Instrumenta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yse par Activation Neutronique Instrumenta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5860" cy="1998980"/>
                          </a:xfrm>
                          <a:prstGeom prst="rect">
                            <a:avLst/>
                          </a:prstGeom>
                          <a:noFill/>
                          <a:ln>
                            <a:noFill/>
                          </a:ln>
                        </pic:spPr>
                      </pic:pic>
                    </a:graphicData>
                  </a:graphic>
                </wp:inline>
              </w:drawing>
            </w:r>
          </w:p>
          <w:p w:rsidR="00354740" w:rsidRPr="00354740" w:rsidRDefault="00354740" w:rsidP="00354740">
            <w:pPr>
              <w:shd w:val="clear" w:color="auto" w:fill="FFFFFF"/>
              <w:spacing w:before="150" w:after="90" w:line="240" w:lineRule="auto"/>
              <w:jc w:val="both"/>
              <w:rPr>
                <w:rFonts w:ascii="Arial" w:eastAsia="Times New Roman" w:hAnsi="Arial" w:cs="Arial"/>
                <w:color w:val="868686"/>
                <w:sz w:val="20"/>
                <w:szCs w:val="20"/>
                <w:lang w:eastAsia="fr-FR"/>
              </w:rPr>
            </w:pPr>
            <w:r w:rsidRPr="00354740">
              <w:rPr>
                <w:rFonts w:ascii="Arial" w:eastAsia="Times New Roman" w:hAnsi="Arial" w:cs="Arial"/>
                <w:color w:val="868686"/>
                <w:sz w:val="20"/>
                <w:szCs w:val="20"/>
                <w:lang w:eastAsia="fr-FR"/>
              </w:rPr>
              <w:t>Navettes en plastique et en cadmium posées sur le tableau de commande</w:t>
            </w:r>
          </w:p>
          <w:p w:rsidR="00354740" w:rsidRPr="00354740" w:rsidRDefault="00354740" w:rsidP="00354740">
            <w:pPr>
              <w:shd w:val="clear" w:color="auto" w:fill="FFFFFF"/>
              <w:spacing w:after="90" w:line="240" w:lineRule="auto"/>
              <w:jc w:val="both"/>
              <w:rPr>
                <w:rFonts w:ascii="Arial" w:eastAsia="Times New Roman" w:hAnsi="Arial" w:cs="Arial"/>
                <w:color w:val="666666"/>
                <w:sz w:val="20"/>
                <w:szCs w:val="20"/>
                <w:lang w:eastAsia="fr-FR"/>
              </w:rPr>
            </w:pPr>
            <w:r w:rsidRPr="00354740">
              <w:rPr>
                <w:rFonts w:ascii="Arial" w:eastAsia="Times New Roman" w:hAnsi="Arial" w:cs="Arial"/>
                <w:b/>
                <w:bCs/>
                <w:color w:val="666666"/>
                <w:sz w:val="20"/>
                <w:szCs w:val="20"/>
                <w:lang w:eastAsia="fr-FR"/>
              </w:rPr>
              <w:t>Traitement de l’échantillon après irradiation</w:t>
            </w:r>
            <w:r w:rsidRPr="00354740">
              <w:rPr>
                <w:rFonts w:ascii="Arial" w:eastAsia="Times New Roman" w:hAnsi="Arial" w:cs="Arial"/>
                <w:color w:val="666666"/>
                <w:sz w:val="20"/>
                <w:szCs w:val="20"/>
                <w:lang w:eastAsia="fr-FR"/>
              </w:rPr>
              <w:t>  </w:t>
            </w:r>
          </w:p>
          <w:p w:rsidR="00354740" w:rsidRPr="00354740" w:rsidRDefault="00354740" w:rsidP="00354740">
            <w:pPr>
              <w:shd w:val="clear" w:color="auto" w:fill="FFFFFF"/>
              <w:spacing w:after="90" w:line="240" w:lineRule="auto"/>
              <w:jc w:val="both"/>
              <w:rPr>
                <w:rFonts w:ascii="Arial" w:eastAsia="Times New Roman" w:hAnsi="Arial" w:cs="Arial"/>
                <w:color w:val="666666"/>
                <w:sz w:val="20"/>
                <w:szCs w:val="20"/>
                <w:lang w:eastAsia="fr-FR"/>
              </w:rPr>
            </w:pPr>
            <w:r w:rsidRPr="00354740">
              <w:rPr>
                <w:rFonts w:ascii="Arial" w:eastAsia="Times New Roman" w:hAnsi="Arial" w:cs="Arial"/>
                <w:color w:val="666666"/>
                <w:sz w:val="20"/>
                <w:szCs w:val="20"/>
                <w:lang w:eastAsia="fr-FR"/>
              </w:rPr>
              <w:t>Échantillon et étalon sont extraits de la navette d’irradiation dans un laboratoire aménagé à cet effet. L’étalon, ou le moniteur de flux, est soit mesuré directement, soit éventuellement mis en solution pour présenter la même géométrie que l’échantillon lors des mesures de radioactivité. En analyse classique de traces, l’échantillon, s’il est solide, est généralement décapé pour éliminer les pollutions de surface difficilement évitables. En analyse par activation, les pollutions naturelles introduites après la fin de l’irradiation ne peuvent pas fausser les mesures de radioactivité. Dans le cas favorable des matériaux relativement purs s’activant peu ou donnant des radio-isotopes de période courte (aluminium, magnésium, silicium, leurs oxydes...), il est possible avec les dispositifs modernes de spectrométrie g de détecter et de doser sur un même échantillon une quarantaine d’éléments</w:t>
            </w:r>
          </w:p>
          <w:p w:rsidR="00354740" w:rsidRPr="00354740" w:rsidRDefault="00354740" w:rsidP="00354740">
            <w:pPr>
              <w:shd w:val="clear" w:color="auto" w:fill="FFFFFF"/>
              <w:spacing w:after="0" w:line="240" w:lineRule="auto"/>
              <w:jc w:val="both"/>
              <w:rPr>
                <w:rFonts w:ascii="Arial" w:eastAsia="Times New Roman" w:hAnsi="Arial" w:cs="Arial"/>
                <w:color w:val="666666"/>
                <w:sz w:val="20"/>
                <w:szCs w:val="20"/>
                <w:lang w:eastAsia="fr-FR"/>
              </w:rPr>
            </w:pPr>
            <w:r w:rsidRPr="00354740">
              <w:rPr>
                <w:rFonts w:ascii="Arial" w:eastAsia="Times New Roman" w:hAnsi="Arial" w:cs="Arial"/>
                <w:noProof/>
                <w:color w:val="23527C"/>
                <w:sz w:val="20"/>
                <w:szCs w:val="20"/>
                <w:lang w:eastAsia="fr-FR"/>
              </w:rPr>
              <w:lastRenderedPageBreak/>
              <w:drawing>
                <wp:inline distT="0" distB="0" distL="0" distR="0">
                  <wp:extent cx="5760720" cy="4422140"/>
                  <wp:effectExtent l="0" t="0" r="0" b="0"/>
                  <wp:docPr id="3" name="Image 3" descr="Analyse par Activation Neutronique Instrumental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lyse par Activation Neutronique Instrumental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22140"/>
                          </a:xfrm>
                          <a:prstGeom prst="rect">
                            <a:avLst/>
                          </a:prstGeom>
                          <a:noFill/>
                          <a:ln>
                            <a:noFill/>
                          </a:ln>
                        </pic:spPr>
                      </pic:pic>
                    </a:graphicData>
                  </a:graphic>
                </wp:inline>
              </w:drawing>
            </w:r>
          </w:p>
          <w:p w:rsidR="00354740" w:rsidRPr="00354740" w:rsidRDefault="00354740" w:rsidP="00354740">
            <w:pPr>
              <w:shd w:val="clear" w:color="auto" w:fill="FFFFFF"/>
              <w:spacing w:before="150" w:after="150" w:line="240" w:lineRule="auto"/>
              <w:jc w:val="both"/>
              <w:rPr>
                <w:rFonts w:ascii="Arial" w:eastAsia="Times New Roman" w:hAnsi="Arial" w:cs="Arial"/>
                <w:color w:val="868686"/>
                <w:sz w:val="20"/>
                <w:szCs w:val="20"/>
                <w:lang w:eastAsia="fr-FR"/>
              </w:rPr>
            </w:pPr>
            <w:r w:rsidRPr="00354740">
              <w:rPr>
                <w:rFonts w:ascii="Arial" w:eastAsia="Times New Roman" w:hAnsi="Arial" w:cs="Arial"/>
                <w:color w:val="868686"/>
                <w:sz w:val="20"/>
                <w:szCs w:val="20"/>
                <w:lang w:eastAsia="fr-FR"/>
              </w:rPr>
              <w:t>Chaine de spectrométrie gamma avec passeur d’échantillons</w:t>
            </w:r>
          </w:p>
          <w:p w:rsidR="00354740" w:rsidRDefault="00354740" w:rsidP="00354740">
            <w:pPr>
              <w:shd w:val="clear" w:color="auto" w:fill="FFFFFF"/>
              <w:spacing w:after="90" w:line="240" w:lineRule="auto"/>
              <w:jc w:val="both"/>
              <w:rPr>
                <w:rFonts w:ascii="Arial" w:eastAsia="Times New Roman" w:hAnsi="Arial" w:cs="Arial"/>
                <w:b/>
                <w:bCs/>
                <w:color w:val="666666"/>
                <w:sz w:val="20"/>
                <w:szCs w:val="20"/>
                <w:lang w:eastAsia="fr-FR"/>
              </w:rPr>
            </w:pPr>
            <w:r>
              <w:rPr>
                <w:rFonts w:ascii="Arial" w:eastAsia="Times New Roman" w:hAnsi="Arial" w:cs="Arial"/>
                <w:b/>
                <w:bCs/>
                <w:color w:val="666666"/>
                <w:sz w:val="20"/>
                <w:szCs w:val="20"/>
                <w:lang w:eastAsia="fr-FR"/>
              </w:rPr>
              <w:t xml:space="preserve">  </w:t>
            </w:r>
          </w:p>
          <w:p w:rsidR="00354740" w:rsidRDefault="00354740" w:rsidP="00354740">
            <w:pPr>
              <w:shd w:val="clear" w:color="auto" w:fill="FFFFFF"/>
              <w:spacing w:after="90" w:line="240" w:lineRule="auto"/>
              <w:jc w:val="both"/>
              <w:rPr>
                <w:rFonts w:ascii="Arial" w:eastAsia="Times New Roman" w:hAnsi="Arial" w:cs="Arial"/>
                <w:b/>
                <w:bCs/>
                <w:color w:val="666666"/>
                <w:sz w:val="20"/>
                <w:szCs w:val="20"/>
                <w:lang w:eastAsia="fr-FR"/>
              </w:rPr>
            </w:pPr>
          </w:p>
          <w:p w:rsidR="00354740" w:rsidRDefault="00354740" w:rsidP="00354740">
            <w:pPr>
              <w:shd w:val="clear" w:color="auto" w:fill="FFFFFF"/>
              <w:spacing w:after="90" w:line="240" w:lineRule="auto"/>
              <w:jc w:val="both"/>
              <w:rPr>
                <w:rFonts w:ascii="Arial" w:eastAsia="Times New Roman" w:hAnsi="Arial" w:cs="Arial"/>
                <w:b/>
                <w:bCs/>
                <w:color w:val="666666"/>
                <w:sz w:val="20"/>
                <w:szCs w:val="20"/>
                <w:lang w:eastAsia="fr-FR"/>
              </w:rPr>
            </w:pPr>
            <w:r>
              <w:rPr>
                <w:rFonts w:ascii="Arial" w:eastAsia="Times New Roman" w:hAnsi="Arial" w:cs="Arial"/>
                <w:b/>
                <w:bCs/>
                <w:color w:val="666666"/>
                <w:sz w:val="20"/>
                <w:szCs w:val="20"/>
                <w:lang w:eastAsia="fr-FR"/>
              </w:rPr>
              <w:t>Les référence :</w:t>
            </w:r>
          </w:p>
          <w:p w:rsidR="00354740" w:rsidRDefault="00354740" w:rsidP="00354740">
            <w:pPr>
              <w:shd w:val="clear" w:color="auto" w:fill="FFFFFF"/>
              <w:spacing w:after="90" w:line="240" w:lineRule="auto"/>
              <w:jc w:val="both"/>
            </w:pPr>
            <w:hyperlink r:id="rId10" w:history="1">
              <w:r>
                <w:rPr>
                  <w:rStyle w:val="Lienhypertexte"/>
                </w:rPr>
                <w:t>https://www.researchgate.net/publication/312334618_Neutron_Activation_Analysis_NAA</w:t>
              </w:r>
            </w:hyperlink>
          </w:p>
          <w:p w:rsidR="00354740" w:rsidRDefault="00354740" w:rsidP="00354740">
            <w:pPr>
              <w:shd w:val="clear" w:color="auto" w:fill="FFFFFF"/>
              <w:spacing w:after="90" w:line="240" w:lineRule="auto"/>
              <w:jc w:val="both"/>
            </w:pPr>
            <w:hyperlink r:id="rId11" w:history="1">
              <w:r>
                <w:rPr>
                  <w:rStyle w:val="Lienhypertexte"/>
                </w:rPr>
                <w:t>https://www.researchgate.net/figure/Schematic-representation-of-Neutron-Activation-Analysis-steps-and-illustration-of-the_fig1_272388331</w:t>
              </w:r>
            </w:hyperlink>
          </w:p>
          <w:p w:rsidR="00354740" w:rsidRDefault="00354740" w:rsidP="00354740">
            <w:pPr>
              <w:shd w:val="clear" w:color="auto" w:fill="FFFFFF"/>
              <w:spacing w:after="90" w:line="240" w:lineRule="auto"/>
              <w:jc w:val="both"/>
            </w:pPr>
            <w:hyperlink r:id="rId12" w:history="1">
              <w:r>
                <w:rPr>
                  <w:rStyle w:val="Lienhypertexte"/>
                </w:rPr>
                <w:t>https://link.springer.com/chapter/10.1007/978-3-319-33163-8_10</w:t>
              </w:r>
            </w:hyperlink>
          </w:p>
          <w:p w:rsidR="00354740" w:rsidRDefault="00354740" w:rsidP="00354740">
            <w:pPr>
              <w:shd w:val="clear" w:color="auto" w:fill="FFFFFF"/>
              <w:spacing w:after="90" w:line="240" w:lineRule="auto"/>
              <w:jc w:val="both"/>
            </w:pPr>
            <w:hyperlink r:id="rId13" w:history="1">
              <w:r>
                <w:rPr>
                  <w:rStyle w:val="Lienhypertexte"/>
                </w:rPr>
                <w:t>https://inis.iaea.org/search/search.aspx?orig_q=RN:11496224</w:t>
              </w:r>
            </w:hyperlink>
          </w:p>
          <w:p w:rsidR="00354740" w:rsidRPr="00354740" w:rsidRDefault="00354740" w:rsidP="00354740">
            <w:pPr>
              <w:shd w:val="clear" w:color="auto" w:fill="FFFFFF"/>
              <w:spacing w:after="90" w:line="240" w:lineRule="auto"/>
              <w:jc w:val="both"/>
              <w:rPr>
                <w:rFonts w:ascii="Times New Roman" w:eastAsia="Times New Roman" w:hAnsi="Times New Roman" w:cs="Times New Roman"/>
                <w:sz w:val="24"/>
                <w:szCs w:val="24"/>
                <w:lang w:eastAsia="fr-FR"/>
              </w:rPr>
            </w:pPr>
            <w:hyperlink r:id="rId14" w:history="1">
              <w:r>
                <w:rPr>
                  <w:rStyle w:val="Lienhypertexte"/>
                </w:rPr>
                <w:t>https://scholar.google.com/scholar?q=Analyse+par+activation+neutronique+(NAA)&amp;hl=fr&amp;as_sdt=0&amp;as_vis=1&amp;oi=scholart</w:t>
              </w:r>
            </w:hyperlink>
          </w:p>
        </w:tc>
        <w:tc>
          <w:tcPr>
            <w:tcW w:w="2359" w:type="pct"/>
          </w:tcPr>
          <w:p w:rsidR="00354740" w:rsidRPr="00354740" w:rsidRDefault="00354740" w:rsidP="00354740">
            <w:pPr>
              <w:spacing w:after="90" w:line="240" w:lineRule="auto"/>
              <w:jc w:val="both"/>
              <w:rPr>
                <w:rFonts w:ascii="Times New Roman" w:eastAsia="Times New Roman" w:hAnsi="Times New Roman" w:cs="Times New Roman"/>
                <w:sz w:val="24"/>
                <w:szCs w:val="24"/>
                <w:lang w:eastAsia="fr-FR"/>
              </w:rPr>
            </w:pPr>
          </w:p>
        </w:tc>
      </w:tr>
    </w:tbl>
    <w:p w:rsidR="00B60EC1" w:rsidRDefault="00354740">
      <w:hyperlink r:id="rId15" w:history="1">
        <w:r>
          <w:rPr>
            <w:rStyle w:val="Lienhypertexte"/>
          </w:rPr>
          <w:t>https://chem.libretexts.org/Bookshelves/Analytical_Chemistry/Book%3A_Physical_Methods_in_Chemistry_and_Nano_Science_(Barron)/01%3A_Elemental_Analysis/01.9%3A_Neutron_Activation_Analysis_(NAA)</w:t>
        </w:r>
      </w:hyperlink>
    </w:p>
    <w:p w:rsidR="00354740" w:rsidRDefault="00354740">
      <w:hyperlink r:id="rId16" w:history="1">
        <w:r>
          <w:rPr>
            <w:rStyle w:val="Lienhypertexte"/>
          </w:rPr>
          <w:t>http://iramis.cea.fr/Phocea/Vie_des_labos/Ast/ast_sstechnique.php?id_ast=864</w:t>
        </w:r>
      </w:hyperlink>
      <w:bookmarkStart w:id="0" w:name="_GoBack"/>
      <w:bookmarkEnd w:id="0"/>
    </w:p>
    <w:sectPr w:rsidR="00354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40"/>
    <w:rsid w:val="00354740"/>
    <w:rsid w:val="007D4C85"/>
    <w:rsid w:val="00B60E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9E51"/>
  <w15:chartTrackingRefBased/>
  <w15:docId w15:val="{F4B80FAF-7EED-4184-97F8-C68FC8AF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547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54740"/>
    <w:rPr>
      <w:b/>
      <w:bCs/>
    </w:rPr>
  </w:style>
  <w:style w:type="paragraph" w:customStyle="1" w:styleId="astlegende">
    <w:name w:val="ast_legende"/>
    <w:basedOn w:val="Normal"/>
    <w:rsid w:val="003547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54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42095">
      <w:bodyDiv w:val="1"/>
      <w:marLeft w:val="0"/>
      <w:marRight w:val="0"/>
      <w:marTop w:val="0"/>
      <w:marBottom w:val="0"/>
      <w:divBdr>
        <w:top w:val="none" w:sz="0" w:space="0" w:color="auto"/>
        <w:left w:val="none" w:sz="0" w:space="0" w:color="auto"/>
        <w:bottom w:val="none" w:sz="0" w:space="0" w:color="auto"/>
        <w:right w:val="none" w:sz="0" w:space="0" w:color="auto"/>
      </w:divBdr>
      <w:divsChild>
        <w:div w:id="1467503802">
          <w:marLeft w:val="0"/>
          <w:marRight w:val="450"/>
          <w:marTop w:val="0"/>
          <w:marBottom w:val="90"/>
          <w:divBdr>
            <w:top w:val="none" w:sz="0" w:space="0" w:color="auto"/>
            <w:left w:val="none" w:sz="0" w:space="0" w:color="auto"/>
            <w:bottom w:val="none" w:sz="0" w:space="0" w:color="auto"/>
            <w:right w:val="none" w:sz="0" w:space="0" w:color="auto"/>
          </w:divBdr>
        </w:div>
      </w:divsChild>
    </w:div>
    <w:div w:id="383679346">
      <w:bodyDiv w:val="1"/>
      <w:marLeft w:val="0"/>
      <w:marRight w:val="0"/>
      <w:marTop w:val="0"/>
      <w:marBottom w:val="0"/>
      <w:divBdr>
        <w:top w:val="none" w:sz="0" w:space="0" w:color="auto"/>
        <w:left w:val="none" w:sz="0" w:space="0" w:color="auto"/>
        <w:bottom w:val="none" w:sz="0" w:space="0" w:color="auto"/>
        <w:right w:val="none" w:sz="0" w:space="0" w:color="auto"/>
      </w:divBdr>
      <w:divsChild>
        <w:div w:id="1801262871">
          <w:marLeft w:val="0"/>
          <w:marRight w:val="450"/>
          <w:marTop w:val="0"/>
          <w:marBottom w:val="90"/>
          <w:divBdr>
            <w:top w:val="none" w:sz="0" w:space="0" w:color="auto"/>
            <w:left w:val="none" w:sz="0" w:space="0" w:color="auto"/>
            <w:bottom w:val="none" w:sz="0" w:space="0" w:color="auto"/>
            <w:right w:val="none" w:sz="0" w:space="0" w:color="auto"/>
          </w:divBdr>
        </w:div>
      </w:divsChild>
    </w:div>
    <w:div w:id="843741272">
      <w:bodyDiv w:val="1"/>
      <w:marLeft w:val="0"/>
      <w:marRight w:val="0"/>
      <w:marTop w:val="0"/>
      <w:marBottom w:val="0"/>
      <w:divBdr>
        <w:top w:val="none" w:sz="0" w:space="0" w:color="auto"/>
        <w:left w:val="none" w:sz="0" w:space="0" w:color="auto"/>
        <w:bottom w:val="none" w:sz="0" w:space="0" w:color="auto"/>
        <w:right w:val="none" w:sz="0" w:space="0" w:color="auto"/>
      </w:divBdr>
      <w:divsChild>
        <w:div w:id="121965955">
          <w:marLeft w:val="0"/>
          <w:marRight w:val="0"/>
          <w:marTop w:val="0"/>
          <w:marBottom w:val="90"/>
          <w:divBdr>
            <w:top w:val="none" w:sz="0" w:space="0" w:color="auto"/>
            <w:left w:val="none" w:sz="0" w:space="0" w:color="auto"/>
            <w:bottom w:val="none" w:sz="0" w:space="0" w:color="auto"/>
            <w:right w:val="none" w:sz="0" w:space="0" w:color="auto"/>
          </w:divBdr>
        </w:div>
        <w:div w:id="931544486">
          <w:marLeft w:val="0"/>
          <w:marRight w:val="0"/>
          <w:marTop w:val="0"/>
          <w:marBottom w:val="90"/>
          <w:divBdr>
            <w:top w:val="none" w:sz="0" w:space="0" w:color="auto"/>
            <w:left w:val="none" w:sz="0" w:space="0" w:color="auto"/>
            <w:bottom w:val="none" w:sz="0" w:space="0" w:color="auto"/>
            <w:right w:val="none" w:sz="0" w:space="0" w:color="auto"/>
          </w:divBdr>
          <w:divsChild>
            <w:div w:id="1477255247">
              <w:marLeft w:val="0"/>
              <w:marRight w:val="0"/>
              <w:marTop w:val="0"/>
              <w:marBottom w:val="90"/>
              <w:divBdr>
                <w:top w:val="none" w:sz="0" w:space="0" w:color="auto"/>
                <w:left w:val="none" w:sz="0" w:space="0" w:color="auto"/>
                <w:bottom w:val="none" w:sz="0" w:space="0" w:color="auto"/>
                <w:right w:val="none" w:sz="0" w:space="0" w:color="auto"/>
              </w:divBdr>
            </w:div>
            <w:div w:id="431978588">
              <w:marLeft w:val="0"/>
              <w:marRight w:val="0"/>
              <w:marTop w:val="0"/>
              <w:marBottom w:val="90"/>
              <w:divBdr>
                <w:top w:val="none" w:sz="0" w:space="0" w:color="auto"/>
                <w:left w:val="none" w:sz="0" w:space="0" w:color="auto"/>
                <w:bottom w:val="none" w:sz="0" w:space="0" w:color="auto"/>
                <w:right w:val="none" w:sz="0" w:space="0" w:color="auto"/>
              </w:divBdr>
            </w:div>
            <w:div w:id="445545042">
              <w:marLeft w:val="0"/>
              <w:marRight w:val="0"/>
              <w:marTop w:val="0"/>
              <w:marBottom w:val="90"/>
              <w:divBdr>
                <w:top w:val="none" w:sz="0" w:space="0" w:color="auto"/>
                <w:left w:val="none" w:sz="0" w:space="0" w:color="auto"/>
                <w:bottom w:val="none" w:sz="0" w:space="0" w:color="auto"/>
                <w:right w:val="none" w:sz="0" w:space="0" w:color="auto"/>
              </w:divBdr>
            </w:div>
            <w:div w:id="1500776212">
              <w:marLeft w:val="0"/>
              <w:marRight w:val="0"/>
              <w:marTop w:val="0"/>
              <w:marBottom w:val="90"/>
              <w:divBdr>
                <w:top w:val="none" w:sz="0" w:space="0" w:color="auto"/>
                <w:left w:val="none" w:sz="0" w:space="0" w:color="auto"/>
                <w:bottom w:val="none" w:sz="0" w:space="0" w:color="auto"/>
                <w:right w:val="none" w:sz="0" w:space="0" w:color="auto"/>
              </w:divBdr>
            </w:div>
            <w:div w:id="506680047">
              <w:marLeft w:val="0"/>
              <w:marRight w:val="0"/>
              <w:marTop w:val="0"/>
              <w:marBottom w:val="90"/>
              <w:divBdr>
                <w:top w:val="none" w:sz="0" w:space="0" w:color="auto"/>
                <w:left w:val="none" w:sz="0" w:space="0" w:color="auto"/>
                <w:bottom w:val="none" w:sz="0" w:space="0" w:color="auto"/>
                <w:right w:val="none" w:sz="0" w:space="0" w:color="auto"/>
              </w:divBdr>
            </w:div>
            <w:div w:id="1200321914">
              <w:marLeft w:val="0"/>
              <w:marRight w:val="0"/>
              <w:marTop w:val="0"/>
              <w:marBottom w:val="90"/>
              <w:divBdr>
                <w:top w:val="none" w:sz="0" w:space="0" w:color="auto"/>
                <w:left w:val="none" w:sz="0" w:space="0" w:color="auto"/>
                <w:bottom w:val="none" w:sz="0" w:space="0" w:color="auto"/>
                <w:right w:val="none" w:sz="0" w:space="0" w:color="auto"/>
              </w:divBdr>
            </w:div>
            <w:div w:id="1786727032">
              <w:marLeft w:val="0"/>
              <w:marRight w:val="0"/>
              <w:marTop w:val="0"/>
              <w:marBottom w:val="90"/>
              <w:divBdr>
                <w:top w:val="none" w:sz="0" w:space="0" w:color="auto"/>
                <w:left w:val="none" w:sz="0" w:space="0" w:color="auto"/>
                <w:bottom w:val="none" w:sz="0" w:space="0" w:color="auto"/>
                <w:right w:val="none" w:sz="0" w:space="0" w:color="auto"/>
              </w:divBdr>
            </w:div>
            <w:div w:id="5601590">
              <w:marLeft w:val="0"/>
              <w:marRight w:val="0"/>
              <w:marTop w:val="0"/>
              <w:marBottom w:val="90"/>
              <w:divBdr>
                <w:top w:val="none" w:sz="0" w:space="0" w:color="auto"/>
                <w:left w:val="none" w:sz="0" w:space="0" w:color="auto"/>
                <w:bottom w:val="none" w:sz="0" w:space="0" w:color="auto"/>
                <w:right w:val="none" w:sz="0" w:space="0" w:color="auto"/>
              </w:divBdr>
            </w:div>
            <w:div w:id="975523238">
              <w:marLeft w:val="0"/>
              <w:marRight w:val="0"/>
              <w:marTop w:val="0"/>
              <w:marBottom w:val="90"/>
              <w:divBdr>
                <w:top w:val="none" w:sz="0" w:space="0" w:color="auto"/>
                <w:left w:val="none" w:sz="0" w:space="0" w:color="auto"/>
                <w:bottom w:val="none" w:sz="0" w:space="0" w:color="auto"/>
                <w:right w:val="none" w:sz="0" w:space="0" w:color="auto"/>
              </w:divBdr>
            </w:div>
            <w:div w:id="1716809636">
              <w:marLeft w:val="0"/>
              <w:marRight w:val="0"/>
              <w:marTop w:val="0"/>
              <w:marBottom w:val="90"/>
              <w:divBdr>
                <w:top w:val="none" w:sz="0" w:space="0" w:color="auto"/>
                <w:left w:val="none" w:sz="0" w:space="0" w:color="auto"/>
                <w:bottom w:val="none" w:sz="0" w:space="0" w:color="auto"/>
                <w:right w:val="none" w:sz="0" w:space="0" w:color="auto"/>
              </w:divBdr>
            </w:div>
            <w:div w:id="107237841">
              <w:marLeft w:val="0"/>
              <w:marRight w:val="0"/>
              <w:marTop w:val="0"/>
              <w:marBottom w:val="90"/>
              <w:divBdr>
                <w:top w:val="none" w:sz="0" w:space="0" w:color="auto"/>
                <w:left w:val="none" w:sz="0" w:space="0" w:color="auto"/>
                <w:bottom w:val="none" w:sz="0" w:space="0" w:color="auto"/>
                <w:right w:val="none" w:sz="0" w:space="0" w:color="auto"/>
              </w:divBdr>
            </w:div>
            <w:div w:id="1792632407">
              <w:marLeft w:val="0"/>
              <w:marRight w:val="0"/>
              <w:marTop w:val="0"/>
              <w:marBottom w:val="90"/>
              <w:divBdr>
                <w:top w:val="none" w:sz="0" w:space="0" w:color="auto"/>
                <w:left w:val="none" w:sz="0" w:space="0" w:color="auto"/>
                <w:bottom w:val="none" w:sz="0" w:space="0" w:color="auto"/>
                <w:right w:val="none" w:sz="0" w:space="0" w:color="auto"/>
              </w:divBdr>
            </w:div>
            <w:div w:id="904024854">
              <w:marLeft w:val="0"/>
              <w:marRight w:val="0"/>
              <w:marTop w:val="0"/>
              <w:marBottom w:val="90"/>
              <w:divBdr>
                <w:top w:val="none" w:sz="0" w:space="0" w:color="auto"/>
                <w:left w:val="none" w:sz="0" w:space="0" w:color="auto"/>
                <w:bottom w:val="none" w:sz="0" w:space="0" w:color="auto"/>
                <w:right w:val="none" w:sz="0" w:space="0" w:color="auto"/>
              </w:divBdr>
            </w:div>
            <w:div w:id="601691610">
              <w:marLeft w:val="0"/>
              <w:marRight w:val="0"/>
              <w:marTop w:val="0"/>
              <w:marBottom w:val="90"/>
              <w:divBdr>
                <w:top w:val="none" w:sz="0" w:space="0" w:color="auto"/>
                <w:left w:val="none" w:sz="0" w:space="0" w:color="auto"/>
                <w:bottom w:val="none" w:sz="0" w:space="0" w:color="auto"/>
                <w:right w:val="none" w:sz="0" w:space="0" w:color="auto"/>
              </w:divBdr>
            </w:div>
            <w:div w:id="1741903042">
              <w:marLeft w:val="0"/>
              <w:marRight w:val="0"/>
              <w:marTop w:val="0"/>
              <w:marBottom w:val="90"/>
              <w:divBdr>
                <w:top w:val="none" w:sz="0" w:space="0" w:color="auto"/>
                <w:left w:val="none" w:sz="0" w:space="0" w:color="auto"/>
                <w:bottom w:val="none" w:sz="0" w:space="0" w:color="auto"/>
                <w:right w:val="none" w:sz="0" w:space="0" w:color="auto"/>
              </w:divBdr>
            </w:div>
            <w:div w:id="994066979">
              <w:marLeft w:val="0"/>
              <w:marRight w:val="0"/>
              <w:marTop w:val="0"/>
              <w:marBottom w:val="90"/>
              <w:divBdr>
                <w:top w:val="none" w:sz="0" w:space="0" w:color="auto"/>
                <w:left w:val="none" w:sz="0" w:space="0" w:color="auto"/>
                <w:bottom w:val="none" w:sz="0" w:space="0" w:color="auto"/>
                <w:right w:val="none" w:sz="0" w:space="0" w:color="auto"/>
              </w:divBdr>
            </w:div>
            <w:div w:id="1491021722">
              <w:marLeft w:val="0"/>
              <w:marRight w:val="0"/>
              <w:marTop w:val="0"/>
              <w:marBottom w:val="90"/>
              <w:divBdr>
                <w:top w:val="none" w:sz="0" w:space="0" w:color="auto"/>
                <w:left w:val="none" w:sz="0" w:space="0" w:color="auto"/>
                <w:bottom w:val="none" w:sz="0" w:space="0" w:color="auto"/>
                <w:right w:val="none" w:sz="0" w:space="0" w:color="auto"/>
              </w:divBdr>
            </w:div>
            <w:div w:id="127332444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153570227">
      <w:bodyDiv w:val="1"/>
      <w:marLeft w:val="0"/>
      <w:marRight w:val="0"/>
      <w:marTop w:val="0"/>
      <w:marBottom w:val="0"/>
      <w:divBdr>
        <w:top w:val="none" w:sz="0" w:space="0" w:color="auto"/>
        <w:left w:val="none" w:sz="0" w:space="0" w:color="auto"/>
        <w:bottom w:val="none" w:sz="0" w:space="0" w:color="auto"/>
        <w:right w:val="none" w:sz="0" w:space="0" w:color="auto"/>
      </w:divBdr>
      <w:divsChild>
        <w:div w:id="1352340830">
          <w:marLeft w:val="0"/>
          <w:marRight w:val="0"/>
          <w:marTop w:val="0"/>
          <w:marBottom w:val="90"/>
          <w:divBdr>
            <w:top w:val="none" w:sz="0" w:space="0" w:color="auto"/>
            <w:left w:val="none" w:sz="0" w:space="0" w:color="auto"/>
            <w:bottom w:val="none" w:sz="0" w:space="0" w:color="auto"/>
            <w:right w:val="none" w:sz="0" w:space="0" w:color="auto"/>
          </w:divBdr>
        </w:div>
      </w:divsChild>
    </w:div>
    <w:div w:id="1399984316">
      <w:bodyDiv w:val="1"/>
      <w:marLeft w:val="0"/>
      <w:marRight w:val="0"/>
      <w:marTop w:val="0"/>
      <w:marBottom w:val="0"/>
      <w:divBdr>
        <w:top w:val="none" w:sz="0" w:space="0" w:color="auto"/>
        <w:left w:val="none" w:sz="0" w:space="0" w:color="auto"/>
        <w:bottom w:val="none" w:sz="0" w:space="0" w:color="auto"/>
        <w:right w:val="none" w:sz="0" w:space="0" w:color="auto"/>
      </w:divBdr>
    </w:div>
    <w:div w:id="1980959283">
      <w:bodyDiv w:val="1"/>
      <w:marLeft w:val="0"/>
      <w:marRight w:val="0"/>
      <w:marTop w:val="0"/>
      <w:marBottom w:val="0"/>
      <w:divBdr>
        <w:top w:val="none" w:sz="0" w:space="0" w:color="auto"/>
        <w:left w:val="none" w:sz="0" w:space="0" w:color="auto"/>
        <w:bottom w:val="none" w:sz="0" w:space="0" w:color="auto"/>
        <w:right w:val="none" w:sz="0" w:space="0" w:color="auto"/>
      </w:divBdr>
      <w:divsChild>
        <w:div w:id="640037740">
          <w:marLeft w:val="0"/>
          <w:marRight w:val="0"/>
          <w:marTop w:val="0"/>
          <w:marBottom w:val="0"/>
          <w:divBdr>
            <w:top w:val="single" w:sz="2" w:space="2" w:color="FBF0BB"/>
            <w:left w:val="single" w:sz="2" w:space="2" w:color="FBF0BB"/>
            <w:bottom w:val="single" w:sz="2" w:space="2" w:color="FBF0BB"/>
            <w:right w:val="single" w:sz="2" w:space="2" w:color="FBF0BB"/>
          </w:divBdr>
          <w:divsChild>
            <w:div w:id="455180131">
              <w:marLeft w:val="0"/>
              <w:marRight w:val="0"/>
              <w:marTop w:val="0"/>
              <w:marBottom w:val="90"/>
              <w:divBdr>
                <w:top w:val="none" w:sz="0" w:space="0" w:color="auto"/>
                <w:left w:val="none" w:sz="0" w:space="0" w:color="auto"/>
                <w:bottom w:val="none" w:sz="0" w:space="0" w:color="auto"/>
                <w:right w:val="none" w:sz="0" w:space="0" w:color="auto"/>
              </w:divBdr>
              <w:divsChild>
                <w:div w:id="5520087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070075888">
          <w:marLeft w:val="0"/>
          <w:marRight w:val="0"/>
          <w:marTop w:val="0"/>
          <w:marBottom w:val="0"/>
          <w:divBdr>
            <w:top w:val="single" w:sz="2" w:space="2" w:color="FBF0BB"/>
            <w:left w:val="single" w:sz="2" w:space="2" w:color="FBF0BB"/>
            <w:bottom w:val="single" w:sz="2" w:space="2" w:color="FBF0BB"/>
            <w:right w:val="single" w:sz="2" w:space="2" w:color="FBF0BB"/>
          </w:divBdr>
        </w:div>
      </w:divsChild>
    </w:div>
    <w:div w:id="2057653215">
      <w:bodyDiv w:val="1"/>
      <w:marLeft w:val="0"/>
      <w:marRight w:val="0"/>
      <w:marTop w:val="0"/>
      <w:marBottom w:val="0"/>
      <w:divBdr>
        <w:top w:val="none" w:sz="0" w:space="0" w:color="auto"/>
        <w:left w:val="none" w:sz="0" w:space="0" w:color="auto"/>
        <w:bottom w:val="none" w:sz="0" w:space="0" w:color="auto"/>
        <w:right w:val="none" w:sz="0" w:space="0" w:color="auto"/>
      </w:divBdr>
      <w:divsChild>
        <w:div w:id="259872284">
          <w:marLeft w:val="450"/>
          <w:marRight w:val="0"/>
          <w:marTop w:val="0"/>
          <w:marBottom w:val="150"/>
          <w:divBdr>
            <w:top w:val="none" w:sz="0" w:space="0" w:color="auto"/>
            <w:left w:val="none" w:sz="0" w:space="0" w:color="auto"/>
            <w:bottom w:val="none" w:sz="0" w:space="0" w:color="auto"/>
            <w:right w:val="none" w:sz="0" w:space="0" w:color="auto"/>
          </w:divBdr>
        </w:div>
        <w:div w:id="469636501">
          <w:marLeft w:val="0"/>
          <w:marRight w:val="0"/>
          <w:marTop w:val="0"/>
          <w:marBottom w:val="0"/>
          <w:divBdr>
            <w:top w:val="single" w:sz="2" w:space="2" w:color="FBF0BB"/>
            <w:left w:val="single" w:sz="2" w:space="2" w:color="FBF0BB"/>
            <w:bottom w:val="single" w:sz="2" w:space="2" w:color="FBF0BB"/>
            <w:right w:val="single" w:sz="2" w:space="2" w:color="FBF0B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ramis.cea.fr/Images/astImg/864_4.jpg" TargetMode="External"/><Relationship Id="rId13" Type="http://schemas.openxmlformats.org/officeDocument/2006/relationships/hyperlink" Target="https://inis.iaea.org/search/search.aspx?orig_q=RN:11496224"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link.springer.com/chapter/10.1007/978-3-319-33163-8_1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iramis.cea.fr/Phocea/Vie_des_labos/Ast/ast_sstechnique.php?id_ast=864" TargetMode="External"/><Relationship Id="rId1" Type="http://schemas.openxmlformats.org/officeDocument/2006/relationships/styles" Target="styles.xml"/><Relationship Id="rId6" Type="http://schemas.openxmlformats.org/officeDocument/2006/relationships/hyperlink" Target="http://iramis.cea.fr/Images/astImg/864_3.jpg" TargetMode="External"/><Relationship Id="rId11" Type="http://schemas.openxmlformats.org/officeDocument/2006/relationships/hyperlink" Target="https://www.researchgate.net/figure/Schematic-representation-of-Neutron-Activation-Analysis-steps-and-illustration-of-the_fig1_272388331" TargetMode="External"/><Relationship Id="rId5" Type="http://schemas.openxmlformats.org/officeDocument/2006/relationships/image" Target="media/image1.jpeg"/><Relationship Id="rId15" Type="http://schemas.openxmlformats.org/officeDocument/2006/relationships/hyperlink" Target="https://chem.libretexts.org/Bookshelves/Analytical_Chemistry/Book%3A_Physical_Methods_in_Chemistry_and_Nano_Science_(Barron)/01%3A_Elemental_Analysis/01.9%3A_Neutron_Activation_Analysis_(NAA)" TargetMode="External"/><Relationship Id="rId10" Type="http://schemas.openxmlformats.org/officeDocument/2006/relationships/hyperlink" Target="https://www.researchgate.net/publication/312334618_Neutron_Activation_Analysis_NAA" TargetMode="External"/><Relationship Id="rId4" Type="http://schemas.openxmlformats.org/officeDocument/2006/relationships/hyperlink" Target="http://iramis.cea.fr/Images/astImg/864_1.jpg" TargetMode="External"/><Relationship Id="rId9" Type="http://schemas.openxmlformats.org/officeDocument/2006/relationships/image" Target="media/image3.jpeg"/><Relationship Id="rId14" Type="http://schemas.openxmlformats.org/officeDocument/2006/relationships/hyperlink" Target="https://scholar.google.com/scholar?q=Analyse+par+activation+neutronique+(NAA)&amp;hl=fr&amp;as_sdt=0&amp;as_vis=1&amp;oi=schola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1146</Words>
  <Characters>6306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bachiribadi3a@gmail.com</dc:creator>
  <cp:keywords/>
  <dc:description/>
  <cp:lastModifiedBy>bachiribadi3a@gmail.com</cp:lastModifiedBy>
  <cp:revision>1</cp:revision>
  <dcterms:created xsi:type="dcterms:W3CDTF">2019-05-18T11:52:00Z</dcterms:created>
  <dcterms:modified xsi:type="dcterms:W3CDTF">2019-05-18T12:02:00Z</dcterms:modified>
</cp:coreProperties>
</file>