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01D269" w14:textId="77777777" w:rsidR="005A2B53" w:rsidRDefault="005A2B53" w:rsidP="005A2B53">
      <w:pPr>
        <w:spacing w:beforeLines="100" w:before="312" w:afterLines="100" w:after="312" w:line="360" w:lineRule="auto"/>
        <w:rPr>
          <w:rFonts w:eastAsia="微软雅黑"/>
          <w:b/>
          <w:bCs/>
          <w:spacing w:val="15"/>
          <w:sz w:val="32"/>
        </w:rPr>
      </w:pPr>
      <w:bookmarkStart w:id="0" w:name="_Hlk189842286"/>
      <w:commentRangeStart w:id="0"/>
      <w:r w:rsidRPr="00F21336">
        <w:rPr>
          <w:rFonts w:eastAsia="微软雅黑"/>
          <w:b/>
          <w:bCs/>
          <w:spacing w:val="15"/>
          <w:sz w:val="32"/>
        </w:rPr>
        <w:t>Calculating</w:t>
      </w:r>
      <w:r>
        <w:rPr>
          <w:rFonts w:eastAsia="微软雅黑" w:hint="eastAsia"/>
          <w:b/>
          <w:bCs/>
          <w:spacing w:val="15"/>
          <w:sz w:val="32"/>
        </w:rPr>
        <w:t xml:space="preserve"> </w:t>
      </w:r>
      <w:r w:rsidRPr="00F21336">
        <w:rPr>
          <w:rFonts w:eastAsia="微软雅黑"/>
          <w:b/>
          <w:bCs/>
          <w:spacing w:val="15"/>
          <w:sz w:val="32"/>
        </w:rPr>
        <w:t>Sound</w:t>
      </w:r>
      <w:r>
        <w:rPr>
          <w:rFonts w:eastAsia="微软雅黑" w:hint="eastAsia"/>
          <w:b/>
          <w:bCs/>
          <w:spacing w:val="15"/>
          <w:sz w:val="32"/>
        </w:rPr>
        <w:t xml:space="preserve"> </w:t>
      </w:r>
      <w:r w:rsidRPr="00F21336">
        <w:rPr>
          <w:rFonts w:eastAsia="微软雅黑"/>
          <w:b/>
          <w:bCs/>
          <w:spacing w:val="15"/>
          <w:sz w:val="32"/>
        </w:rPr>
        <w:t xml:space="preserve">Absorption Coefficients of </w:t>
      </w:r>
      <w:bookmarkStart w:id="1" w:name="_Hlk189852337"/>
      <w:r w:rsidRPr="00F21336">
        <w:rPr>
          <w:rFonts w:eastAsia="微软雅黑"/>
          <w:b/>
          <w:bCs/>
          <w:spacing w:val="15"/>
          <w:sz w:val="32"/>
        </w:rPr>
        <w:t>Sound-Absorbing Materials</w:t>
      </w:r>
      <w:bookmarkEnd w:id="1"/>
      <w:r w:rsidRPr="00F21336">
        <w:rPr>
          <w:rFonts w:eastAsia="微软雅黑"/>
          <w:b/>
          <w:bCs/>
          <w:spacing w:val="15"/>
          <w:sz w:val="32"/>
        </w:rPr>
        <w:t xml:space="preserve"> Using Flow Resistivity</w:t>
      </w:r>
      <w:commentRangeEnd w:id="0"/>
      <w:r>
        <w:rPr>
          <w:rStyle w:val="CommentReference"/>
        </w:rPr>
        <w:commentReference w:id="0"/>
      </w:r>
    </w:p>
    <w:p w14:paraId="3829AA23" w14:textId="7FF6FF03" w:rsidR="005A2B53" w:rsidRPr="005A2B53" w:rsidRDefault="005A2B53" w:rsidP="005A2B53">
      <w:pPr>
        <w:spacing w:beforeLines="100" w:before="312" w:afterLines="100" w:after="312" w:line="360" w:lineRule="auto"/>
        <w:rPr>
          <w:rFonts w:eastAsia="微软雅黑"/>
          <w:b/>
          <w:bCs/>
          <w:spacing w:val="15"/>
          <w:sz w:val="32"/>
        </w:rPr>
      </w:pPr>
      <w:commentRangeStart w:id="1"/>
      <w:r w:rsidRPr="00BD3302">
        <w:rPr>
          <w:sz w:val="24"/>
        </w:rPr>
        <w:t>School of Intelligent Mechatronics Engineering (School of Industrial Design),</w:t>
      </w:r>
      <w:r w:rsidRPr="005A2B53">
        <w:rPr>
          <w:sz w:val="24"/>
        </w:rPr>
        <w:t xml:space="preserve"> </w:t>
      </w:r>
      <w:r w:rsidRPr="00BD3302">
        <w:rPr>
          <w:sz w:val="24"/>
        </w:rPr>
        <w:t>Zhongyuan University of Technology, Zhengzhou 450007,</w:t>
      </w:r>
      <w:r>
        <w:rPr>
          <w:rFonts w:hint="eastAsia"/>
          <w:sz w:val="24"/>
        </w:rPr>
        <w:t xml:space="preserve"> China</w:t>
      </w:r>
      <w:commentRangeEnd w:id="1"/>
      <w:r>
        <w:rPr>
          <w:rStyle w:val="CommentReference"/>
        </w:rPr>
        <w:commentReference w:id="1"/>
      </w:r>
    </w:p>
    <w:bookmarkEnd w:id="0"/>
    <w:p w14:paraId="0708E6CC" w14:textId="77777777" w:rsidR="006B04DE" w:rsidRPr="005A2B53" w:rsidRDefault="006B04DE" w:rsidP="006B04DE">
      <w:pPr>
        <w:rPr>
          <w:b/>
          <w:bCs/>
          <w:color w:val="000000" w:themeColor="text1"/>
          <w:szCs w:val="21"/>
        </w:rPr>
      </w:pPr>
    </w:p>
    <w:p w14:paraId="7B8AE710" w14:textId="24A76C7B" w:rsidR="006B04DE" w:rsidRPr="000C204B" w:rsidRDefault="006B04DE" w:rsidP="006B04DE">
      <w:pPr>
        <w:rPr>
          <w:b/>
          <w:bCs/>
          <w:color w:val="000000" w:themeColor="text1"/>
          <w:szCs w:val="21"/>
        </w:rPr>
      </w:pPr>
      <w:commentRangeStart w:id="2"/>
      <w:r w:rsidRPr="000C204B">
        <w:rPr>
          <w:b/>
          <w:bCs/>
          <w:color w:val="000000" w:themeColor="text1"/>
          <w:szCs w:val="21"/>
        </w:rPr>
        <w:t>Abstract:</w:t>
      </w:r>
      <w:r w:rsidRPr="000C204B">
        <w:rPr>
          <w:b/>
          <w:bCs/>
          <w:color w:val="000000" w:themeColor="text1"/>
        </w:rPr>
        <w:t xml:space="preserve"> </w:t>
      </w:r>
      <w:bookmarkStart w:id="2" w:name="OLE_LINK152"/>
      <w:bookmarkStart w:id="3" w:name="OLE_LINK153"/>
      <w:r w:rsidRPr="000C204B">
        <w:rPr>
          <w:b/>
          <w:bCs/>
          <w:color w:val="000000" w:themeColor="text1"/>
          <w:szCs w:val="21"/>
        </w:rPr>
        <w:t xml:space="preserve">MXene </w:t>
      </w:r>
      <w:bookmarkEnd w:id="2"/>
      <w:bookmarkEnd w:id="3"/>
      <w:r w:rsidRPr="000C204B">
        <w:rPr>
          <w:b/>
          <w:bCs/>
          <w:color w:val="000000" w:themeColor="text1"/>
          <w:szCs w:val="21"/>
        </w:rPr>
        <w:t>is an emerging class of two-dimensional (2D) layered transition metal carbides or nitrides. Due to the highly tunable components and surface functional groups, they hold great potential in electrocatalytic hydrogen evolution reaction (HER). However, MXene nanosheets suffer from a strong tendency to restack and a lack of active edge sites. In this work, the porous Ti</w:t>
      </w:r>
      <w:r w:rsidRPr="000C204B">
        <w:rPr>
          <w:b/>
          <w:bCs/>
          <w:color w:val="000000" w:themeColor="text1"/>
          <w:szCs w:val="21"/>
          <w:vertAlign w:val="subscript"/>
        </w:rPr>
        <w:t>3</w:t>
      </w:r>
      <w:r w:rsidRPr="000C204B">
        <w:rPr>
          <w:b/>
          <w:bCs/>
          <w:color w:val="000000" w:themeColor="text1"/>
          <w:szCs w:val="21"/>
        </w:rPr>
        <w:t>C</w:t>
      </w:r>
      <w:r w:rsidRPr="000C204B">
        <w:rPr>
          <w:b/>
          <w:bCs/>
          <w:color w:val="000000" w:themeColor="text1"/>
          <w:szCs w:val="21"/>
          <w:vertAlign w:val="subscript"/>
        </w:rPr>
        <w:t>2</w:t>
      </w:r>
      <w:r w:rsidRPr="000C204B">
        <w:rPr>
          <w:b/>
          <w:bCs/>
          <w:color w:val="000000" w:themeColor="text1"/>
          <w:szCs w:val="21"/>
        </w:rPr>
        <w:t>T</w:t>
      </w:r>
      <w:r w:rsidRPr="000C204B">
        <w:rPr>
          <w:b/>
          <w:bCs/>
          <w:i/>
          <w:color w:val="000000" w:themeColor="text1"/>
          <w:szCs w:val="21"/>
          <w:vertAlign w:val="subscript"/>
        </w:rPr>
        <w:t>x</w:t>
      </w:r>
      <w:r w:rsidRPr="000C204B">
        <w:rPr>
          <w:b/>
          <w:bCs/>
          <w:color w:val="000000" w:themeColor="text1"/>
          <w:szCs w:val="21"/>
        </w:rPr>
        <w:t xml:space="preserve"> was synthesized by</w:t>
      </w:r>
      <w:r w:rsidRPr="000C204B">
        <w:rPr>
          <w:rFonts w:hint="eastAsia"/>
          <w:b/>
          <w:bCs/>
          <w:color w:val="000000" w:themeColor="text1"/>
          <w:szCs w:val="21"/>
        </w:rPr>
        <w:t xml:space="preserve"> </w:t>
      </w:r>
      <w:r w:rsidRPr="000C204B">
        <w:rPr>
          <w:b/>
          <w:bCs/>
          <w:color w:val="000000" w:themeColor="text1"/>
          <w:szCs w:val="21"/>
        </w:rPr>
        <w:t>an oxidation and etching two-step strategy and then characterized by a series of spectroscopic techniques.</w:t>
      </w:r>
      <w:r w:rsidRPr="000C204B">
        <w:rPr>
          <w:b/>
          <w:bCs/>
          <w:color w:val="000000" w:themeColor="text1"/>
        </w:rPr>
        <w:t xml:space="preserve"> The obtained porous Ti</w:t>
      </w:r>
      <w:r w:rsidRPr="000C204B">
        <w:rPr>
          <w:b/>
          <w:bCs/>
          <w:color w:val="000000" w:themeColor="text1"/>
          <w:vertAlign w:val="subscript"/>
        </w:rPr>
        <w:t>3</w:t>
      </w:r>
      <w:r w:rsidRPr="000C204B">
        <w:rPr>
          <w:b/>
          <w:bCs/>
          <w:color w:val="000000" w:themeColor="text1"/>
        </w:rPr>
        <w:t>C</w:t>
      </w:r>
      <w:r w:rsidRPr="000C204B">
        <w:rPr>
          <w:b/>
          <w:bCs/>
          <w:color w:val="000000" w:themeColor="text1"/>
          <w:vertAlign w:val="subscript"/>
        </w:rPr>
        <w:t>2</w:t>
      </w:r>
      <w:r w:rsidRPr="000C204B">
        <w:rPr>
          <w:b/>
          <w:bCs/>
          <w:color w:val="000000" w:themeColor="text1"/>
        </w:rPr>
        <w:t>T</w:t>
      </w:r>
      <w:r w:rsidRPr="000C204B">
        <w:rPr>
          <w:b/>
          <w:bCs/>
          <w:i/>
          <w:color w:val="000000" w:themeColor="text1"/>
          <w:vertAlign w:val="subscript"/>
        </w:rPr>
        <w:t>x</w:t>
      </w:r>
      <w:r w:rsidRPr="000C204B">
        <w:rPr>
          <w:b/>
          <w:bCs/>
          <w:color w:val="000000" w:themeColor="text1"/>
        </w:rPr>
        <w:t xml:space="preserve"> possesses a large number of in-plane pores and shows a high specific surface area (111.4 m</w:t>
      </w:r>
      <w:r w:rsidRPr="000C204B">
        <w:rPr>
          <w:b/>
          <w:bCs/>
          <w:color w:val="000000" w:themeColor="text1"/>
          <w:vertAlign w:val="superscript"/>
        </w:rPr>
        <w:t>2</w:t>
      </w:r>
      <w:r w:rsidRPr="000C204B">
        <w:rPr>
          <w:b/>
          <w:bCs/>
          <w:color w:val="000000" w:themeColor="text1"/>
        </w:rPr>
        <w:t>/g).</w:t>
      </w:r>
      <w:r w:rsidRPr="000C204B">
        <w:rPr>
          <w:b/>
          <w:bCs/>
          <w:color w:val="000000" w:themeColor="text1"/>
          <w:szCs w:val="21"/>
        </w:rPr>
        <w:t xml:space="preserve"> This not onl</w:t>
      </w:r>
      <w:r w:rsidR="00283279">
        <w:rPr>
          <w:rStyle w:val="af4"/>
          <w:b/>
          <w:bCs/>
          <w:color w:val="000000" w:themeColor="text1"/>
          <w:szCs w:val="21"/>
        </w:rPr>
        <w:footnoteReference w:id="1"/>
      </w:r>
      <w:r w:rsidRPr="000C204B">
        <w:rPr>
          <w:b/>
          <w:bCs/>
          <w:color w:val="000000" w:themeColor="text1"/>
          <w:szCs w:val="21"/>
        </w:rPr>
        <w:t>y creates abundant active edge sites but also</w:t>
      </w:r>
      <w:r w:rsidRPr="000C204B">
        <w:rPr>
          <w:color w:val="000000" w:themeColor="text1"/>
        </w:rPr>
        <w:t xml:space="preserve"> </w:t>
      </w:r>
      <w:r w:rsidRPr="000C204B">
        <w:rPr>
          <w:b/>
          <w:bCs/>
          <w:color w:val="000000" w:themeColor="text1"/>
          <w:szCs w:val="21"/>
        </w:rPr>
        <w:t xml:space="preserve">enhances the mass transfer </w:t>
      </w:r>
      <w:r w:rsidRPr="000C204B">
        <w:rPr>
          <w:rFonts w:hint="eastAsia"/>
          <w:b/>
          <w:bCs/>
          <w:color w:val="000000" w:themeColor="text1"/>
          <w:szCs w:val="21"/>
        </w:rPr>
        <w:t>and</w:t>
      </w:r>
      <w:r w:rsidRPr="000C204B">
        <w:rPr>
          <w:b/>
          <w:bCs/>
          <w:color w:val="000000" w:themeColor="text1"/>
          <w:szCs w:val="21"/>
        </w:rPr>
        <w:t xml:space="preserve"> increases the accessibility of the active sites. </w:t>
      </w:r>
      <w:r w:rsidRPr="00207CE0">
        <w:rPr>
          <w:b/>
          <w:bCs/>
          <w:color w:val="000000" w:themeColor="text1"/>
          <w:szCs w:val="21"/>
        </w:rPr>
        <w:t>Compared with Ti</w:t>
      </w:r>
      <w:r w:rsidRPr="00207CE0">
        <w:rPr>
          <w:b/>
          <w:bCs/>
          <w:color w:val="000000" w:themeColor="text1"/>
          <w:szCs w:val="21"/>
          <w:vertAlign w:val="subscript"/>
        </w:rPr>
        <w:t>3</w:t>
      </w:r>
      <w:r w:rsidRPr="00207CE0">
        <w:rPr>
          <w:b/>
          <w:bCs/>
          <w:color w:val="000000" w:themeColor="text1"/>
          <w:szCs w:val="21"/>
        </w:rPr>
        <w:t>C</w:t>
      </w:r>
      <w:r w:rsidRPr="00207CE0">
        <w:rPr>
          <w:b/>
          <w:bCs/>
          <w:color w:val="000000" w:themeColor="text1"/>
          <w:szCs w:val="21"/>
          <w:vertAlign w:val="subscript"/>
        </w:rPr>
        <w:t>2</w:t>
      </w:r>
      <w:r w:rsidRPr="00207CE0">
        <w:rPr>
          <w:b/>
          <w:bCs/>
          <w:color w:val="000000" w:themeColor="text1"/>
          <w:szCs w:val="21"/>
        </w:rPr>
        <w:t>T</w:t>
      </w:r>
      <w:r w:rsidRPr="00F517C3">
        <w:rPr>
          <w:b/>
          <w:bCs/>
          <w:i/>
          <w:color w:val="000000" w:themeColor="text1"/>
          <w:szCs w:val="21"/>
          <w:vertAlign w:val="subscript"/>
        </w:rPr>
        <w:t>x</w:t>
      </w:r>
      <w:r w:rsidRPr="00207CE0">
        <w:rPr>
          <w:b/>
          <w:bCs/>
          <w:color w:val="000000" w:themeColor="text1"/>
          <w:szCs w:val="21"/>
        </w:rPr>
        <w:t xml:space="preserve">, </w:t>
      </w:r>
      <w:r w:rsidRPr="00EB716B">
        <w:rPr>
          <w:b/>
          <w:bCs/>
          <w:color w:val="000000" w:themeColor="text1"/>
          <w:szCs w:val="21"/>
        </w:rPr>
        <w:t>in a 0.5 mol/L H</w:t>
      </w:r>
      <w:r w:rsidRPr="00EB716B">
        <w:rPr>
          <w:b/>
          <w:bCs/>
          <w:color w:val="000000" w:themeColor="text1"/>
          <w:szCs w:val="21"/>
          <w:vertAlign w:val="subscript"/>
        </w:rPr>
        <w:t>2</w:t>
      </w:r>
      <w:r w:rsidRPr="00EB716B">
        <w:rPr>
          <w:b/>
          <w:bCs/>
          <w:color w:val="000000" w:themeColor="text1"/>
          <w:szCs w:val="21"/>
        </w:rPr>
        <w:t>SO</w:t>
      </w:r>
      <w:r w:rsidRPr="00EB716B">
        <w:rPr>
          <w:b/>
          <w:bCs/>
          <w:color w:val="000000" w:themeColor="text1"/>
          <w:szCs w:val="21"/>
          <w:vertAlign w:val="subscript"/>
        </w:rPr>
        <w:t>4</w:t>
      </w:r>
      <w:r w:rsidRPr="00EB716B">
        <w:rPr>
          <w:b/>
          <w:bCs/>
          <w:color w:val="000000" w:themeColor="text1"/>
          <w:szCs w:val="21"/>
        </w:rPr>
        <w:t xml:space="preserve"> electrolyte</w:t>
      </w:r>
      <w:r>
        <w:rPr>
          <w:rFonts w:hint="eastAsia"/>
          <w:b/>
          <w:bCs/>
          <w:color w:val="000000" w:themeColor="text1"/>
          <w:szCs w:val="21"/>
        </w:rPr>
        <w:t>,</w:t>
      </w:r>
      <w:r>
        <w:rPr>
          <w:b/>
          <w:bCs/>
          <w:color w:val="000000" w:themeColor="text1"/>
          <w:szCs w:val="21"/>
        </w:rPr>
        <w:t xml:space="preserve"> </w:t>
      </w:r>
      <w:r w:rsidRPr="00207CE0">
        <w:rPr>
          <w:b/>
          <w:bCs/>
          <w:color w:val="000000" w:themeColor="text1"/>
          <w:szCs w:val="21"/>
        </w:rPr>
        <w:t>the porous Ti</w:t>
      </w:r>
      <w:r w:rsidRPr="00207CE0">
        <w:rPr>
          <w:b/>
          <w:bCs/>
          <w:color w:val="000000" w:themeColor="text1"/>
          <w:szCs w:val="21"/>
          <w:vertAlign w:val="subscript"/>
        </w:rPr>
        <w:t>3</w:t>
      </w:r>
      <w:r w:rsidRPr="00207CE0">
        <w:rPr>
          <w:b/>
          <w:bCs/>
          <w:color w:val="000000" w:themeColor="text1"/>
          <w:szCs w:val="21"/>
        </w:rPr>
        <w:t>C</w:t>
      </w:r>
      <w:r w:rsidRPr="00207CE0">
        <w:rPr>
          <w:b/>
          <w:bCs/>
          <w:color w:val="000000" w:themeColor="text1"/>
          <w:szCs w:val="21"/>
          <w:vertAlign w:val="subscript"/>
        </w:rPr>
        <w:t>2</w:t>
      </w:r>
      <w:r w:rsidRPr="00207CE0">
        <w:rPr>
          <w:b/>
          <w:bCs/>
          <w:color w:val="000000" w:themeColor="text1"/>
          <w:szCs w:val="21"/>
        </w:rPr>
        <w:t>T</w:t>
      </w:r>
      <w:r w:rsidRPr="00F517C3">
        <w:rPr>
          <w:b/>
          <w:bCs/>
          <w:i/>
          <w:color w:val="000000" w:themeColor="text1"/>
          <w:szCs w:val="21"/>
          <w:vertAlign w:val="subscript"/>
        </w:rPr>
        <w:t>x</w:t>
      </w:r>
      <w:r w:rsidRPr="00207CE0">
        <w:rPr>
          <w:b/>
          <w:bCs/>
          <w:color w:val="000000" w:themeColor="text1"/>
          <w:szCs w:val="21"/>
          <w:vertAlign w:val="subscript"/>
        </w:rPr>
        <w:t xml:space="preserve"> </w:t>
      </w:r>
      <w:r w:rsidRPr="00207CE0">
        <w:rPr>
          <w:b/>
          <w:bCs/>
          <w:color w:val="000000" w:themeColor="text1"/>
          <w:szCs w:val="21"/>
        </w:rPr>
        <w:t>shows a 1</w:t>
      </w:r>
      <w:r w:rsidRPr="00207CE0">
        <w:rPr>
          <w:rFonts w:hint="eastAsia"/>
          <w:b/>
          <w:bCs/>
          <w:color w:val="000000" w:themeColor="text1"/>
          <w:szCs w:val="21"/>
        </w:rPr>
        <w:t>.7</w:t>
      </w:r>
      <w:r w:rsidRPr="00207CE0">
        <w:rPr>
          <w:b/>
          <w:bCs/>
          <w:color w:val="000000" w:themeColor="text1"/>
          <w:szCs w:val="21"/>
        </w:rPr>
        <w:t xml:space="preserve"> time</w:t>
      </w:r>
      <w:r w:rsidRPr="00207CE0">
        <w:rPr>
          <w:rFonts w:hint="eastAsia"/>
          <w:b/>
          <w:bCs/>
          <w:color w:val="000000" w:themeColor="text1"/>
          <w:szCs w:val="21"/>
        </w:rPr>
        <w:t>s</w:t>
      </w:r>
      <w:r w:rsidRPr="00207CE0">
        <w:rPr>
          <w:b/>
          <w:bCs/>
          <w:color w:val="000000" w:themeColor="text1"/>
          <w:szCs w:val="21"/>
        </w:rPr>
        <w:t xml:space="preserve"> </w:t>
      </w:r>
      <w:r>
        <w:rPr>
          <w:rFonts w:hint="eastAsia"/>
          <w:b/>
          <w:bCs/>
          <w:color w:val="000000" w:themeColor="text1"/>
          <w:szCs w:val="21"/>
        </w:rPr>
        <w:t>high</w:t>
      </w:r>
      <w:r w:rsidRPr="00207CE0">
        <w:rPr>
          <w:b/>
          <w:bCs/>
          <w:color w:val="000000" w:themeColor="text1"/>
          <w:szCs w:val="21"/>
        </w:rPr>
        <w:t>er</w:t>
      </w:r>
      <w:bookmarkStart w:id="4" w:name="OLE_LINK90"/>
      <w:bookmarkStart w:id="5" w:name="OLE_LINK91"/>
      <w:r>
        <w:rPr>
          <w:b/>
          <w:bCs/>
          <w:color w:val="000000" w:themeColor="text1"/>
          <w:szCs w:val="21"/>
        </w:rPr>
        <w:t xml:space="preserve"> </w:t>
      </w:r>
      <w:r w:rsidRPr="00207CE0">
        <w:rPr>
          <w:b/>
          <w:bCs/>
          <w:color w:val="000000" w:themeColor="text1"/>
          <w:szCs w:val="21"/>
        </w:rPr>
        <w:t>electrochemical surface area</w:t>
      </w:r>
      <w:bookmarkEnd w:id="4"/>
      <w:bookmarkEnd w:id="5"/>
      <w:r>
        <w:rPr>
          <w:b/>
          <w:bCs/>
          <w:color w:val="000000" w:themeColor="text1"/>
          <w:szCs w:val="21"/>
        </w:rPr>
        <w:t xml:space="preserve"> </w:t>
      </w:r>
      <w:r w:rsidRPr="00207CE0">
        <w:rPr>
          <w:b/>
          <w:bCs/>
          <w:color w:val="000000" w:themeColor="text1"/>
          <w:szCs w:val="21"/>
        </w:rPr>
        <w:t>(440 mF</w:t>
      </w:r>
      <w:r>
        <w:rPr>
          <w:b/>
          <w:bCs/>
          <w:color w:val="000000" w:themeColor="text1"/>
          <w:szCs w:val="21"/>
        </w:rPr>
        <w:t>/</w:t>
      </w:r>
      <w:r w:rsidRPr="00207CE0">
        <w:rPr>
          <w:b/>
          <w:bCs/>
          <w:color w:val="000000" w:themeColor="text1"/>
          <w:szCs w:val="21"/>
        </w:rPr>
        <w:t>cm</w:t>
      </w:r>
      <w:r w:rsidRPr="00207CE0">
        <w:rPr>
          <w:b/>
          <w:bCs/>
          <w:color w:val="000000" w:themeColor="text1"/>
          <w:szCs w:val="21"/>
          <w:vertAlign w:val="superscript"/>
        </w:rPr>
        <w:t>2</w:t>
      </w:r>
      <w:r w:rsidRPr="00207CE0">
        <w:rPr>
          <w:b/>
          <w:bCs/>
          <w:color w:val="000000" w:themeColor="text1"/>
          <w:szCs w:val="21"/>
        </w:rPr>
        <w:t>),</w:t>
      </w:r>
      <w:r>
        <w:rPr>
          <w:b/>
          <w:bCs/>
          <w:color w:val="000000" w:themeColor="text1"/>
          <w:szCs w:val="21"/>
        </w:rPr>
        <w:t xml:space="preserve"> </w:t>
      </w:r>
      <w:r>
        <w:rPr>
          <w:rFonts w:hint="eastAsia"/>
          <w:b/>
          <w:bCs/>
          <w:color w:val="000000" w:themeColor="text1"/>
          <w:szCs w:val="21"/>
        </w:rPr>
        <w:t>a</w:t>
      </w:r>
      <w:r w:rsidRPr="00207CE0">
        <w:rPr>
          <w:b/>
          <w:bCs/>
          <w:color w:val="000000" w:themeColor="text1"/>
          <w:szCs w:val="21"/>
        </w:rPr>
        <w:t xml:space="preserve"> 95.</w:t>
      </w:r>
      <w:r>
        <w:rPr>
          <w:b/>
          <w:bCs/>
          <w:color w:val="000000" w:themeColor="text1"/>
          <w:szCs w:val="21"/>
        </w:rPr>
        <w:t>2</w:t>
      </w:r>
      <w:r w:rsidRPr="00207CE0">
        <w:rPr>
          <w:b/>
          <w:bCs/>
          <w:color w:val="000000" w:themeColor="text1"/>
          <w:szCs w:val="21"/>
        </w:rPr>
        <w:t>%</w:t>
      </w:r>
      <w:r>
        <w:rPr>
          <w:b/>
          <w:bCs/>
          <w:color w:val="000000" w:themeColor="text1"/>
          <w:szCs w:val="21"/>
        </w:rPr>
        <w:t xml:space="preserve"> </w:t>
      </w:r>
      <w:r>
        <w:rPr>
          <w:rFonts w:hint="eastAsia"/>
          <w:b/>
          <w:bCs/>
          <w:color w:val="000000" w:themeColor="text1"/>
          <w:szCs w:val="21"/>
        </w:rPr>
        <w:t>lower</w:t>
      </w:r>
      <w:r w:rsidRPr="00207CE0">
        <w:rPr>
          <w:b/>
          <w:bCs/>
          <w:color w:val="000000" w:themeColor="text1"/>
          <w:szCs w:val="21"/>
        </w:rPr>
        <w:t xml:space="preserve"> charge transfer resistance (</w:t>
      </w:r>
      <w:r w:rsidRPr="00207CE0">
        <w:rPr>
          <w:rFonts w:hint="eastAsia"/>
          <w:b/>
          <w:bCs/>
          <w:color w:val="000000" w:themeColor="text1"/>
          <w:szCs w:val="21"/>
        </w:rPr>
        <w:t>12.8</w:t>
      </w:r>
      <w:r w:rsidRPr="00207CE0">
        <w:rPr>
          <w:b/>
          <w:bCs/>
          <w:color w:val="000000" w:themeColor="text1"/>
          <w:szCs w:val="21"/>
        </w:rPr>
        <w:t xml:space="preserve"> Ω), and</w:t>
      </w:r>
      <w:r>
        <w:rPr>
          <w:b/>
          <w:bCs/>
          <w:color w:val="000000" w:themeColor="text1"/>
          <w:szCs w:val="21"/>
        </w:rPr>
        <w:t xml:space="preserve"> </w:t>
      </w:r>
      <w:r>
        <w:rPr>
          <w:rFonts w:hint="eastAsia"/>
          <w:b/>
          <w:bCs/>
          <w:color w:val="000000" w:themeColor="text1"/>
          <w:szCs w:val="21"/>
        </w:rPr>
        <w:t>a</w:t>
      </w:r>
      <w:r w:rsidRPr="00207CE0">
        <w:rPr>
          <w:rFonts w:hint="eastAsia"/>
          <w:b/>
          <w:bCs/>
          <w:color w:val="000000" w:themeColor="text1"/>
          <w:szCs w:val="21"/>
        </w:rPr>
        <w:t xml:space="preserve"> 69.8%</w:t>
      </w:r>
      <w:r w:rsidRPr="00207CE0">
        <w:rPr>
          <w:b/>
          <w:bCs/>
          <w:color w:val="000000" w:themeColor="text1"/>
          <w:szCs w:val="21"/>
        </w:rPr>
        <w:t xml:space="preserve"> </w:t>
      </w:r>
      <w:r>
        <w:rPr>
          <w:rFonts w:hint="eastAsia"/>
          <w:b/>
          <w:bCs/>
          <w:color w:val="000000" w:themeColor="text1"/>
          <w:szCs w:val="21"/>
        </w:rPr>
        <w:t>lower</w:t>
      </w:r>
      <w:r>
        <w:rPr>
          <w:b/>
          <w:bCs/>
          <w:color w:val="000000" w:themeColor="text1"/>
          <w:szCs w:val="21"/>
        </w:rPr>
        <w:t xml:space="preserve"> </w:t>
      </w:r>
      <w:r w:rsidRPr="00207CE0">
        <w:rPr>
          <w:b/>
          <w:bCs/>
          <w:color w:val="000000" w:themeColor="text1"/>
          <w:szCs w:val="21"/>
        </w:rPr>
        <w:t>Tafel slope (144 mV</w:t>
      </w:r>
      <w:r>
        <w:rPr>
          <w:b/>
          <w:bCs/>
          <w:color w:val="000000" w:themeColor="text1"/>
          <w:szCs w:val="21"/>
        </w:rPr>
        <w:t>/</w:t>
      </w:r>
      <w:r w:rsidRPr="00207CE0">
        <w:rPr>
          <w:b/>
          <w:bCs/>
          <w:color w:val="000000" w:themeColor="text1"/>
          <w:szCs w:val="21"/>
        </w:rPr>
        <w:t>dec), and thus exhibits a lower overpotential (535.5 mV) with good stability at a current density of 10 mA</w:t>
      </w:r>
      <w:r>
        <w:rPr>
          <w:b/>
          <w:bCs/>
          <w:color w:val="000000" w:themeColor="text1"/>
          <w:szCs w:val="21"/>
        </w:rPr>
        <w:t>/</w:t>
      </w:r>
      <w:r w:rsidRPr="00207CE0">
        <w:rPr>
          <w:b/>
          <w:bCs/>
          <w:color w:val="000000" w:themeColor="text1"/>
          <w:szCs w:val="21"/>
        </w:rPr>
        <w:t>cm</w:t>
      </w:r>
      <w:r w:rsidRPr="00207CE0">
        <w:rPr>
          <w:b/>
          <w:bCs/>
          <w:color w:val="000000" w:themeColor="text1"/>
          <w:szCs w:val="21"/>
          <w:vertAlign w:val="superscript"/>
        </w:rPr>
        <w:t>2</w:t>
      </w:r>
      <w:r w:rsidRPr="00207CE0">
        <w:rPr>
          <w:b/>
          <w:bCs/>
          <w:color w:val="000000" w:themeColor="text1"/>
          <w:szCs w:val="21"/>
        </w:rPr>
        <w:t>.</w:t>
      </w:r>
      <w:r>
        <w:rPr>
          <w:b/>
          <w:bCs/>
          <w:color w:val="000000" w:themeColor="text1"/>
          <w:szCs w:val="21"/>
        </w:rPr>
        <w:t xml:space="preserve"> </w:t>
      </w:r>
      <w:r w:rsidRPr="000C204B">
        <w:rPr>
          <w:b/>
          <w:bCs/>
          <w:color w:val="000000" w:themeColor="text1"/>
          <w:szCs w:val="21"/>
        </w:rPr>
        <w:t>At the same time, the HER performance of porous Ti</w:t>
      </w:r>
      <w:r w:rsidRPr="000C204B">
        <w:rPr>
          <w:b/>
          <w:bCs/>
          <w:color w:val="000000" w:themeColor="text1"/>
          <w:szCs w:val="21"/>
          <w:vertAlign w:val="subscript"/>
        </w:rPr>
        <w:t>3</w:t>
      </w:r>
      <w:r w:rsidRPr="000C204B">
        <w:rPr>
          <w:b/>
          <w:bCs/>
          <w:color w:val="000000" w:themeColor="text1"/>
          <w:szCs w:val="21"/>
        </w:rPr>
        <w:t>C</w:t>
      </w:r>
      <w:r w:rsidRPr="000C204B">
        <w:rPr>
          <w:b/>
          <w:bCs/>
          <w:color w:val="000000" w:themeColor="text1"/>
          <w:szCs w:val="21"/>
          <w:vertAlign w:val="subscript"/>
        </w:rPr>
        <w:t>2</w:t>
      </w:r>
      <w:r w:rsidRPr="000C204B">
        <w:rPr>
          <w:b/>
          <w:bCs/>
          <w:color w:val="000000" w:themeColor="text1"/>
          <w:szCs w:val="21"/>
        </w:rPr>
        <w:t>T</w:t>
      </w:r>
      <w:r w:rsidRPr="000C204B">
        <w:rPr>
          <w:b/>
          <w:bCs/>
          <w:i/>
          <w:color w:val="000000" w:themeColor="text1"/>
          <w:szCs w:val="21"/>
          <w:vertAlign w:val="subscript"/>
        </w:rPr>
        <w:t>x</w:t>
      </w:r>
      <w:r w:rsidRPr="000C204B">
        <w:rPr>
          <w:b/>
          <w:bCs/>
          <w:color w:val="000000" w:themeColor="text1"/>
          <w:szCs w:val="21"/>
        </w:rPr>
        <w:t xml:space="preserve"> can be further enhanced by </w:t>
      </w:r>
      <w:bookmarkStart w:id="6" w:name="OLE_LINK103"/>
      <w:r w:rsidRPr="000C204B">
        <w:rPr>
          <w:b/>
          <w:bCs/>
          <w:color w:val="000000" w:themeColor="text1"/>
          <w:szCs w:val="21"/>
        </w:rPr>
        <w:t>near-infrared</w:t>
      </w:r>
      <w:bookmarkEnd w:id="6"/>
      <w:r w:rsidRPr="000C204B">
        <w:rPr>
          <w:b/>
          <w:bCs/>
          <w:color w:val="000000" w:themeColor="text1"/>
          <w:szCs w:val="21"/>
        </w:rPr>
        <w:t xml:space="preserve"> laser irradiation based on the localized surface plasmon resonance effect.</w:t>
      </w:r>
      <w:commentRangeEnd w:id="2"/>
      <w:r>
        <w:rPr>
          <w:rStyle w:val="CommentReference"/>
        </w:rPr>
        <w:commentReference w:id="2"/>
      </w:r>
    </w:p>
    <w:p w14:paraId="10732697" w14:textId="58E1A6ED" w:rsidR="006B04DE" w:rsidRPr="006D6FB6" w:rsidRDefault="006B04DE" w:rsidP="00D6610D">
      <w:pPr>
        <w:spacing w:line="360" w:lineRule="auto"/>
        <w:rPr>
          <w:i/>
          <w:iCs/>
          <w:color w:val="000000" w:themeColor="text1"/>
          <w:szCs w:val="21"/>
        </w:rPr>
      </w:pPr>
      <w:commentRangeStart w:id="3"/>
      <w:commentRangeStart w:id="4"/>
      <w:r w:rsidRPr="00BA104F">
        <w:rPr>
          <w:b/>
          <w:bCs/>
          <w:color w:val="000000" w:themeColor="text1"/>
          <w:szCs w:val="21"/>
        </w:rPr>
        <w:t>Keywords</w:t>
      </w:r>
      <w:r w:rsidR="0087167E">
        <w:rPr>
          <w:rFonts w:hint="eastAsia"/>
          <w:b/>
          <w:bCs/>
          <w:color w:val="000000" w:themeColor="text1"/>
          <w:szCs w:val="21"/>
        </w:rPr>
        <w:t>:</w:t>
      </w:r>
      <w:r w:rsidRPr="008A0ECB">
        <w:rPr>
          <w:i/>
          <w:iCs/>
          <w:color w:val="000000" w:themeColor="text1"/>
          <w:szCs w:val="21"/>
        </w:rPr>
        <w:t>porous Ti</w:t>
      </w:r>
      <w:r w:rsidRPr="008A0ECB">
        <w:rPr>
          <w:i/>
          <w:iCs/>
          <w:color w:val="000000" w:themeColor="text1"/>
          <w:szCs w:val="21"/>
          <w:vertAlign w:val="subscript"/>
        </w:rPr>
        <w:t>3</w:t>
      </w:r>
      <w:r w:rsidRPr="008A0ECB">
        <w:rPr>
          <w:i/>
          <w:iCs/>
          <w:color w:val="000000" w:themeColor="text1"/>
          <w:szCs w:val="21"/>
        </w:rPr>
        <w:t>C</w:t>
      </w:r>
      <w:r w:rsidRPr="008A0ECB">
        <w:rPr>
          <w:i/>
          <w:iCs/>
          <w:color w:val="000000" w:themeColor="text1"/>
          <w:szCs w:val="21"/>
          <w:vertAlign w:val="subscript"/>
        </w:rPr>
        <w:t>2</w:t>
      </w:r>
      <w:r w:rsidRPr="008A0ECB">
        <w:rPr>
          <w:i/>
          <w:iCs/>
          <w:color w:val="000000" w:themeColor="text1"/>
          <w:szCs w:val="21"/>
        </w:rPr>
        <w:t>T</w:t>
      </w:r>
      <w:r w:rsidRPr="008A0ECB">
        <w:rPr>
          <w:i/>
          <w:iCs/>
          <w:color w:val="000000" w:themeColor="text1"/>
          <w:szCs w:val="21"/>
          <w:vertAlign w:val="subscript"/>
        </w:rPr>
        <w:t>x</w:t>
      </w:r>
      <w:r w:rsidR="00624B2C" w:rsidRPr="008A0ECB">
        <w:rPr>
          <w:rFonts w:hint="eastAsia"/>
          <w:i/>
          <w:iCs/>
          <w:color w:val="000000" w:themeColor="text1"/>
          <w:szCs w:val="21"/>
        </w:rPr>
        <w:t xml:space="preserve">, </w:t>
      </w:r>
      <w:r w:rsidRPr="008A0ECB">
        <w:rPr>
          <w:i/>
          <w:iCs/>
          <w:color w:val="000000" w:themeColor="text1"/>
          <w:szCs w:val="21"/>
        </w:rPr>
        <w:t xml:space="preserve">hydrogen evolution reaction </w:t>
      </w:r>
      <w:r w:rsidRPr="008A0ECB">
        <w:rPr>
          <w:rFonts w:hint="eastAsia"/>
          <w:i/>
          <w:iCs/>
          <w:color w:val="000000" w:themeColor="text1"/>
          <w:szCs w:val="21"/>
        </w:rPr>
        <w:t>(</w:t>
      </w:r>
      <w:r w:rsidRPr="008A0ECB">
        <w:rPr>
          <w:i/>
          <w:iCs/>
          <w:color w:val="000000" w:themeColor="text1"/>
          <w:szCs w:val="21"/>
        </w:rPr>
        <w:t xml:space="preserve">HER); active </w:t>
      </w:r>
      <w:r w:rsidRPr="008A0ECB">
        <w:rPr>
          <w:rFonts w:hint="eastAsia"/>
          <w:i/>
          <w:iCs/>
          <w:color w:val="000000" w:themeColor="text1"/>
          <w:szCs w:val="21"/>
        </w:rPr>
        <w:t>edge</w:t>
      </w:r>
      <w:r w:rsidRPr="008A0ECB">
        <w:rPr>
          <w:i/>
          <w:iCs/>
          <w:color w:val="000000" w:themeColor="text1"/>
          <w:szCs w:val="21"/>
        </w:rPr>
        <w:t xml:space="preserve"> site; localized surface plasmon resonance</w:t>
      </w:r>
      <w:commentRangeEnd w:id="3"/>
      <w:r>
        <w:rPr>
          <w:rStyle w:val="CommentReference"/>
        </w:rPr>
        <w:commentReference w:id="3"/>
      </w:r>
      <w:commentRangeEnd w:id="4"/>
      <w:r>
        <w:rPr>
          <w:rStyle w:val="CommentReference"/>
        </w:rPr>
        <w:commentReference w:id="4"/>
      </w:r>
    </w:p>
    <w:p w14:paraId="548FD8F9" w14:textId="77777777" w:rsidR="005D2EAC" w:rsidRDefault="00664FAD" w:rsidP="005D2EAC">
      <w:pPr>
        <w:rPr>
          <w:color w:val="000000" w:themeColor="text1"/>
          <w:szCs w:val="20"/>
        </w:rPr>
      </w:pPr>
      <w:commentRangeStart w:id="5"/>
      <w:r w:rsidRPr="000C204B">
        <w:rPr>
          <w:b/>
          <w:bCs/>
          <w:color w:val="000000" w:themeColor="text1"/>
          <w:szCs w:val="20"/>
        </w:rPr>
        <w:t xml:space="preserve">CLC number: </w:t>
      </w:r>
      <w:r w:rsidRPr="000C204B">
        <w:rPr>
          <w:color w:val="000000" w:themeColor="text1"/>
          <w:szCs w:val="21"/>
        </w:rPr>
        <w:t>O611</w:t>
      </w:r>
      <w:r w:rsidR="00436D3E">
        <w:rPr>
          <w:rFonts w:hint="eastAsia"/>
          <w:color w:val="000000" w:themeColor="text1"/>
          <w:szCs w:val="21"/>
        </w:rPr>
        <w:t xml:space="preserve"> </w:t>
      </w:r>
      <w:r w:rsidR="008E0F13">
        <w:rPr>
          <w:rFonts w:hint="eastAsia"/>
          <w:color w:val="000000" w:themeColor="text1"/>
          <w:szCs w:val="21"/>
        </w:rPr>
        <w:t xml:space="preserve">    </w:t>
      </w:r>
      <w:r w:rsidR="00052612">
        <w:rPr>
          <w:rFonts w:hint="eastAsia"/>
          <w:color w:val="000000" w:themeColor="text1"/>
          <w:szCs w:val="21"/>
        </w:rPr>
        <w:t xml:space="preserve">     </w:t>
      </w:r>
      <w:r w:rsidR="00436D3E">
        <w:rPr>
          <w:rFonts w:hint="eastAsia"/>
          <w:color w:val="000000" w:themeColor="text1"/>
          <w:szCs w:val="21"/>
        </w:rPr>
        <w:t xml:space="preserve">  </w:t>
      </w:r>
      <w:r w:rsidR="00086593">
        <w:rPr>
          <w:rFonts w:hint="eastAsia"/>
          <w:b/>
          <w:bCs/>
          <w:color w:val="000000" w:themeColor="text1"/>
          <w:szCs w:val="20"/>
        </w:rPr>
        <w:t>D</w:t>
      </w:r>
      <w:r w:rsidRPr="000C204B">
        <w:rPr>
          <w:b/>
          <w:bCs/>
          <w:color w:val="000000" w:themeColor="text1"/>
          <w:szCs w:val="20"/>
        </w:rPr>
        <w:t xml:space="preserve">ocument code: </w:t>
      </w:r>
      <w:r w:rsidRPr="000C204B">
        <w:rPr>
          <w:color w:val="000000" w:themeColor="text1"/>
          <w:szCs w:val="20"/>
        </w:rPr>
        <w:t>A</w:t>
      </w:r>
      <w:commentRangeEnd w:id="5"/>
      <w:r>
        <w:rPr>
          <w:rStyle w:val="CommentReference"/>
        </w:rPr>
        <w:commentReference w:id="5"/>
      </w:r>
    </w:p>
    <w:p w14:paraId="321D7B5A" w14:textId="6B71C598" w:rsidR="00F11EC1" w:rsidRPr="0050692D" w:rsidRDefault="00F11EC1" w:rsidP="00D64B45">
      <w:pPr>
        <w:spacing w:beforeLines="100" w:before="312" w:afterLines="100" w:after="312"/>
        <w:rPr>
          <w:b/>
          <w:bCs/>
          <w:sz w:val="28"/>
          <w:szCs w:val="28"/>
        </w:rPr>
      </w:pPr>
      <w:r w:rsidRPr="0050692D">
        <w:rPr>
          <w:b/>
          <w:bCs/>
          <w:sz w:val="28"/>
          <w:szCs w:val="28"/>
        </w:rPr>
        <w:t>0 Introduction</w:t>
      </w:r>
    </w:p>
    <w:p w14:paraId="3011EF0F" w14:textId="3FD45B07" w:rsidR="00F11EC1" w:rsidRDefault="00F11EC1" w:rsidP="00F11EC1">
      <w:pPr>
        <w:spacing w:line="312" w:lineRule="auto"/>
        <w:ind w:firstLine="420"/>
        <w:rPr>
          <w:szCs w:val="20"/>
        </w:rPr>
      </w:pPr>
      <w:commentRangeStart w:id="9"/>
      <w:r w:rsidRPr="00020540">
        <w:rPr>
          <w:szCs w:val="20"/>
        </w:rPr>
        <w:t xml:space="preserve">Hydrogen is a renewable and green energy source, serving as a potential alternative to traditional fossil fuels, meeting the </w:t>
      </w:r>
      <w:r w:rsidRPr="00020540">
        <w:rPr>
          <w:rFonts w:hint="eastAsia"/>
          <w:szCs w:val="20"/>
        </w:rPr>
        <w:t>demand</w:t>
      </w:r>
      <w:r w:rsidRPr="00020540">
        <w:rPr>
          <w:szCs w:val="20"/>
        </w:rPr>
        <w:t>s of sustainable social development</w:t>
      </w:r>
      <w:r w:rsidRPr="00020540">
        <w:rPr>
          <w:noProof/>
          <w:szCs w:val="20"/>
          <w:vertAlign w:val="superscript"/>
        </w:rPr>
        <w:t>[1]</w:t>
      </w:r>
      <w:r w:rsidRPr="00020540">
        <w:rPr>
          <w:szCs w:val="20"/>
        </w:rPr>
        <w:t xml:space="preserve">. Electrochemical water splitting via the hydrogen evolution reaction (HER) is considered </w:t>
      </w:r>
      <w:r w:rsidRPr="00020540">
        <w:rPr>
          <w:rFonts w:hint="eastAsia"/>
          <w:szCs w:val="20"/>
        </w:rPr>
        <w:t>as</w:t>
      </w:r>
      <w:r w:rsidRPr="00020540">
        <w:rPr>
          <w:szCs w:val="20"/>
        </w:rPr>
        <w:t xml:space="preserve"> the most economical and </w:t>
      </w:r>
      <w:r w:rsidRPr="00020540">
        <w:rPr>
          <w:szCs w:val="20"/>
        </w:rPr>
        <w:lastRenderedPageBreak/>
        <w:t>efficient method for hydrogen production</w:t>
      </w:r>
      <w:r w:rsidRPr="00020540">
        <w:rPr>
          <w:noProof/>
          <w:szCs w:val="20"/>
          <w:vertAlign w:val="superscript"/>
        </w:rPr>
        <w:t>[2]</w:t>
      </w:r>
      <w:r w:rsidRPr="00020540">
        <w:rPr>
          <w:szCs w:val="20"/>
        </w:rPr>
        <w:t xml:space="preserve">. Pt-based noble metal materials </w:t>
      </w:r>
      <w:r w:rsidRPr="00020540">
        <w:rPr>
          <w:rFonts w:hint="eastAsia"/>
          <w:szCs w:val="20"/>
        </w:rPr>
        <w:t>have</w:t>
      </w:r>
      <w:r w:rsidRPr="00020540">
        <w:rPr>
          <w:szCs w:val="20"/>
        </w:rPr>
        <w:t xml:space="preserve"> </w:t>
      </w:r>
      <w:r w:rsidRPr="00020540">
        <w:rPr>
          <w:rFonts w:hint="eastAsia"/>
          <w:szCs w:val="20"/>
        </w:rPr>
        <w:t>attracted</w:t>
      </w:r>
      <w:r w:rsidRPr="00020540">
        <w:rPr>
          <w:szCs w:val="20"/>
        </w:rPr>
        <w:t xml:space="preserve"> </w:t>
      </w:r>
      <w:r w:rsidRPr="00020540">
        <w:rPr>
          <w:rFonts w:hint="eastAsia"/>
          <w:szCs w:val="20"/>
        </w:rPr>
        <w:t>great</w:t>
      </w:r>
      <w:r w:rsidRPr="00020540">
        <w:rPr>
          <w:szCs w:val="20"/>
        </w:rPr>
        <w:t xml:space="preserve"> </w:t>
      </w:r>
      <w:r w:rsidRPr="00020540">
        <w:rPr>
          <w:rFonts w:hint="eastAsia"/>
          <w:szCs w:val="20"/>
        </w:rPr>
        <w:t>attention</w:t>
      </w:r>
      <w:r w:rsidRPr="00020540">
        <w:rPr>
          <w:szCs w:val="20"/>
        </w:rPr>
        <w:t xml:space="preserve"> </w:t>
      </w:r>
      <w:r w:rsidRPr="00020540">
        <w:rPr>
          <w:rFonts w:hint="eastAsia"/>
          <w:szCs w:val="20"/>
        </w:rPr>
        <w:t>due</w:t>
      </w:r>
      <w:r w:rsidRPr="00020540">
        <w:rPr>
          <w:szCs w:val="20"/>
        </w:rPr>
        <w:t xml:space="preserve"> </w:t>
      </w:r>
      <w:r w:rsidRPr="00020540">
        <w:rPr>
          <w:rFonts w:hint="eastAsia"/>
          <w:szCs w:val="20"/>
        </w:rPr>
        <w:t>to</w:t>
      </w:r>
      <w:r w:rsidRPr="00020540">
        <w:rPr>
          <w:szCs w:val="20"/>
        </w:rPr>
        <w:t xml:space="preserve"> </w:t>
      </w:r>
      <w:r w:rsidRPr="00020540">
        <w:rPr>
          <w:rFonts w:hint="eastAsia"/>
          <w:szCs w:val="20"/>
        </w:rPr>
        <w:t>their</w:t>
      </w:r>
      <w:r w:rsidRPr="00020540">
        <w:rPr>
          <w:szCs w:val="20"/>
        </w:rPr>
        <w:t xml:space="preserve"> efficient HER </w:t>
      </w:r>
      <w:r w:rsidRPr="00020540">
        <w:rPr>
          <w:rFonts w:hint="eastAsia"/>
          <w:szCs w:val="20"/>
        </w:rPr>
        <w:t>performance</w:t>
      </w:r>
      <w:r w:rsidRPr="00020540">
        <w:rPr>
          <w:noProof/>
          <w:szCs w:val="20"/>
          <w:vertAlign w:val="superscript"/>
        </w:rPr>
        <w:t>[3-5]</w:t>
      </w:r>
      <w:r w:rsidRPr="00020540">
        <w:rPr>
          <w:szCs w:val="20"/>
        </w:rPr>
        <w:t>, but high cost and scarcity hinder their large-scale application</w:t>
      </w:r>
      <w:r w:rsidRPr="00020540">
        <w:rPr>
          <w:rFonts w:hint="eastAsia"/>
          <w:szCs w:val="20"/>
        </w:rPr>
        <w:t>s</w:t>
      </w:r>
      <w:r w:rsidRPr="00020540">
        <w:rPr>
          <w:noProof/>
          <w:szCs w:val="20"/>
          <w:vertAlign w:val="superscript"/>
        </w:rPr>
        <w:t>[6]</w:t>
      </w:r>
      <w:r w:rsidRPr="00020540">
        <w:rPr>
          <w:szCs w:val="20"/>
        </w:rPr>
        <w:t>. Therefore, the rational design of economically efficient HER electrocatalysts is an important research topic at present</w:t>
      </w:r>
      <w:r w:rsidRPr="00020540">
        <w:rPr>
          <w:noProof/>
          <w:szCs w:val="20"/>
          <w:vertAlign w:val="superscript"/>
        </w:rPr>
        <w:t>[7-9]</w:t>
      </w:r>
      <w:r w:rsidRPr="00020540">
        <w:rPr>
          <w:szCs w:val="20"/>
        </w:rPr>
        <w:t>. MXene is an emerging class of two-dimensional (2D) transition metal carbides or nitrides</w:t>
      </w:r>
      <w:r w:rsidRPr="00020540">
        <w:rPr>
          <w:noProof/>
          <w:szCs w:val="20"/>
          <w:vertAlign w:val="superscript"/>
        </w:rPr>
        <w:t>[10-12]</w:t>
      </w:r>
      <w:r w:rsidRPr="00020540">
        <w:rPr>
          <w:szCs w:val="20"/>
        </w:rPr>
        <w:t xml:space="preserve"> </w:t>
      </w:r>
      <w:r w:rsidRPr="00020540">
        <w:rPr>
          <w:rFonts w:hint="eastAsia"/>
          <w:szCs w:val="20"/>
        </w:rPr>
        <w:t>with</w:t>
      </w:r>
      <w:r w:rsidRPr="00020540">
        <w:rPr>
          <w:szCs w:val="20"/>
        </w:rPr>
        <w:t xml:space="preserve"> exhibit excellent conductivity</w:t>
      </w:r>
      <w:r w:rsidRPr="00020540">
        <w:rPr>
          <w:noProof/>
          <w:szCs w:val="20"/>
          <w:vertAlign w:val="superscript"/>
        </w:rPr>
        <w:t>[13]</w:t>
      </w:r>
      <w:r w:rsidRPr="00020540">
        <w:rPr>
          <w:szCs w:val="20"/>
        </w:rPr>
        <w:t>, highly tunable composition</w:t>
      </w:r>
      <w:r w:rsidRPr="00020540">
        <w:rPr>
          <w:noProof/>
          <w:szCs w:val="20"/>
          <w:vertAlign w:val="superscript"/>
        </w:rPr>
        <w:t>[14]</w:t>
      </w:r>
      <w:r w:rsidRPr="00020540">
        <w:rPr>
          <w:szCs w:val="20"/>
        </w:rPr>
        <w:t>, and surface functional groups</w:t>
      </w:r>
      <w:r w:rsidRPr="00020540">
        <w:rPr>
          <w:noProof/>
          <w:szCs w:val="20"/>
          <w:vertAlign w:val="superscript"/>
        </w:rPr>
        <w:t>[15]</w:t>
      </w:r>
      <w:r w:rsidRPr="00020540">
        <w:rPr>
          <w:szCs w:val="20"/>
        </w:rPr>
        <w:t xml:space="preserve">, </w:t>
      </w:r>
      <w:r w:rsidRPr="00020540">
        <w:rPr>
          <w:rFonts w:hint="eastAsia"/>
          <w:szCs w:val="20"/>
        </w:rPr>
        <w:t>hold</w:t>
      </w:r>
      <w:r w:rsidRPr="00020540">
        <w:rPr>
          <w:szCs w:val="20"/>
        </w:rPr>
        <w:t xml:space="preserve">ing </w:t>
      </w:r>
      <w:r w:rsidRPr="00020540">
        <w:rPr>
          <w:rFonts w:hint="eastAsia"/>
          <w:szCs w:val="20"/>
        </w:rPr>
        <w:t>great</w:t>
      </w:r>
      <w:r w:rsidRPr="00020540">
        <w:rPr>
          <w:szCs w:val="20"/>
        </w:rPr>
        <w:t xml:space="preserve"> </w:t>
      </w:r>
      <w:r w:rsidRPr="00020540">
        <w:rPr>
          <w:rFonts w:hint="eastAsia"/>
          <w:szCs w:val="20"/>
        </w:rPr>
        <w:t>potential</w:t>
      </w:r>
      <w:r w:rsidRPr="00020540">
        <w:rPr>
          <w:szCs w:val="20"/>
        </w:rPr>
        <w:t xml:space="preserve"> in HER</w:t>
      </w:r>
      <w:r w:rsidRPr="00020540">
        <w:rPr>
          <w:noProof/>
          <w:szCs w:val="20"/>
          <w:vertAlign w:val="superscript"/>
        </w:rPr>
        <w:t>[16]</w:t>
      </w:r>
      <w:r w:rsidRPr="00020540">
        <w:rPr>
          <w:szCs w:val="20"/>
        </w:rPr>
        <w:t xml:space="preserve">. However, MXene nanosheet has a large aspect ratio structure, </w:t>
      </w:r>
      <w:r w:rsidRPr="00020540">
        <w:rPr>
          <w:rFonts w:hint="eastAsia"/>
          <w:szCs w:val="20"/>
        </w:rPr>
        <w:t>which</w:t>
      </w:r>
      <w:r w:rsidRPr="00020540">
        <w:rPr>
          <w:szCs w:val="20"/>
        </w:rPr>
        <w:t xml:space="preserve"> mainly exposes in-plane sites with poor activity, </w:t>
      </w:r>
      <w:r w:rsidRPr="00020540">
        <w:rPr>
          <w:rFonts w:hint="eastAsia"/>
          <w:szCs w:val="20"/>
        </w:rPr>
        <w:t>leading</w:t>
      </w:r>
      <w:r w:rsidRPr="00020540">
        <w:rPr>
          <w:szCs w:val="20"/>
        </w:rPr>
        <w:t xml:space="preserve"> </w:t>
      </w:r>
      <w:r w:rsidRPr="00020540">
        <w:rPr>
          <w:rFonts w:hint="eastAsia"/>
          <w:szCs w:val="20"/>
        </w:rPr>
        <w:t>to</w:t>
      </w:r>
      <w:r w:rsidRPr="00020540">
        <w:rPr>
          <w:szCs w:val="20"/>
        </w:rPr>
        <w:t xml:space="preserve"> poor intrinsic a</w:t>
      </w:r>
      <w:r w:rsidR="00336B31">
        <w:rPr>
          <w:rFonts w:hint="eastAsia"/>
          <w:szCs w:val="20"/>
        </w:rPr>
        <w:t>(1)</w:t>
      </w:r>
      <w:r w:rsidRPr="00020540">
        <w:rPr>
          <w:szCs w:val="20"/>
        </w:rPr>
        <w:t>ctivity</w:t>
      </w:r>
      <w:r w:rsidRPr="00020540">
        <w:rPr>
          <w:noProof/>
          <w:szCs w:val="20"/>
          <w:vertAlign w:val="superscript"/>
        </w:rPr>
        <w:t>[17-18]</w:t>
      </w:r>
      <w:r w:rsidRPr="00020540">
        <w:rPr>
          <w:szCs w:val="20"/>
        </w:rPr>
        <w:t xml:space="preserve">. Moreover, due to the strong </w:t>
      </w:r>
      <w:commentRangeEnd w:id="9"/>
      <w:r>
        <w:rPr>
          <w:rStyle w:val="CommentReference"/>
        </w:rPr>
        <w:commentReference w:id="9"/>
      </w:r>
    </w:p>
    <w:p w14:paraId="754E5F66" w14:textId="627FDB26" w:rsidR="00C249EF" w:rsidRDefault="00F70310" w:rsidP="007F495C">
      <w:pPr>
        <w:spacing w:line="312" w:lineRule="auto"/>
        <w:ind w:firstLine="420"/>
        <w:rPr>
          <w:szCs w:val="20"/>
        </w:rPr>
      </w:pPr>
      <w:commentRangeStart w:id="10"/>
      <w:r w:rsidRPr="00020540">
        <w:rPr>
          <w:szCs w:val="20"/>
        </w:rPr>
        <w:t xml:space="preserve">Hydrogen is a renewable and green energy source, serving as a potential alternative to traditional fossil fuels, meeting the </w:t>
      </w:r>
      <w:r w:rsidRPr="00020540">
        <w:rPr>
          <w:rFonts w:hint="eastAsia"/>
          <w:szCs w:val="20"/>
        </w:rPr>
        <w:t>demand</w:t>
      </w:r>
      <w:r w:rsidRPr="00020540">
        <w:rPr>
          <w:szCs w:val="20"/>
        </w:rPr>
        <w:t>s of sustaina</w:t>
      </w:r>
      <w:r w:rsidR="00772736">
        <w:rPr>
          <w:rFonts w:hint="eastAsia"/>
          <w:szCs w:val="20"/>
        </w:rPr>
        <w:t>。</w:t>
      </w:r>
      <w:commentRangeEnd w:id="10"/>
      <w:r>
        <w:rPr>
          <w:rStyle w:val="CommentReference"/>
        </w:rPr>
        <w:commentReference w:id="10"/>
      </w:r>
    </w:p>
    <w:p w14:paraId="4A58A90B" w14:textId="09CD8EAB" w:rsidR="00854DEF" w:rsidRPr="00B628BB" w:rsidRDefault="00854DEF" w:rsidP="00854DEF">
      <w:pPr>
        <w:pStyle w:val="af8"/>
        <w:jc w:val="both"/>
        <w:textAlignment w:val="center"/>
        <w:rPr>
          <w:color w:val="000000" w:themeColor="text1"/>
          <w:szCs w:val="20"/>
        </w:rPr>
      </w:pPr>
      <m:oMath>
        <m:r>
          <w:rPr>
            <w:rFonts w:ascii="Cambria Math" w:hAnsi="Cambria Math" w:hint="eastAsia"/>
          </w:rPr>
          <m:t>m</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m:rPr>
                <m:sty m:val="p"/>
              </m:rPr>
              <w:rPr>
                <w:rFonts w:ascii="Cambria Math" w:hAnsi="Cambria Math"/>
              </w:rPr>
              <m:t>1</m:t>
            </m:r>
          </m:sub>
        </m:sSub>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ω</m:t>
            </m:r>
          </m:e>
        </m:d>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x</m:t>
                    </m:r>
                  </m:e>
                </m:acc>
              </m:e>
              <m:sub>
                <m:r>
                  <m:rPr>
                    <m:sty m:val="p"/>
                  </m:rPr>
                  <w:rPr>
                    <w:rFonts w:ascii="Cambria Math" w:hAnsi="Cambria Math"/>
                  </w:rPr>
                  <m:t>0</m:t>
                </m:r>
              </m:sub>
            </m:sSub>
          </m:e>
        </m:d>
        <m:r>
          <m:rPr>
            <m:sty m:val="p"/>
          </m:rPr>
          <w:rPr>
            <w:rFonts w:ascii="Cambria Math" w:hAnsi="Cambria Math"/>
          </w:rPr>
          <m:t>+</m:t>
        </m:r>
        <m:r>
          <w:rPr>
            <w:rFonts w:ascii="Cambria Math" w:hAnsi="Cambria Math"/>
          </w:rPr>
          <m:t>k</m:t>
        </m:r>
        <m:d>
          <m:dPr>
            <m:ctrlPr>
              <w:rPr>
                <w:rFonts w:ascii="Cambria Math" w:hAnsi="Cambria Math"/>
              </w:rPr>
            </m:ctrlPr>
          </m:dPr>
          <m:e>
            <m:r>
              <w:rPr>
                <w:rFonts w:ascii="Cambria Math" w:hAnsi="Cambria Math"/>
              </w:rPr>
              <m:t>ω</m:t>
            </m:r>
          </m:e>
        </m:d>
        <m:d>
          <m:dPr>
            <m:ctrlPr>
              <w:rPr>
                <w:rFonts w:ascii="Cambria Math" w:hAnsi="Cambria Math"/>
              </w:rPr>
            </m:ctrlPr>
          </m:d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0</m:t>
                </m:r>
              </m:sub>
            </m:sSub>
          </m:e>
        </m:d>
        <m:r>
          <m:rPr>
            <m:sty m:val="p"/>
          </m:rPr>
          <w:rPr>
            <w:rFonts w:ascii="Cambria Math" w:hAnsi="Cambria Math"/>
          </w:rPr>
          <m:t>=0</m:t>
        </m:r>
      </m:oMath>
      <w:commentRangeStart w:id="13"/>
      <w:r>
        <w:tab/>
      </w:r>
      <w:r w:rsidRPr="005D2EAC">
        <w:rPr>
          <w:rFonts w:hint="eastAsia"/>
        </w:rPr>
        <w:t>(2)</w:t>
      </w:r>
      <w:commentRangeEnd w:id="13"/>
      <w:r>
        <w:rPr>
          <w:rStyle w:val="CommentReference"/>
        </w:rPr>
        <w:commentReference w:id="13"/>
      </w:r>
    </w:p>
    <w:p w14:paraId="1301E270" w14:textId="77777777" w:rsidR="00854DEF" w:rsidRPr="00854DEF" w:rsidRDefault="00854DEF" w:rsidP="007F495C">
      <w:pPr>
        <w:spacing w:line="312" w:lineRule="auto"/>
        <w:ind w:firstLine="420"/>
        <w:rPr>
          <w:sz w:val="18"/>
          <w:szCs w:val="18"/>
          <w:lang w:val="en"/>
        </w:rPr>
      </w:pPr>
    </w:p>
    <w:p w14:paraId="76FCB242" w14:textId="67F108D9" w:rsidR="00C3779E" w:rsidRDefault="00C043C7" w:rsidP="00AA3277">
      <w:pPr>
        <w:pStyle w:val="af8"/>
        <w:jc w:val="both"/>
        <w:textAlignment w:val="center"/>
      </w:pPr>
      <w:r>
        <w:tab/>
      </w:r>
      <m:oMath>
        <m:sSub>
          <m:sSubPr>
            <m:ctrlPr>
              <w:rPr>
                <w:rFonts w:ascii="Cambria Math" w:hAnsi="Cambria Math"/>
                <w:i/>
              </w:rPr>
            </m:ctrlPr>
          </m:sSubPr>
          <m:e>
            <m:r>
              <w:rPr>
                <w:rFonts w:ascii="Cambria Math" w:hAnsi="Cambria Math"/>
              </w:rPr>
              <m:t>Z</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0</m:t>
            </m:r>
          </m:sub>
        </m:sSub>
        <m:func>
          <m:funcPr>
            <m:ctrlPr>
              <w:rPr>
                <w:rFonts w:ascii="Cambria Math" w:hAnsi="Cambria Math"/>
                <w:i/>
              </w:rPr>
            </m:ctrlPr>
          </m:funcPr>
          <m:fName>
            <m:r>
              <w:rPr>
                <w:rFonts w:ascii="Cambria Math" w:hAnsi="Cambria Math"/>
              </w:rPr>
              <m:t>coth</m:t>
            </m:r>
          </m:fName>
          <m:e>
            <m:r>
              <w:rPr>
                <w:rFonts w:ascii="Cambria Math" w:hAnsi="Cambria Math"/>
              </w:rPr>
              <m:t>(</m:t>
            </m:r>
          </m:e>
        </m:func>
        <m:r>
          <w:rPr>
            <w:rFonts w:ascii="Cambria Math" w:hAnsi="Cambria Math"/>
          </w:rPr>
          <m:t>γl)</m:t>
        </m:r>
      </m:oMath>
      <w:r>
        <w:tab/>
      </w:r>
      <w:r w:rsidRPr="00517D5D">
        <w:t>(2)</w:t>
      </w:r>
    </w:p>
    <w:p w14:paraId="2396ED9C" w14:textId="77777777" w:rsidR="00C3779E" w:rsidRPr="002953E4" w:rsidRDefault="00C3779E" w:rsidP="0008241B">
      <w:pPr>
        <w:pStyle w:val="afb"/>
        <w:spacing w:before="0" w:after="0"/>
        <w:rPr>
          <w:sz w:val="21"/>
          <w:szCs w:val="21"/>
        </w:rPr>
      </w:pPr>
      <w:commentRangeStart w:id="17"/>
      <w:r w:rsidRPr="002953E4">
        <w:rPr>
          <w:b/>
          <w:bCs/>
          <w:sz w:val="21"/>
          <w:szCs w:val="21"/>
        </w:rPr>
        <w:t xml:space="preserve">Table </w:t>
      </w:r>
      <w:r w:rsidRPr="002953E4">
        <w:rPr>
          <w:b/>
          <w:bCs/>
          <w:sz w:val="21"/>
          <w:szCs w:val="21"/>
        </w:rPr>
        <w:fldChar w:fldCharType="begin"/>
      </w:r>
      <w:r w:rsidRPr="002953E4">
        <w:rPr>
          <w:b/>
          <w:bCs/>
          <w:sz w:val="21"/>
          <w:szCs w:val="21"/>
        </w:rPr>
        <w:instrText xml:space="preserve"> SEQ Table \* ARABIC </w:instrText>
      </w:r>
      <w:r w:rsidRPr="002953E4">
        <w:rPr>
          <w:b/>
          <w:bCs/>
          <w:sz w:val="21"/>
          <w:szCs w:val="21"/>
        </w:rPr>
        <w:fldChar w:fldCharType="separate"/>
      </w:r>
      <w:r w:rsidRPr="002953E4">
        <w:rPr>
          <w:b/>
          <w:bCs/>
          <w:noProof/>
          <w:sz w:val="21"/>
          <w:szCs w:val="21"/>
        </w:rPr>
        <w:t>1</w:t>
      </w:r>
      <w:r w:rsidRPr="002953E4">
        <w:rPr>
          <w:b/>
          <w:bCs/>
          <w:sz w:val="21"/>
          <w:szCs w:val="21"/>
        </w:rPr>
        <w:fldChar w:fldCharType="end"/>
      </w:r>
      <w:r w:rsidRPr="002953E4">
        <w:rPr>
          <w:rFonts w:hint="eastAsia"/>
          <w:b/>
          <w:bCs/>
          <w:sz w:val="21"/>
          <w:szCs w:val="21"/>
        </w:rPr>
        <w:t xml:space="preserve"> </w:t>
      </w:r>
      <w:r w:rsidRPr="002953E4">
        <w:rPr>
          <w:rFonts w:hint="eastAsia"/>
          <w:sz w:val="21"/>
          <w:szCs w:val="21"/>
        </w:rPr>
        <w:t>M</w:t>
      </w:r>
      <w:r w:rsidRPr="002953E4">
        <w:rPr>
          <w:sz w:val="21"/>
          <w:szCs w:val="21"/>
        </w:rPr>
        <w:t>aterial parameters</w:t>
      </w:r>
      <w:commentRangeEnd w:id="17"/>
      <w:r>
        <w:rPr>
          <w:rStyle w:val="CommentReference"/>
        </w:rPr>
        <w:commentReference w:id="17"/>
      </w:r>
    </w:p>
    <w:tbl>
      <w:tblPr>
        <w:tblStyle w:val="afd"/>
        <w:tblW w:w="8647" w:type="dxa"/>
        <w:jc w:val="center"/>
        <w:tblBorders>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268"/>
        <w:gridCol w:w="1843"/>
        <w:gridCol w:w="142"/>
        <w:gridCol w:w="1417"/>
        <w:gridCol w:w="426"/>
        <w:gridCol w:w="2551"/>
      </w:tblGrid>
      <w:tr w:rsidR="00C3779E" w:rsidRPr="002953E4" w14:paraId="250FDC74" w14:textId="77777777" w:rsidTr="005422DA">
        <w:trPr>
          <w:trHeight w:val="663"/>
          <w:jc w:val="center"/>
        </w:trPr>
        <w:tc>
          <w:tcPr>
            <w:tcW w:w="2268" w:type="dxa"/>
            <w:tcBorders>
              <w:top w:val="single" w:sz="12" w:space="0" w:color="auto"/>
              <w:bottom w:val="single" w:sz="6" w:space="0" w:color="auto"/>
            </w:tcBorders>
          </w:tcPr>
          <w:p w14:paraId="70264C2A" w14:textId="77777777" w:rsidR="00C3779E" w:rsidRPr="002953E4" w:rsidRDefault="00C3779E" w:rsidP="00E207C4">
            <w:pPr>
              <w:jc w:val="center"/>
              <w:rPr>
                <w:color w:val="000000" w:themeColor="text1"/>
                <w:szCs w:val="21"/>
              </w:rPr>
            </w:pPr>
            <w:r w:rsidRPr="002953E4">
              <w:rPr>
                <w:color w:val="000000" w:themeColor="text1"/>
                <w:szCs w:val="21"/>
              </w:rPr>
              <w:t>Material parameter</w:t>
            </w:r>
          </w:p>
        </w:tc>
        <w:tc>
          <w:tcPr>
            <w:tcW w:w="1985" w:type="dxa"/>
            <w:gridSpan w:val="2"/>
            <w:tcBorders>
              <w:top w:val="single" w:sz="12" w:space="0" w:color="auto"/>
              <w:bottom w:val="single" w:sz="6" w:space="0" w:color="auto"/>
            </w:tcBorders>
          </w:tcPr>
          <w:p w14:paraId="0844E6F0" w14:textId="77777777" w:rsidR="00C3779E" w:rsidRPr="002953E4" w:rsidRDefault="00C3779E" w:rsidP="00E207C4">
            <w:pPr>
              <w:jc w:val="center"/>
              <w:rPr>
                <w:color w:val="000000" w:themeColor="text1"/>
                <w:szCs w:val="21"/>
              </w:rPr>
            </w:pPr>
            <w:r w:rsidRPr="002953E4">
              <w:rPr>
                <w:color w:val="000000" w:themeColor="text1"/>
                <w:szCs w:val="21"/>
              </w:rPr>
              <w:t>Material</w:t>
            </w:r>
          </w:p>
        </w:tc>
        <w:tc>
          <w:tcPr>
            <w:tcW w:w="1843" w:type="dxa"/>
            <w:gridSpan w:val="2"/>
            <w:tcBorders>
              <w:top w:val="single" w:sz="12" w:space="0" w:color="auto"/>
              <w:bottom w:val="single" w:sz="6" w:space="0" w:color="auto"/>
            </w:tcBorders>
          </w:tcPr>
          <w:p w14:paraId="565C4C71" w14:textId="77777777" w:rsidR="00C3779E" w:rsidRPr="002953E4" w:rsidRDefault="00C3779E" w:rsidP="00E207C4">
            <w:pPr>
              <w:jc w:val="center"/>
              <w:rPr>
                <w:color w:val="000000" w:themeColor="text1"/>
                <w:szCs w:val="21"/>
              </w:rPr>
            </w:pPr>
            <w:r w:rsidRPr="002953E4">
              <w:rPr>
                <w:color w:val="000000" w:themeColor="text1"/>
                <w:szCs w:val="21"/>
              </w:rPr>
              <w:t>Poisson's ratio</w:t>
            </w:r>
          </w:p>
        </w:tc>
        <w:tc>
          <w:tcPr>
            <w:tcW w:w="2551" w:type="dxa"/>
            <w:tcBorders>
              <w:top w:val="single" w:sz="12" w:space="0" w:color="auto"/>
              <w:bottom w:val="single" w:sz="6" w:space="0" w:color="auto"/>
            </w:tcBorders>
          </w:tcPr>
          <w:p w14:paraId="2DED814A" w14:textId="77777777" w:rsidR="00C3779E" w:rsidRPr="002953E4" w:rsidRDefault="00C3779E" w:rsidP="00E207C4">
            <w:pPr>
              <w:jc w:val="center"/>
              <w:rPr>
                <w:color w:val="000000" w:themeColor="text1"/>
                <w:szCs w:val="21"/>
              </w:rPr>
            </w:pPr>
            <w:r w:rsidRPr="002953E4">
              <w:rPr>
                <w:color w:val="000000" w:themeColor="text1"/>
                <w:szCs w:val="21"/>
              </w:rPr>
              <w:t>Density</w:t>
            </w:r>
          </w:p>
          <w:p w14:paraId="0B85BF7D" w14:textId="77777777" w:rsidR="00C3779E" w:rsidRPr="002953E4" w:rsidRDefault="00C3779E" w:rsidP="00E207C4">
            <w:pPr>
              <w:jc w:val="center"/>
              <w:rPr>
                <w:color w:val="000000" w:themeColor="text1"/>
                <w:szCs w:val="21"/>
              </w:rPr>
            </w:pPr>
            <w:r w:rsidRPr="002953E4">
              <w:rPr>
                <w:color w:val="000000" w:themeColor="text1"/>
                <w:szCs w:val="21"/>
              </w:rPr>
              <w:t>/(kg</w:t>
            </w:r>
            <w:r w:rsidRPr="002953E4">
              <w:rPr>
                <w:rFonts w:hint="eastAsia"/>
                <w:color w:val="000000" w:themeColor="text1"/>
                <w:szCs w:val="21"/>
              </w:rPr>
              <w:t>·</w:t>
            </w:r>
            <w:r w:rsidRPr="002953E4">
              <w:rPr>
                <w:color w:val="000000" w:themeColor="text1"/>
                <w:szCs w:val="21"/>
              </w:rPr>
              <w:t>m/s^2)</w:t>
            </w:r>
          </w:p>
        </w:tc>
      </w:tr>
      <w:tr w:rsidR="00C3779E" w:rsidRPr="002953E4" w14:paraId="534DA5BF" w14:textId="77777777" w:rsidTr="00DD5A8C">
        <w:trPr>
          <w:jc w:val="center"/>
        </w:trPr>
        <w:tc>
          <w:tcPr>
            <w:tcW w:w="2268" w:type="dxa"/>
            <w:tcBorders>
              <w:top w:val="single" w:sz="6" w:space="0" w:color="auto"/>
              <w:bottom w:val="nil"/>
            </w:tcBorders>
          </w:tcPr>
          <w:p w14:paraId="6C8910E6" w14:textId="77777777" w:rsidR="00C3779E" w:rsidRPr="002953E4" w:rsidRDefault="00C3779E" w:rsidP="00E207C4">
            <w:pPr>
              <w:jc w:val="center"/>
              <w:rPr>
                <w:szCs w:val="21"/>
              </w:rPr>
            </w:pPr>
            <w:r w:rsidRPr="002953E4">
              <w:rPr>
                <w:szCs w:val="21"/>
              </w:rPr>
              <w:t>Rubber O-rings</w:t>
            </w:r>
          </w:p>
        </w:tc>
        <w:tc>
          <w:tcPr>
            <w:tcW w:w="1843" w:type="dxa"/>
            <w:tcBorders>
              <w:top w:val="single" w:sz="6" w:space="0" w:color="auto"/>
              <w:bottom w:val="nil"/>
            </w:tcBorders>
          </w:tcPr>
          <w:p w14:paraId="615A41B0" w14:textId="77777777" w:rsidR="00C3779E" w:rsidRPr="002953E4" w:rsidRDefault="00C3779E" w:rsidP="00E207C4">
            <w:pPr>
              <w:jc w:val="center"/>
              <w:rPr>
                <w:szCs w:val="21"/>
              </w:rPr>
            </w:pPr>
            <w:r w:rsidRPr="002953E4">
              <w:rPr>
                <w:szCs w:val="21"/>
              </w:rPr>
              <w:t>Nitrile Butadiene Rubber (NBR)</w:t>
            </w:r>
          </w:p>
        </w:tc>
        <w:tc>
          <w:tcPr>
            <w:tcW w:w="1559" w:type="dxa"/>
            <w:gridSpan w:val="2"/>
            <w:tcBorders>
              <w:top w:val="single" w:sz="6" w:space="0" w:color="auto"/>
              <w:bottom w:val="nil"/>
            </w:tcBorders>
          </w:tcPr>
          <w:p w14:paraId="5E96D9C6" w14:textId="77777777" w:rsidR="00C3779E" w:rsidRPr="002953E4" w:rsidRDefault="00C3779E" w:rsidP="00E207C4">
            <w:pPr>
              <w:jc w:val="center"/>
              <w:rPr>
                <w:szCs w:val="21"/>
              </w:rPr>
            </w:pPr>
            <w:r w:rsidRPr="002953E4">
              <w:rPr>
                <w:szCs w:val="21"/>
              </w:rPr>
              <w:t>0.49</w:t>
            </w:r>
          </w:p>
        </w:tc>
        <w:tc>
          <w:tcPr>
            <w:tcW w:w="2977" w:type="dxa"/>
            <w:gridSpan w:val="2"/>
            <w:tcBorders>
              <w:top w:val="single" w:sz="6" w:space="0" w:color="auto"/>
              <w:bottom w:val="nil"/>
            </w:tcBorders>
          </w:tcPr>
          <w:p w14:paraId="5C2D5CCA" w14:textId="77777777" w:rsidR="00C3779E" w:rsidRPr="002953E4" w:rsidRDefault="00C3779E" w:rsidP="00E207C4">
            <w:pPr>
              <w:jc w:val="center"/>
              <w:rPr>
                <w:color w:val="000000" w:themeColor="text1"/>
                <w:szCs w:val="21"/>
              </w:rPr>
            </w:pPr>
            <w:r w:rsidRPr="002953E4">
              <w:rPr>
                <w:szCs w:val="21"/>
              </w:rPr>
              <w:t>1200</w:t>
            </w:r>
          </w:p>
        </w:tc>
      </w:tr>
      <w:tr w:rsidR="00C3779E" w:rsidRPr="002953E4" w14:paraId="258FF966" w14:textId="77777777" w:rsidTr="00DD5A8C">
        <w:trPr>
          <w:jc w:val="center"/>
        </w:trPr>
        <w:tc>
          <w:tcPr>
            <w:tcW w:w="2268" w:type="dxa"/>
            <w:tcBorders>
              <w:top w:val="nil"/>
              <w:bottom w:val="single" w:sz="4" w:space="0" w:color="auto"/>
            </w:tcBorders>
          </w:tcPr>
          <w:p w14:paraId="64DC6D98" w14:textId="77777777" w:rsidR="00C3779E" w:rsidRPr="002953E4" w:rsidRDefault="00C3779E" w:rsidP="00E207C4">
            <w:pPr>
              <w:jc w:val="center"/>
              <w:rPr>
                <w:szCs w:val="21"/>
              </w:rPr>
            </w:pPr>
            <w:r w:rsidRPr="002953E4">
              <w:rPr>
                <w:szCs w:val="21"/>
              </w:rPr>
              <w:t>Other</w:t>
            </w:r>
          </w:p>
        </w:tc>
        <w:tc>
          <w:tcPr>
            <w:tcW w:w="1843" w:type="dxa"/>
            <w:tcBorders>
              <w:top w:val="nil"/>
              <w:bottom w:val="single" w:sz="4" w:space="0" w:color="auto"/>
            </w:tcBorders>
          </w:tcPr>
          <w:p w14:paraId="77655EEB" w14:textId="77777777" w:rsidR="00C3779E" w:rsidRPr="002953E4" w:rsidRDefault="00C3779E" w:rsidP="00E207C4">
            <w:pPr>
              <w:jc w:val="center"/>
              <w:rPr>
                <w:szCs w:val="21"/>
              </w:rPr>
            </w:pPr>
            <w:r w:rsidRPr="002953E4">
              <w:rPr>
                <w:szCs w:val="21"/>
              </w:rPr>
              <w:t>Structure steel</w:t>
            </w:r>
          </w:p>
        </w:tc>
        <w:tc>
          <w:tcPr>
            <w:tcW w:w="1559" w:type="dxa"/>
            <w:gridSpan w:val="2"/>
            <w:tcBorders>
              <w:top w:val="nil"/>
              <w:bottom w:val="single" w:sz="4" w:space="0" w:color="auto"/>
            </w:tcBorders>
          </w:tcPr>
          <w:p w14:paraId="06F7637F" w14:textId="77777777" w:rsidR="00C3779E" w:rsidRPr="002953E4" w:rsidRDefault="00C3779E" w:rsidP="00E207C4">
            <w:pPr>
              <w:jc w:val="center"/>
              <w:rPr>
                <w:szCs w:val="21"/>
              </w:rPr>
            </w:pPr>
            <w:r w:rsidRPr="002953E4">
              <w:rPr>
                <w:szCs w:val="21"/>
              </w:rPr>
              <w:t>0.3</w:t>
            </w:r>
          </w:p>
        </w:tc>
        <w:tc>
          <w:tcPr>
            <w:tcW w:w="2977" w:type="dxa"/>
            <w:gridSpan w:val="2"/>
            <w:tcBorders>
              <w:top w:val="nil"/>
              <w:bottom w:val="single" w:sz="4" w:space="0" w:color="auto"/>
            </w:tcBorders>
          </w:tcPr>
          <w:p w14:paraId="5BB0B802" w14:textId="77777777" w:rsidR="00C3779E" w:rsidRPr="002953E4" w:rsidRDefault="00C3779E" w:rsidP="00E207C4">
            <w:pPr>
              <w:jc w:val="center"/>
              <w:rPr>
                <w:szCs w:val="21"/>
              </w:rPr>
            </w:pPr>
            <w:r w:rsidRPr="002953E4">
              <w:rPr>
                <w:szCs w:val="21"/>
              </w:rPr>
              <w:t>7850</w:t>
            </w:r>
          </w:p>
        </w:tc>
      </w:tr>
    </w:tbl>
    <w:p w14:paraId="23AF6287" w14:textId="61CE2856" w:rsidR="000E51B1" w:rsidRDefault="000E51B1" w:rsidP="000E51B1">
      <w:pPr>
        <w:spacing w:beforeLines="100" w:before="312" w:afterLines="100" w:after="312"/>
        <w:rPr>
          <w:b/>
          <w:sz w:val="28"/>
        </w:rPr>
      </w:pPr>
      <w:commentRangeStart w:id="8"/>
      <w:r>
        <w:rPr>
          <w:rFonts w:hint="eastAsia"/>
          <w:b/>
          <w:bCs/>
          <w:sz w:val="28"/>
          <w:szCs w:val="28"/>
        </w:rPr>
        <w:t>1</w:t>
      </w:r>
      <w:r w:rsidRPr="0050692D">
        <w:rPr>
          <w:b/>
          <w:bCs/>
          <w:sz w:val="28"/>
          <w:szCs w:val="28"/>
        </w:rPr>
        <w:t xml:space="preserve"> </w:t>
      </w:r>
      <w:r>
        <w:rPr>
          <w:b/>
          <w:sz w:val="28"/>
        </w:rPr>
        <w:t>M</w:t>
      </w:r>
      <w:r>
        <w:rPr>
          <w:rFonts w:hint="eastAsia"/>
          <w:b/>
          <w:sz w:val="28"/>
        </w:rPr>
        <w:t>aterials</w:t>
      </w:r>
      <w:r>
        <w:rPr>
          <w:b/>
          <w:sz w:val="28"/>
        </w:rPr>
        <w:t xml:space="preserve"> </w:t>
      </w:r>
      <w:r>
        <w:rPr>
          <w:rFonts w:hint="eastAsia"/>
          <w:b/>
          <w:sz w:val="28"/>
        </w:rPr>
        <w:t>and</w:t>
      </w:r>
      <w:r>
        <w:rPr>
          <w:b/>
          <w:sz w:val="28"/>
        </w:rPr>
        <w:t xml:space="preserve"> </w:t>
      </w:r>
      <w:r w:rsidR="00805153">
        <w:rPr>
          <w:rFonts w:hint="eastAsia"/>
          <w:b/>
          <w:sz w:val="28"/>
        </w:rPr>
        <w:t>m</w:t>
      </w:r>
      <w:r>
        <w:rPr>
          <w:rFonts w:hint="eastAsia"/>
          <w:b/>
          <w:sz w:val="28"/>
        </w:rPr>
        <w:t>ethods</w:t>
      </w:r>
      <w:commentRangeEnd w:id="8"/>
      <w:r>
        <w:rPr>
          <w:rStyle w:val="CommentReference"/>
        </w:rPr>
        <w:commentReference w:id="8"/>
      </w:r>
    </w:p>
    <w:p w14:paraId="6E45887D" w14:textId="1E4CA610" w:rsidR="00BE53A0" w:rsidRDefault="00BE53A0" w:rsidP="000E51B1">
      <w:pPr>
        <w:spacing w:beforeLines="100" w:before="312" w:afterLines="100" w:after="312"/>
        <w:rPr>
          <w:b/>
          <w:bCs/>
          <w:sz w:val="28"/>
          <w:szCs w:val="28"/>
        </w:rPr>
      </w:pPr>
      <w:commentRangeStart w:id="6"/>
      <w:r w:rsidRPr="00BE53A0">
        <w:rPr>
          <w:rFonts w:hint="eastAsia"/>
          <w:b/>
          <w:bCs/>
          <w:sz w:val="28"/>
          <w:szCs w:val="28"/>
        </w:rPr>
        <w:t>1.1 Materials</w:t>
      </w:r>
      <w:commentRangeEnd w:id="6"/>
      <w:r>
        <w:rPr>
          <w:rStyle w:val="CommentReference"/>
        </w:rPr>
        <w:commentReference w:id="6"/>
      </w:r>
    </w:p>
    <w:p w14:paraId="0449F6BA" w14:textId="7504329F" w:rsidR="00386345" w:rsidRDefault="00E35777" w:rsidP="00386345">
      <w:pPr>
        <w:spacing w:line="312" w:lineRule="auto"/>
        <w:ind w:firstLine="420"/>
        <w:rPr>
          <w:szCs w:val="20"/>
        </w:rPr>
      </w:pPr>
      <w:commentRangeStart w:id="11"/>
      <w:r>
        <w:rPr>
          <w:szCs w:val="20"/>
        </w:rPr>
        <w:t>S</w:t>
      </w:r>
      <w:r>
        <w:rPr>
          <w:rFonts w:hint="eastAsia"/>
          <w:szCs w:val="20"/>
        </w:rPr>
        <w:t>askjldjaslj asjdkas asjdkj aksjdjas jkjdasjk jasjdkajskd jasj kjdasj kajsjd asjk jkasj djasj kdjaskj djakskj dasj jdasjkjakj jaksdjasj jdajs dajs jkjasjd jask djas jdajk.</w:t>
      </w:r>
      <w:commentRangeEnd w:id="11"/>
      <w:r>
        <w:rPr>
          <w:rStyle w:val="CommentReference"/>
        </w:rPr>
        <w:commentReference w:id="11"/>
      </w:r>
    </w:p>
    <w:p w14:paraId="093A2E24" w14:textId="26DDE109" w:rsidR="00386345" w:rsidRDefault="00386345" w:rsidP="00386345">
      <w:pPr>
        <w:spacing w:beforeLines="100" w:before="312" w:afterLines="100" w:after="312"/>
        <w:rPr>
          <w:b/>
          <w:bCs/>
          <w:sz w:val="28"/>
          <w:szCs w:val="28"/>
        </w:rPr>
      </w:pPr>
      <w:commentRangeStart w:id="7"/>
      <w:r w:rsidRPr="00BE53A0">
        <w:rPr>
          <w:rFonts w:hint="eastAsia"/>
          <w:b/>
          <w:bCs/>
          <w:sz w:val="28"/>
          <w:szCs w:val="28"/>
        </w:rPr>
        <w:t>1.1</w:t>
      </w:r>
      <w:r>
        <w:rPr>
          <w:rFonts w:hint="eastAsia"/>
          <w:b/>
          <w:bCs/>
          <w:sz w:val="28"/>
          <w:szCs w:val="28"/>
        </w:rPr>
        <w:t>.1</w:t>
      </w:r>
      <w:r w:rsidRPr="00BE53A0">
        <w:rPr>
          <w:rFonts w:hint="eastAsia"/>
          <w:b/>
          <w:bCs/>
          <w:sz w:val="28"/>
          <w:szCs w:val="28"/>
        </w:rPr>
        <w:t xml:space="preserve"> Materials</w:t>
      </w:r>
      <w:r>
        <w:rPr>
          <w:rFonts w:hint="eastAsia"/>
          <w:b/>
          <w:bCs/>
          <w:sz w:val="28"/>
          <w:szCs w:val="28"/>
        </w:rPr>
        <w:t>s</w:t>
      </w:r>
      <w:commentRangeEnd w:id="7"/>
      <w:r>
        <w:rPr>
          <w:rStyle w:val="CommentReference"/>
        </w:rPr>
        <w:commentReference w:id="7"/>
      </w:r>
    </w:p>
    <w:p w14:paraId="3BE20212" w14:textId="43D54076" w:rsidR="00386345" w:rsidRPr="00386345" w:rsidRDefault="003F5E81" w:rsidP="003F5E81">
      <w:pPr>
        <w:spacing w:beforeLines="100" w:before="312" w:afterLines="100" w:after="312"/>
        <w:ind w:firstLineChars="200" w:firstLine="420"/>
        <w:rPr>
          <w:b/>
          <w:bCs/>
          <w:sz w:val="28"/>
          <w:szCs w:val="28"/>
        </w:rPr>
      </w:pPr>
      <w:commentRangeStart w:id="12"/>
      <w:r w:rsidRPr="00020540">
        <w:rPr>
          <w:szCs w:val="20"/>
        </w:rPr>
        <w:t>topic at present</w:t>
      </w:r>
      <w:r w:rsidRPr="00020540">
        <w:rPr>
          <w:noProof/>
          <w:szCs w:val="20"/>
          <w:vertAlign w:val="superscript"/>
        </w:rPr>
        <w:t>[7-9]</w:t>
      </w:r>
      <w:r w:rsidRPr="00020540">
        <w:rPr>
          <w:szCs w:val="20"/>
        </w:rPr>
        <w:t>. MXene is an emerging class of two-dimensional (2D) transition metal carbides or nitrides</w:t>
      </w:r>
      <w:r w:rsidRPr="00020540">
        <w:rPr>
          <w:noProof/>
          <w:szCs w:val="20"/>
          <w:vertAlign w:val="superscript"/>
        </w:rPr>
        <w:t>[10-12]</w:t>
      </w:r>
      <w:r w:rsidRPr="00020540">
        <w:rPr>
          <w:szCs w:val="20"/>
        </w:rPr>
        <w:t xml:space="preserve"> </w:t>
      </w:r>
      <w:r w:rsidRPr="00020540">
        <w:rPr>
          <w:rFonts w:hint="eastAsia"/>
          <w:szCs w:val="20"/>
        </w:rPr>
        <w:t>with</w:t>
      </w:r>
      <w:r w:rsidRPr="00020540">
        <w:rPr>
          <w:szCs w:val="20"/>
        </w:rPr>
        <w:t xml:space="preserve"> exhibit excellent conductivity</w:t>
      </w:r>
      <w:r w:rsidRPr="00020540">
        <w:rPr>
          <w:noProof/>
          <w:szCs w:val="20"/>
          <w:vertAlign w:val="superscript"/>
        </w:rPr>
        <w:t>[13]</w:t>
      </w:r>
      <w:r w:rsidRPr="00020540">
        <w:rPr>
          <w:szCs w:val="20"/>
        </w:rPr>
        <w:t>, highly tunable composition</w:t>
      </w:r>
      <w:r w:rsidRPr="00020540">
        <w:rPr>
          <w:noProof/>
          <w:szCs w:val="20"/>
          <w:vertAlign w:val="superscript"/>
        </w:rPr>
        <w:t>[14]</w:t>
      </w:r>
      <w:r w:rsidRPr="00020540">
        <w:rPr>
          <w:szCs w:val="20"/>
        </w:rPr>
        <w:t>, and surface functional groups</w:t>
      </w:r>
      <w:r w:rsidRPr="00020540">
        <w:rPr>
          <w:noProof/>
          <w:szCs w:val="20"/>
          <w:vertAlign w:val="superscript"/>
        </w:rPr>
        <w:t>[15]</w:t>
      </w:r>
      <w:r w:rsidRPr="00020540">
        <w:rPr>
          <w:szCs w:val="20"/>
        </w:rPr>
        <w:t xml:space="preserve">, </w:t>
      </w:r>
      <w:r w:rsidRPr="00020540">
        <w:rPr>
          <w:rFonts w:hint="eastAsia"/>
          <w:szCs w:val="20"/>
        </w:rPr>
        <w:t>hold</w:t>
      </w:r>
      <w:r w:rsidRPr="00020540">
        <w:rPr>
          <w:szCs w:val="20"/>
        </w:rPr>
        <w:t xml:space="preserve">ing </w:t>
      </w:r>
      <w:r w:rsidRPr="00020540">
        <w:rPr>
          <w:rFonts w:hint="eastAsia"/>
          <w:szCs w:val="20"/>
        </w:rPr>
        <w:t>great</w:t>
      </w:r>
      <w:r w:rsidRPr="00020540">
        <w:rPr>
          <w:szCs w:val="20"/>
        </w:rPr>
        <w:t xml:space="preserve"> </w:t>
      </w:r>
      <w:r w:rsidRPr="00020540">
        <w:rPr>
          <w:rFonts w:hint="eastAsia"/>
          <w:szCs w:val="20"/>
        </w:rPr>
        <w:t>potential</w:t>
      </w:r>
      <w:r w:rsidRPr="00020540">
        <w:rPr>
          <w:szCs w:val="20"/>
        </w:rPr>
        <w:t xml:space="preserve"> in HER</w:t>
      </w:r>
      <w:r w:rsidRPr="00020540">
        <w:rPr>
          <w:noProof/>
          <w:szCs w:val="20"/>
          <w:vertAlign w:val="superscript"/>
        </w:rPr>
        <w:t>[16]</w:t>
      </w:r>
      <w:r w:rsidRPr="00020540">
        <w:rPr>
          <w:szCs w:val="20"/>
        </w:rPr>
        <w:t xml:space="preserve">. However, MXene nanosheet has a large aspect ratio structure, </w:t>
      </w:r>
      <w:r w:rsidRPr="00020540">
        <w:rPr>
          <w:rFonts w:hint="eastAsia"/>
          <w:szCs w:val="20"/>
        </w:rPr>
        <w:t>which</w:t>
      </w:r>
      <w:r w:rsidRPr="00020540">
        <w:rPr>
          <w:szCs w:val="20"/>
        </w:rPr>
        <w:t xml:space="preserve"> mainly exposes in-</w:t>
      </w:r>
      <w:commentRangeEnd w:id="12"/>
      <w:r>
        <w:rPr>
          <w:rStyle w:val="CommentReference"/>
        </w:rPr>
        <w:commentReference w:id="12"/>
      </w:r>
    </w:p>
    <w:p w14:paraId="69D3FAD0" w14:textId="77777777" w:rsidR="00386345" w:rsidRPr="00386345" w:rsidRDefault="00386345" w:rsidP="000E51B1">
      <w:pPr>
        <w:spacing w:beforeLines="100" w:before="312" w:afterLines="100" w:after="312"/>
        <w:rPr>
          <w:b/>
          <w:bCs/>
          <w:sz w:val="28"/>
          <w:szCs w:val="28"/>
        </w:rPr>
      </w:pPr>
    </w:p>
    <w:p w14:paraId="274614CB" w14:textId="77777777" w:rsidR="00386345" w:rsidRPr="00BE53A0" w:rsidRDefault="00386345" w:rsidP="000E51B1">
      <w:pPr>
        <w:spacing w:beforeLines="100" w:before="312" w:afterLines="100" w:after="312"/>
        <w:rPr>
          <w:b/>
          <w:bCs/>
          <w:sz w:val="28"/>
          <w:szCs w:val="28"/>
        </w:rPr>
      </w:pPr>
    </w:p>
    <w:p w14:paraId="212856CE" w14:textId="73E5DBE8" w:rsidR="00C3779E" w:rsidRDefault="00385589" w:rsidP="00385589">
      <w:pPr>
        <w:pStyle w:val="af8"/>
        <w:textAlignment w:val="center"/>
        <w:rPr>
          <w:color w:val="000000" w:themeColor="text1"/>
          <w:szCs w:val="21"/>
          <w:lang w:val="en-US"/>
        </w:rPr>
      </w:pPr>
      <w:r w:rsidRPr="00517D5D">
        <w:rPr>
          <w:noProof/>
        </w:rPr>
        <w:drawing>
          <wp:inline distT="0" distB="0" distL="0" distR="0" wp14:anchorId="5432586E" wp14:editId="2A774543">
            <wp:extent cx="4017683" cy="1440000"/>
            <wp:effectExtent l="0" t="0" r="1905" b="8255"/>
            <wp:docPr id="20378636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3607" name="图片 2037863607"/>
                    <pic:cNvPicPr/>
                  </pic:nvPicPr>
                  <pic:blipFill>
                    <a:blip r:embed="rId8">
                      <a:extLst>
                        <a:ext uri="{28A0092B-C50C-407E-A947-70E740481C1C}">
                          <a14:useLocalDpi xmlns:a14="http://schemas.microsoft.com/office/drawing/2010/main" val="0"/>
                        </a:ext>
                      </a:extLst>
                    </a:blip>
                    <a:stretch>
                      <a:fillRect/>
                    </a:stretch>
                  </pic:blipFill>
                  <pic:spPr>
                    <a:xfrm>
                      <a:off x="0" y="0"/>
                      <a:ext cx="4017683" cy="1440000"/>
                    </a:xfrm>
                    <a:prstGeom prst="rect">
                      <a:avLst/>
                    </a:prstGeom>
                  </pic:spPr>
                </pic:pic>
              </a:graphicData>
            </a:graphic>
          </wp:inline>
        </w:drawing>
      </w:r>
    </w:p>
    <w:p w14:paraId="001A53E2" w14:textId="37C1A7CD" w:rsidR="00385589" w:rsidRDefault="00840269" w:rsidP="00840269">
      <w:pPr>
        <w:pStyle w:val="af8"/>
        <w:jc w:val="both"/>
        <w:textAlignment w:val="center"/>
        <w:rPr>
          <w:spacing w:val="-2"/>
          <w:position w:val="-6"/>
        </w:rPr>
      </w:pPr>
      <w:commentRangeStart w:id="14"/>
      <w:commentRangeStart w:id="15"/>
      <w:r w:rsidRPr="00517D5D">
        <w:rPr>
          <w:spacing w:val="-2"/>
          <w:position w:val="-6"/>
        </w:rPr>
        <w:t>Fig. 5</w:t>
      </w:r>
      <w:r w:rsidRPr="00517D5D">
        <w:rPr>
          <w:spacing w:val="-2"/>
          <w:position w:val="-6"/>
        </w:rPr>
        <w:tab/>
        <w:t xml:space="preserve"> Comparison of theoretical and experimental real part of acoustic </w:t>
      </w:r>
      <w:bookmarkStart w:id="7" w:name="_Hlk192568316"/>
      <w:r w:rsidRPr="00517D5D">
        <w:rPr>
          <w:spacing w:val="-2"/>
          <w:position w:val="-6"/>
        </w:rPr>
        <w:t>impedance</w:t>
      </w:r>
      <w:commentRangeEnd w:id="14"/>
      <w:r>
        <w:rPr>
          <w:rStyle w:val="CommentReference"/>
        </w:rPr>
        <w:commentReference w:id="14"/>
      </w:r>
      <w:commentRangeEnd w:id="15"/>
      <w:r>
        <w:rPr>
          <w:rStyle w:val="CommentReference"/>
        </w:rPr>
        <w:commentReference w:id="15"/>
      </w:r>
      <w:bookmarkEnd w:id="7"/>
    </w:p>
    <w:p w14:paraId="3CA4C57B" w14:textId="7DAFFFC0" w:rsidR="002A3AD3" w:rsidRPr="002A3AD3" w:rsidRDefault="002A3AD3" w:rsidP="00840269">
      <w:pPr>
        <w:pStyle w:val="af8"/>
        <w:jc w:val="both"/>
        <w:textAlignment w:val="center"/>
        <w:rPr>
          <w:rFonts w:hint="eastAsia"/>
          <w:color w:val="000000" w:themeColor="text1"/>
          <w:szCs w:val="21"/>
        </w:rPr>
      </w:pPr>
      <w:commentRangeStart w:id="16"/>
      <w:r>
        <w:rPr>
          <w:noProof/>
        </w:rPr>
        <w:drawing>
          <wp:anchor distT="0" distB="0" distL="114300" distR="114300" simplePos="0" relativeHeight="251659264" behindDoc="0" locked="0" layoutInCell="1" allowOverlap="1" wp14:anchorId="63F3729E" wp14:editId="0D80F9A2">
            <wp:simplePos x="0" y="0"/>
            <wp:positionH relativeFrom="column">
              <wp:posOffset>0</wp:posOffset>
            </wp:positionH>
            <wp:positionV relativeFrom="paragraph">
              <wp:posOffset>-635</wp:posOffset>
            </wp:positionV>
            <wp:extent cx="3718560" cy="2562225"/>
            <wp:effectExtent l="0" t="0" r="0" b="0"/>
            <wp:wrapNone/>
            <wp:docPr id="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pic:cNvPicPr>
                      <a:picLocks noChangeAspect="1"/>
                    </pic:cNvPicPr>
                  </pic:nvPicPr>
                  <pic:blipFill>
                    <a:blip r:embed="rId9">
                      <a:extLst>
                        <a:ext uri="{28A0092B-C50C-407E-A947-70E740481C1C}">
                          <a14:useLocalDpi xmlns:a14="http://schemas.microsoft.com/office/drawing/2010/main" val="0"/>
                        </a:ext>
                      </a:extLst>
                    </a:blip>
                    <a:stretch>
                      <a:fillRect/>
                    </a:stretch>
                  </pic:blipFill>
                  <pic:spPr>
                    <a:xfrm>
                      <a:off x="0" y="0"/>
                      <a:ext cx="3718560" cy="2562225"/>
                    </a:xfrm>
                    <a:prstGeom prst="rect">
                      <a:avLst/>
                    </a:prstGeom>
                  </pic:spPr>
                </pic:pic>
              </a:graphicData>
            </a:graphic>
          </wp:anchor>
        </w:drawing>
      </w:r>
      <w:commentRangeEnd w:id="16"/>
      <w:r>
        <w:rPr>
          <w:rStyle w:val="CommentReference"/>
        </w:rPr>
        <w:commentReference w:id="16"/>
      </w:r>
    </w:p>
    <w:sectPr w:rsidR="002A3AD3" w:rsidRPr="002A3AD3">
      <w:pgSz w:w="11906" w:h="16838"/>
      <w:pgMar w:top="1440" w:right="1800" w:bottom="1440" w:left="1800" w:header="851" w:footer="992" w:gutter="0"/>
      <w:cols w:space="425"/>
      <w:docGrid w:type="lines" w:linePitch="312"/>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论文检测系统" w:initials="PDS" w:date="2025-10-31T07:17:25Z">
    <w:p>
      <w:pPr>
        <w:pStyle w:val="CommentText"/>
      </w:pPr>
      <w:r>
        <w:rPr>
          <w:rStyle w:val="CommentReference"/>
        </w:rPr>
        <w:annotationRef/>
      </w:r>
      <w:r>
        <w:t>[Title-format_title]</w:t>
      </w:r>
    </w:p>
    <w:p>
      <w:pPr>
        <w:pStyle w:val="CommentText"/>
      </w:pPr>
      <w:r>
        <w:t>• 标题格式问题：</w:t>
      </w:r>
    </w:p>
    <w:p>
      <w:pPr>
        <w:pStyle w:val="CommentText"/>
      </w:pPr>
      <w:r>
        <w:t>•   - 字体大小应为四号 (14.0pt)，实际为三号 (16.0pt)</w:t>
      </w:r>
    </w:p>
  </w:comment>
  <w:comment w:id="1" w:author="论文检测系统" w:initials="PDS" w:date="2025-10-31T07:17:25Z">
    <w:p>
      <w:pPr>
        <w:pStyle w:val="CommentText"/>
      </w:pPr>
      <w:r>
        <w:rPr>
          <w:rStyle w:val="CommentReference"/>
        </w:rPr>
        <w:annotationRef/>
      </w:r>
      <w:r>
        <w:t>[Title-format_authors]</w:t>
      </w:r>
    </w:p>
    <w:p>
      <w:pPr>
        <w:pStyle w:val="CommentText"/>
      </w:pPr>
      <w:r>
        <w:t>• 作者格式问题：</w:t>
      </w:r>
    </w:p>
    <w:p>
      <w:pPr>
        <w:pStyle w:val="CommentText"/>
      </w:pPr>
      <w:r>
        <w:t>•   - 段前间距应为0.0行，实际为1.3行</w:t>
      </w:r>
    </w:p>
    <w:p>
      <w:pPr>
        <w:pStyle w:val="CommentText"/>
      </w:pPr>
      <w:r>
        <w:t>•   - 段后间距应为0.0行，实际为1.3行</w:t>
      </w:r>
    </w:p>
  </w:comment>
  <w:comment w:id="2" w:author="论文检测系统" w:initials="PDS" w:date="2025-10-31T07:17:25Z">
    <w:p>
      <w:pPr>
        <w:pStyle w:val="CommentText"/>
      </w:pPr>
      <w:r>
        <w:rPr>
          <w:rStyle w:val="CommentReference"/>
        </w:rPr>
        <w:annotationRef/>
      </w:r>
      <w:r>
        <w:t>[Abstract-format]</w:t>
      </w:r>
    </w:p>
    <w:p>
      <w:pPr>
        <w:pStyle w:val="CommentText"/>
      </w:pPr>
      <w:r>
        <w:t>• 摘要格式问题：</w:t>
      </w:r>
    </w:p>
    <w:p>
      <w:pPr>
        <w:pStyle w:val="CommentText"/>
      </w:pPr>
      <w:r>
        <w:t>•   - 行间距应为1.5倍行距（1.5倍），实际为单倍行距（1.0倍）</w:t>
      </w:r>
    </w:p>
  </w:comment>
  <w:comment w:id="3" w:author="论文检测系统" w:initials="PDS" w:date="2025-10-31T07:17:25Z">
    <w:p>
      <w:pPr>
        <w:pStyle w:val="CommentText"/>
      </w:pPr>
      <w:r>
        <w:rPr>
          <w:rStyle w:val="CommentReference"/>
        </w:rPr>
        <w:annotationRef/>
      </w:r>
      <w:r>
        <w:t>[Keywords-structure]</w:t>
      </w:r>
    </w:p>
    <w:p>
      <w:pPr>
        <w:pStyle w:val="CommentText"/>
      </w:pPr>
      <w:r>
        <w:t>• 关键词标题格式正确（Keywords: 格式）</w:t>
      </w:r>
    </w:p>
    <w:p>
      <w:pPr>
        <w:pStyle w:val="CommentText"/>
      </w:pPr>
      <w:r>
        <w:t>• 关键词分隔符混用：应统一使用分号分割，不应混用逗号</w:t>
      </w:r>
    </w:p>
    <w:p>
      <w:pPr>
        <w:pStyle w:val="CommentText"/>
      </w:pPr>
      <w:r>
        <w:t>• 关键词数量适中（3个关键词）</w:t>
      </w:r>
    </w:p>
    <w:p>
      <w:pPr>
        <w:pStyle w:val="CommentText"/>
      </w:pPr>
      <w:r>
        <w:t>• 关键词内容长度适中</w:t>
      </w:r>
    </w:p>
  </w:comment>
  <w:comment w:id="4" w:author="论文检测系统" w:initials="PDS" w:date="2025-10-31T07:17:25Z">
    <w:p>
      <w:pPr>
        <w:pStyle w:val="CommentText"/>
      </w:pPr>
      <w:r>
        <w:rPr>
          <w:rStyle w:val="CommentReference"/>
        </w:rPr>
        <w:annotationRef/>
      </w:r>
      <w:r>
        <w:t>[Keywords-format]</w:t>
      </w:r>
    </w:p>
    <w:p>
      <w:pPr>
        <w:pStyle w:val="CommentText"/>
      </w:pPr>
      <w:r>
        <w:t>• 关键词格式问题：</w:t>
      </w:r>
    </w:p>
    <w:p>
      <w:pPr>
        <w:pStyle w:val="CommentText"/>
      </w:pPr>
      <w:r>
        <w:t>•   - 字体应为正体，实际为斜体</w:t>
      </w:r>
    </w:p>
  </w:comment>
  <w:comment w:id="5" w:author="论文检测系统" w:initials="PDS" w:date="2025-10-31T07:17:25Z">
    <w:p>
      <w:pPr>
        <w:pStyle w:val="CommentText"/>
      </w:pPr>
      <w:r>
        <w:rPr>
          <w:rStyle w:val="CommentReference"/>
        </w:rPr>
        <w:annotationRef/>
      </w:r>
      <w:r>
        <w:t>[Keywords-footnote_format]</w:t>
      </w:r>
    </w:p>
    <w:p>
      <w:pPr>
        <w:pStyle w:val="CommentText"/>
      </w:pPr>
      <w:r>
        <w:t>• 脚注格式问题：</w:t>
      </w:r>
    </w:p>
    <w:p>
      <w:pPr>
        <w:pStyle w:val="CommentText"/>
      </w:pPr>
      <w:r>
        <w:t>•   - 脚注字体大小应为小五（9.0pt），实际为五号（11.0pt）</w:t>
      </w:r>
    </w:p>
  </w:comment>
  <w:comment w:id="6" w:author="论文检测系统" w:initials="PDS" w:date="2025-10-31T07:17:25Z">
    <w:p>
      <w:pPr>
        <w:pStyle w:val="CommentText"/>
      </w:pPr>
      <w:r>
        <w:rPr>
          <w:rStyle w:val="CommentReference"/>
        </w:rPr>
        <w:annotationRef/>
      </w:r>
      <w:r>
        <w:t>[Content-format]</w:t>
      </w:r>
    </w:p>
    <w:p>
      <w:pPr>
        <w:pStyle w:val="CommentText"/>
      </w:pPr>
      <w:r>
        <w:t>•   - 标题 'Materials' 字体大小应为五号（10.5pt），实际为四号（14.0pt）</w:t>
      </w:r>
    </w:p>
    <w:p>
      <w:pPr>
        <w:pStyle w:val="CommentText"/>
      </w:pPr>
      <w:r>
        <w:t>•   - 标题 'Materials' 段前间距应为0.0行，实际为1.3行</w:t>
      </w:r>
    </w:p>
    <w:p>
      <w:pPr>
        <w:pStyle w:val="CommentText"/>
      </w:pPr>
      <w:r>
        <w:t>•   - 标题 'Materials' 段后间距应为0.0行，实际为1.3行</w:t>
      </w:r>
    </w:p>
  </w:comment>
  <w:comment w:id="7" w:author="论文检测系统" w:initials="PDS" w:date="2025-10-31T07:17:25Z">
    <w:p>
      <w:pPr>
        <w:pStyle w:val="CommentText"/>
      </w:pPr>
      <w:r>
        <w:rPr>
          <w:rStyle w:val="CommentReference"/>
        </w:rPr>
        <w:annotationRef/>
      </w:r>
      <w:r>
        <w:t>[Content-format]</w:t>
      </w:r>
    </w:p>
    <w:p>
      <w:pPr>
        <w:pStyle w:val="CommentText"/>
      </w:pPr>
      <w:r>
        <w:t>•   - 标题 'Materialss' 字体大小应为五号（10.5pt），实际为四号（14.0pt）</w:t>
      </w:r>
    </w:p>
    <w:p>
      <w:pPr>
        <w:pStyle w:val="CommentText"/>
      </w:pPr>
      <w:r>
        <w:t>•   - 标题 'Materialss' 段前间距应为0.0行，实际为1.3行</w:t>
      </w:r>
    </w:p>
    <w:p>
      <w:pPr>
        <w:pStyle w:val="CommentText"/>
      </w:pPr>
      <w:r>
        <w:t>•   - 标题 'Materialss' 段后间距应为0.0行，实际为1.3行</w:t>
      </w:r>
    </w:p>
  </w:comment>
  <w:comment w:id="8" w:author="论文检测系统" w:initials="PDS" w:date="2025-10-31T07:17:25Z">
    <w:p>
      <w:pPr>
        <w:pStyle w:val="CommentText"/>
      </w:pPr>
      <w:r>
        <w:rPr>
          <w:rStyle w:val="CommentReference"/>
        </w:rPr>
        <w:annotationRef/>
      </w:r>
      <w:r>
        <w:t>[Content-case]</w:t>
      </w:r>
    </w:p>
    <w:p>
      <w:pPr>
        <w:pStyle w:val="CommentText"/>
      </w:pPr>
      <w:r>
        <w:t>•   - 一级标题 'Materials and methods' 大小写不正确，应为 'Materials and Methods'</w:t>
      </w:r>
    </w:p>
  </w:comment>
  <w:comment w:id="9" w:author="论文检测系统" w:initials="PDS" w:date="2025-10-31T07:17:25Z">
    <w:p>
      <w:pPr>
        <w:pStyle w:val="CommentText"/>
      </w:pPr>
      <w:r>
        <w:rPr>
          <w:rStyle w:val="CommentReference"/>
        </w:rPr>
        <w:annotationRef/>
      </w:r>
      <w:r>
        <w:t>[Content-content_format_para1]</w:t>
      </w:r>
    </w:p>
    <w:p>
      <w:pPr>
        <w:pStyle w:val="CommentText"/>
      </w:pPr>
      <w:r>
        <w:t>•   - 正文段落 1 行间距应为1.5倍行距（1.5倍），实际为1.15倍行距（1.3倍）</w:t>
      </w:r>
    </w:p>
  </w:comment>
  <w:comment w:id="10" w:author="论文检测系统" w:initials="PDS" w:date="2025-10-31T07:17:25Z">
    <w:p>
      <w:pPr>
        <w:pStyle w:val="CommentText"/>
      </w:pPr>
      <w:r>
        <w:rPr>
          <w:rStyle w:val="CommentReference"/>
        </w:rPr>
        <w:annotationRef/>
      </w:r>
      <w:r>
        <w:t>[Content-content_format_para2]</w:t>
      </w:r>
    </w:p>
    <w:p>
      <w:pPr>
        <w:pStyle w:val="CommentText"/>
      </w:pPr>
      <w:r>
        <w:t>•   - 正文段落 2 行间距应为1.5倍行距（1.5倍），实际为1.15倍行距（1.3倍）</w:t>
      </w:r>
    </w:p>
  </w:comment>
  <w:comment w:id="11" w:author="论文检测系统" w:initials="PDS" w:date="2025-10-31T07:17:25Z">
    <w:p>
      <w:pPr>
        <w:pStyle w:val="CommentText"/>
      </w:pPr>
      <w:r>
        <w:rPr>
          <w:rStyle w:val="CommentReference"/>
        </w:rPr>
        <w:annotationRef/>
      </w:r>
      <w:r>
        <w:t>[Content-content_format_para3]</w:t>
      </w:r>
    </w:p>
    <w:p>
      <w:pPr>
        <w:pStyle w:val="CommentText"/>
      </w:pPr>
      <w:r>
        <w:t>•   - 正文段落 3 行间距应为1.5倍行距（1.5倍），实际为1.15倍行距（1.3倍）</w:t>
      </w:r>
    </w:p>
  </w:comment>
  <w:comment w:id="12" w:author="论文检测系统" w:initials="PDS" w:date="2025-10-31T07:17:25Z">
    <w:p>
      <w:pPr>
        <w:pStyle w:val="CommentText"/>
      </w:pPr>
      <w:r>
        <w:rPr>
          <w:rStyle w:val="CommentReference"/>
        </w:rPr>
        <w:annotationRef/>
      </w:r>
      <w:r>
        <w:t>[Content-content_format_para4]</w:t>
      </w:r>
    </w:p>
    <w:p>
      <w:pPr>
        <w:pStyle w:val="CommentText"/>
      </w:pPr>
      <w:r>
        <w:t>•   - 正文段落 4 行间距应为1.5倍行距（1.5倍），实际为单倍行距（1.0倍）</w:t>
      </w:r>
    </w:p>
  </w:comment>
  <w:comment w:id="13" w:author="论文检测系统" w:initials="PDS" w:date="2025-10-31T07:17:25Z">
    <w:p>
      <w:pPr>
        <w:pStyle w:val="CommentText"/>
      </w:pPr>
      <w:r>
        <w:rPr>
          <w:rStyle w:val="CommentReference"/>
        </w:rPr>
        <w:annotationRef/>
      </w:r>
      <w:r>
        <w:t>[Formula-formula_detection]</w:t>
      </w:r>
    </w:p>
    <w:p>
      <w:pPr>
        <w:pStyle w:val="CommentText"/>
      </w:pPr>
      <w:r>
        <w:t>• 公式段落 1 格式问题：</w:t>
      </w:r>
    </w:p>
    <w:p>
      <w:pPr>
        <w:pStyle w:val="CommentText"/>
      </w:pPr>
      <w:r>
        <w:t>•   - 制表位问题: 制表符使用不足，期望2个，实际1个</w:t>
      </w:r>
    </w:p>
    <w:p>
      <w:pPr>
        <w:pStyle w:val="CommentText"/>
      </w:pPr>
      <w:r>
        <w:t>•   - 制表位问题: 建议：在公式前和公式后都要按Tab键，实现居中和右对齐</w:t>
      </w:r>
    </w:p>
    <w:p>
      <w:pPr>
        <w:pStyle w:val="CommentText"/>
      </w:pPr>
      <w:r>
        <w:t>•   - 检测到制表位: 20字符(center), 40字符(right)</w:t>
      </w:r>
    </w:p>
    <w:p>
      <w:pPr>
        <w:pStyle w:val="CommentText"/>
      </w:pPr>
      <w:r>
        <w:t>•   - 检测到数学内容: m x 1 + c ω x 1 - x 0 + k ω x 1 - x 0 =0</w:t>
      </w:r>
    </w:p>
    <w:p>
      <w:pPr>
        <w:pStyle w:val="CommentText"/>
      </w:pPr>
      <w:r>
        <w:t>• 公式段落 2 格式正确</w:t>
      </w:r>
    </w:p>
    <w:p>
      <w:pPr>
        <w:pStyle w:val="CommentText"/>
      </w:pPr>
      <w:r>
        <w:t>•   - 公式格式检查通过：制表位设置正确，包含数学对象，字体符合要求</w:t>
      </w:r>
    </w:p>
    <w:p>
      <w:pPr>
        <w:pStyle w:val="CommentText"/>
      </w:pPr>
      <w:r>
        <w:t>• 公式段落 3 格式问题：</w:t>
      </w:r>
    </w:p>
    <w:p>
      <w:pPr>
        <w:pStyle w:val="CommentText"/>
      </w:pPr>
      <w:r>
        <w:t>•   - 制表位问题: 制表符使用不足，期望2个，实际1个</w:t>
      </w:r>
    </w:p>
    <w:p>
      <w:pPr>
        <w:pStyle w:val="CommentText"/>
      </w:pPr>
      <w:r>
        <w:t>•   - 制表位问题: 建议：在公式前和公式后都要按Tab键，实现居中和右对齐</w:t>
      </w:r>
    </w:p>
    <w:p>
      <w:pPr>
        <w:pStyle w:val="CommentText"/>
      </w:pPr>
      <w:r>
        <w:t>•   - 未检测到Office Math对象，可能是手动输入的公式</w:t>
      </w:r>
    </w:p>
    <w:p>
      <w:pPr>
        <w:pStyle w:val="CommentText"/>
      </w:pPr>
      <w:r>
        <w:t>•   - 检测到制表位: 20字符(center), 40字符(right)</w:t>
      </w:r>
    </w:p>
    <w:p>
      <w:pPr>
        <w:pStyle w:val="CommentText"/>
      </w:pPr>
      <w:r>
        <w:t>• 公式编号不连续或不从1开始：检测到编号 [2, 2]，期望 [1, 2]</w:t>
      </w:r>
    </w:p>
  </w:comment>
  <w:comment w:id="14" w:author="论文检测系统" w:initials="PDS" w:date="2025-10-31T07:17:25Z">
    <w:p>
      <w:pPr>
        <w:pStyle w:val="CommentText"/>
      </w:pPr>
      <w:r>
        <w:rPr>
          <w:rStyle w:val="CommentReference"/>
        </w:rPr>
        <w:annotationRef/>
      </w:r>
      <w:r>
        <w:t>[Figure-numbering]</w:t>
      </w:r>
    </w:p>
    <w:p>
      <w:pPr>
        <w:pStyle w:val="CommentText"/>
      </w:pPr>
      <w:r>
        <w:t>• 图片编号应从1开始，实际从5开始</w:t>
      </w:r>
    </w:p>
  </w:comment>
  <w:comment w:id="15" w:author="论文检测系统" w:initials="PDS" w:date="2025-10-31T07:17:25Z">
    <w:p>
      <w:pPr>
        <w:pStyle w:val="CommentText"/>
      </w:pPr>
      <w:r>
        <w:rPr>
          <w:rStyle w:val="CommentReference"/>
        </w:rPr>
        <w:annotationRef/>
      </w:r>
      <w:r>
        <w:t>[Figure-figure1_caption]</w:t>
      </w:r>
    </w:p>
    <w:p>
      <w:pPr>
        <w:pStyle w:val="CommentText"/>
      </w:pPr>
      <w:r>
        <w:t>• 图片标题应居中对齐（当前：两端对齐）</w:t>
      </w:r>
    </w:p>
    <w:p>
      <w:pPr>
        <w:pStyle w:val="CommentText"/>
      </w:pPr>
      <w:r>
        <w:t>• 图片标题字体大小应为五号(10.5pt)（期望：五号，实际：小四）</w:t>
      </w:r>
    </w:p>
  </w:comment>
  <w:comment w:id="16" w:author="论文检测系统" w:initials="PDS" w:date="2025-10-31T07:17:25Z">
    <w:p>
      <w:pPr>
        <w:pStyle w:val="CommentText"/>
      </w:pPr>
      <w:r>
        <w:rPr>
          <w:rStyle w:val="CommentReference"/>
        </w:rPr>
        <w:annotationRef/>
      </w:r>
      <w:r>
        <w:t>[Figure-figure2_picture]</w:t>
      </w:r>
    </w:p>
    <w:p>
      <w:pPr>
        <w:pStyle w:val="CommentText"/>
      </w:pPr>
      <w:r>
        <w:t>• 图片应居中对齐（当前：两端对齐）</w:t>
      </w:r>
    </w:p>
  </w:comment>
  <w:comment w:id="17" w:author="论文检测系统" w:initials="PDS" w:date="2025-10-31T07:17:25Z">
    <w:p>
      <w:pPr>
        <w:pStyle w:val="CommentText"/>
      </w:pPr>
      <w:r>
        <w:rPr>
          <w:rStyle w:val="CommentReference"/>
        </w:rPr>
        <w:annotationRef/>
      </w:r>
      <w:r>
        <w:t>[Table-table1_style]</w:t>
      </w:r>
    </w:p>
    <w:p>
      <w:pPr>
        <w:pStyle w:val="CommentText"/>
      </w:pPr>
      <w:r>
        <w:t>• 底线宽度应为1.5磅，实际为0.5磅</w:t>
      </w:r>
    </w:p>
  </w:comment>
</w:comment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3FA5A" w14:textId="77777777" w:rsidR="00CA5499" w:rsidRDefault="00CA5499" w:rsidP="00052993">
      <w:r>
        <w:separator/>
      </w:r>
    </w:p>
  </w:endnote>
  <w:endnote w:type="continuationSeparator" w:id="0">
    <w:p w14:paraId="4ACBEFFB" w14:textId="77777777" w:rsidR="00CA5499" w:rsidRDefault="00CA5499" w:rsidP="0005299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A6C4B5" w14:textId="77777777" w:rsidR="00CA5499" w:rsidRDefault="00CA5499" w:rsidP="00052993">
      <w:pPr>
        <w:ind w:firstLine="480"/>
      </w:pPr>
      <w:r>
        <w:separator/>
      </w:r>
    </w:p>
  </w:footnote>
  <w:footnote w:type="continuationSeparator" w:id="0">
    <w:p w14:paraId="18A1769B" w14:textId="77777777" w:rsidR="00CA5499" w:rsidRDefault="00CA5499" w:rsidP="00052993">
      <w:r>
        <w:continuationSeparator/>
      </w:r>
    </w:p>
  </w:footnote>
  <w:footnote w:id="1">
    <w:p w14:paraId="415534F8" w14:textId="77777777" w:rsidR="00D13EDC" w:rsidRDefault="00D13EDC" w:rsidP="00D13EDC">
      <w:pPr>
        <w:pStyle w:val="af2"/>
        <w:spacing w:before="156" w:after="156"/>
        <w:rPr>
          <w:rFonts w:eastAsia="黑体"/>
        </w:rPr>
      </w:pPr>
      <w:r w:rsidRPr="00AB104D">
        <w:rPr>
          <w:rFonts w:eastAsia="黑体" w:hint="eastAsia"/>
        </w:rPr>
        <w:t xml:space="preserve">Received </w:t>
      </w:r>
      <w:r>
        <w:rPr>
          <w:rFonts w:eastAsia="黑体" w:hint="eastAsia"/>
        </w:rPr>
        <w:t>date:</w:t>
      </w:r>
      <w:r>
        <w:rPr>
          <w:rFonts w:eastAsia="黑体"/>
        </w:rPr>
        <w:t xml:space="preserve"> 2023-10-06</w:t>
      </w:r>
    </w:p>
    <w:p w14:paraId="7CDDE5AE" w14:textId="77777777" w:rsidR="00D13EDC" w:rsidRPr="00E57D8B" w:rsidRDefault="00D13EDC" w:rsidP="00D13EDC">
      <w:pPr>
        <w:pStyle w:val="af2"/>
        <w:spacing w:before="156" w:after="156"/>
        <w:ind w:left="90" w:hangingChars="50" w:hanging="90"/>
        <w:rPr>
          <w:b/>
          <w:color w:val="FF0000"/>
          <w:sz w:val="22"/>
        </w:rPr>
      </w:pPr>
      <w:r w:rsidRPr="00605FF0">
        <w:rPr>
          <w:rFonts w:hint="eastAsia"/>
        </w:rPr>
        <w:t>Foundation item: National Natural Science Foundation of China</w:t>
      </w:r>
      <w:r w:rsidRPr="00605FF0">
        <w:t xml:space="preserve"> </w:t>
      </w:r>
      <w:r w:rsidRPr="00605FF0">
        <w:rPr>
          <w:rFonts w:hint="eastAsia"/>
        </w:rPr>
        <w:t>(No.</w:t>
      </w:r>
      <w:r w:rsidRPr="00605FF0">
        <w:t xml:space="preserve"> </w:t>
      </w:r>
      <w:r w:rsidRPr="00605FF0">
        <w:rPr>
          <w:rFonts w:hint="eastAsia"/>
        </w:rPr>
        <w:t>51705545)</w:t>
      </w:r>
    </w:p>
    <w:p w14:paraId="67C15160" w14:textId="77777777" w:rsidR="00D13EDC" w:rsidRDefault="00D13EDC" w:rsidP="00D13EDC">
      <w:pPr>
        <w:pStyle w:val="af2"/>
        <w:spacing w:before="156" w:after="156"/>
      </w:pPr>
      <w:r w:rsidRPr="00BD6ECA">
        <w:rPr>
          <w:rFonts w:hint="eastAsia"/>
        </w:rPr>
        <w:t>* Correspondence should be addressed to ZHU Congyun</w:t>
      </w:r>
      <w:r>
        <w:t>, e</w:t>
      </w:r>
      <w:r w:rsidRPr="00BD6ECA">
        <w:rPr>
          <w:rFonts w:hint="eastAsia"/>
        </w:rPr>
        <w:t>mail: zcy711126@</w:t>
      </w:r>
      <w:r>
        <w:t xml:space="preserve"> </w:t>
      </w:r>
      <w:r w:rsidRPr="00BD6ECA">
        <w:rPr>
          <w:rFonts w:hint="eastAsia"/>
        </w:rPr>
        <w:t>163</w:t>
      </w:r>
      <w:r>
        <w:rPr>
          <w:rFonts w:hint="eastAsia"/>
        </w:rPr>
        <w:t>.</w:t>
      </w:r>
      <w:r w:rsidRPr="00BD6ECA">
        <w:rPr>
          <w:rFonts w:hint="eastAsia"/>
        </w:rPr>
        <w:t>com</w:t>
      </w:r>
    </w:p>
    <w:p w14:paraId="45F968B9" w14:textId="7E5BB1CE" w:rsidR="00283279" w:rsidRDefault="00D13EDC" w:rsidP="00D13EDC">
      <w:pPr>
        <w:pStyle w:val="af2"/>
      </w:pPr>
      <w:r>
        <w:t>C</w:t>
      </w:r>
      <w:r>
        <w:rPr>
          <w:rFonts w:hint="eastAsia"/>
        </w:rPr>
        <w:t>itation:</w:t>
      </w:r>
      <w:r>
        <w:t xml:space="preserve"> </w:t>
      </w:r>
      <w:r w:rsidRPr="00834B0E">
        <w:t>ZHU C</w:t>
      </w:r>
      <w:r>
        <w:t xml:space="preserve"> Y</w:t>
      </w:r>
      <w:r w:rsidRPr="00834B0E">
        <w:t>, SHAO Z</w:t>
      </w:r>
      <w:r>
        <w:t xml:space="preserve"> Y</w:t>
      </w:r>
      <w:r w:rsidRPr="00834B0E">
        <w:t>, DING G</w:t>
      </w:r>
      <w:r>
        <w:t xml:space="preserve"> F. </w:t>
      </w:r>
      <w:r w:rsidRPr="008E6B79">
        <w:t xml:space="preserve">Calculating sound absorption coefficients of sound-absorbing materials using flow resistivity </w:t>
      </w:r>
      <w:r>
        <w:t xml:space="preserve">[J]. </w:t>
      </w:r>
      <w:r w:rsidRPr="00834B0E">
        <w:rPr>
          <w:i/>
        </w:rPr>
        <w:t>Journal of Donghua University</w:t>
      </w:r>
      <w:r>
        <w:t xml:space="preserve"> (</w:t>
      </w:r>
      <w:r w:rsidRPr="00834B0E">
        <w:rPr>
          <w:i/>
        </w:rPr>
        <w:t>English Edition</w:t>
      </w:r>
      <w:r>
        <w:t>), 2025, 42(2):</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6E0802"/>
    <w:multiLevelType w:val="hybridMultilevel"/>
    <w:tmpl w:val="21C4B4A0"/>
    <w:lvl w:ilvl="0" w:tplc="A3660BD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12153931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43F3"/>
    <w:rsid w:val="00006FED"/>
    <w:rsid w:val="00036535"/>
    <w:rsid w:val="00052612"/>
    <w:rsid w:val="00052993"/>
    <w:rsid w:val="00055262"/>
    <w:rsid w:val="00062C11"/>
    <w:rsid w:val="00070B59"/>
    <w:rsid w:val="000817A4"/>
    <w:rsid w:val="0008241B"/>
    <w:rsid w:val="00086593"/>
    <w:rsid w:val="000921E8"/>
    <w:rsid w:val="00096D2A"/>
    <w:rsid w:val="00097D5C"/>
    <w:rsid w:val="000A1E44"/>
    <w:rsid w:val="000C40B4"/>
    <w:rsid w:val="000C526A"/>
    <w:rsid w:val="000D62BD"/>
    <w:rsid w:val="000D7912"/>
    <w:rsid w:val="000E51B1"/>
    <w:rsid w:val="000E61F4"/>
    <w:rsid w:val="000F3664"/>
    <w:rsid w:val="00103F24"/>
    <w:rsid w:val="00107385"/>
    <w:rsid w:val="0011258E"/>
    <w:rsid w:val="00125FAB"/>
    <w:rsid w:val="00130CC3"/>
    <w:rsid w:val="0013155D"/>
    <w:rsid w:val="00131D1A"/>
    <w:rsid w:val="00132250"/>
    <w:rsid w:val="00187051"/>
    <w:rsid w:val="001976B8"/>
    <w:rsid w:val="001A19A1"/>
    <w:rsid w:val="001A6F39"/>
    <w:rsid w:val="001B3401"/>
    <w:rsid w:val="001C1056"/>
    <w:rsid w:val="001C7390"/>
    <w:rsid w:val="001D2A8F"/>
    <w:rsid w:val="001D6FDD"/>
    <w:rsid w:val="001E790E"/>
    <w:rsid w:val="00206345"/>
    <w:rsid w:val="00206D8B"/>
    <w:rsid w:val="00216C3A"/>
    <w:rsid w:val="002237EF"/>
    <w:rsid w:val="00224F37"/>
    <w:rsid w:val="00230073"/>
    <w:rsid w:val="00232AEA"/>
    <w:rsid w:val="00234A0A"/>
    <w:rsid w:val="002520C1"/>
    <w:rsid w:val="00255623"/>
    <w:rsid w:val="002679EF"/>
    <w:rsid w:val="00275FC4"/>
    <w:rsid w:val="00276142"/>
    <w:rsid w:val="00280358"/>
    <w:rsid w:val="00281080"/>
    <w:rsid w:val="00283279"/>
    <w:rsid w:val="00284E7E"/>
    <w:rsid w:val="002953E4"/>
    <w:rsid w:val="002A0FF7"/>
    <w:rsid w:val="002A1A35"/>
    <w:rsid w:val="002A3AD3"/>
    <w:rsid w:val="002A3D39"/>
    <w:rsid w:val="002A7010"/>
    <w:rsid w:val="002B1BA6"/>
    <w:rsid w:val="002C0F63"/>
    <w:rsid w:val="002C1ABA"/>
    <w:rsid w:val="002D3ED6"/>
    <w:rsid w:val="002E5C33"/>
    <w:rsid w:val="002F31C1"/>
    <w:rsid w:val="002F71BB"/>
    <w:rsid w:val="002F7241"/>
    <w:rsid w:val="003035D8"/>
    <w:rsid w:val="00306481"/>
    <w:rsid w:val="00311344"/>
    <w:rsid w:val="0031457E"/>
    <w:rsid w:val="0033035E"/>
    <w:rsid w:val="003303A4"/>
    <w:rsid w:val="00336B31"/>
    <w:rsid w:val="0034083F"/>
    <w:rsid w:val="00341010"/>
    <w:rsid w:val="00350D96"/>
    <w:rsid w:val="0035707F"/>
    <w:rsid w:val="00361B94"/>
    <w:rsid w:val="00363B1B"/>
    <w:rsid w:val="003731D3"/>
    <w:rsid w:val="003758A7"/>
    <w:rsid w:val="00385589"/>
    <w:rsid w:val="00386345"/>
    <w:rsid w:val="003876DD"/>
    <w:rsid w:val="00393B4C"/>
    <w:rsid w:val="003977A3"/>
    <w:rsid w:val="003C0372"/>
    <w:rsid w:val="003D54FE"/>
    <w:rsid w:val="003E16A4"/>
    <w:rsid w:val="003F5E81"/>
    <w:rsid w:val="00401220"/>
    <w:rsid w:val="00420FB0"/>
    <w:rsid w:val="004211C7"/>
    <w:rsid w:val="004275D6"/>
    <w:rsid w:val="00436D3E"/>
    <w:rsid w:val="004370A1"/>
    <w:rsid w:val="0043710D"/>
    <w:rsid w:val="004465D0"/>
    <w:rsid w:val="00451166"/>
    <w:rsid w:val="00475DD5"/>
    <w:rsid w:val="00494AEC"/>
    <w:rsid w:val="004A0596"/>
    <w:rsid w:val="004A7864"/>
    <w:rsid w:val="004B4E58"/>
    <w:rsid w:val="004B4F11"/>
    <w:rsid w:val="004C203F"/>
    <w:rsid w:val="004C302D"/>
    <w:rsid w:val="004C3FFE"/>
    <w:rsid w:val="004C4664"/>
    <w:rsid w:val="004D6D4D"/>
    <w:rsid w:val="004E1CE4"/>
    <w:rsid w:val="00503F50"/>
    <w:rsid w:val="005046B8"/>
    <w:rsid w:val="0050692D"/>
    <w:rsid w:val="005115D4"/>
    <w:rsid w:val="00513AD8"/>
    <w:rsid w:val="00517009"/>
    <w:rsid w:val="00525603"/>
    <w:rsid w:val="00530745"/>
    <w:rsid w:val="00534215"/>
    <w:rsid w:val="005422DA"/>
    <w:rsid w:val="00543DFA"/>
    <w:rsid w:val="00551591"/>
    <w:rsid w:val="00551FE3"/>
    <w:rsid w:val="00555946"/>
    <w:rsid w:val="00562D2D"/>
    <w:rsid w:val="00577BB6"/>
    <w:rsid w:val="005957A0"/>
    <w:rsid w:val="005A07AB"/>
    <w:rsid w:val="005A1A51"/>
    <w:rsid w:val="005A2B53"/>
    <w:rsid w:val="005B0E60"/>
    <w:rsid w:val="005C5367"/>
    <w:rsid w:val="005D2EAC"/>
    <w:rsid w:val="005D37F7"/>
    <w:rsid w:val="005D50D1"/>
    <w:rsid w:val="00600CFF"/>
    <w:rsid w:val="00601C2B"/>
    <w:rsid w:val="0061639F"/>
    <w:rsid w:val="00624B2C"/>
    <w:rsid w:val="00625FDE"/>
    <w:rsid w:val="00642FB2"/>
    <w:rsid w:val="00644E32"/>
    <w:rsid w:val="00653D20"/>
    <w:rsid w:val="006546BC"/>
    <w:rsid w:val="00663823"/>
    <w:rsid w:val="00664FAD"/>
    <w:rsid w:val="00681502"/>
    <w:rsid w:val="006943D5"/>
    <w:rsid w:val="006B04DE"/>
    <w:rsid w:val="006B4217"/>
    <w:rsid w:val="006B4D88"/>
    <w:rsid w:val="006C06AC"/>
    <w:rsid w:val="006C1671"/>
    <w:rsid w:val="006C5EDF"/>
    <w:rsid w:val="006D260B"/>
    <w:rsid w:val="006D3E2A"/>
    <w:rsid w:val="006D6FB6"/>
    <w:rsid w:val="006E3FD4"/>
    <w:rsid w:val="006F36E3"/>
    <w:rsid w:val="007070AE"/>
    <w:rsid w:val="00707341"/>
    <w:rsid w:val="00720114"/>
    <w:rsid w:val="00736302"/>
    <w:rsid w:val="00753970"/>
    <w:rsid w:val="00772736"/>
    <w:rsid w:val="0077392E"/>
    <w:rsid w:val="007873B9"/>
    <w:rsid w:val="007B12B0"/>
    <w:rsid w:val="007B72D6"/>
    <w:rsid w:val="007C5BE4"/>
    <w:rsid w:val="007C7DA5"/>
    <w:rsid w:val="007D18AD"/>
    <w:rsid w:val="007D19AF"/>
    <w:rsid w:val="007D50F3"/>
    <w:rsid w:val="007E1869"/>
    <w:rsid w:val="007E3C0F"/>
    <w:rsid w:val="007E6461"/>
    <w:rsid w:val="007E6B12"/>
    <w:rsid w:val="007E7C04"/>
    <w:rsid w:val="007F1141"/>
    <w:rsid w:val="007F42D4"/>
    <w:rsid w:val="007F495C"/>
    <w:rsid w:val="008006BF"/>
    <w:rsid w:val="008025BA"/>
    <w:rsid w:val="00805153"/>
    <w:rsid w:val="00822E74"/>
    <w:rsid w:val="00833191"/>
    <w:rsid w:val="00834F78"/>
    <w:rsid w:val="00837FDE"/>
    <w:rsid w:val="00840269"/>
    <w:rsid w:val="0085292C"/>
    <w:rsid w:val="00854DEF"/>
    <w:rsid w:val="00865D2D"/>
    <w:rsid w:val="0086668B"/>
    <w:rsid w:val="0087167E"/>
    <w:rsid w:val="008759B2"/>
    <w:rsid w:val="008866ED"/>
    <w:rsid w:val="008A0ECB"/>
    <w:rsid w:val="008A679A"/>
    <w:rsid w:val="008A6E43"/>
    <w:rsid w:val="008A7796"/>
    <w:rsid w:val="008C2DAD"/>
    <w:rsid w:val="008C7976"/>
    <w:rsid w:val="008D2A04"/>
    <w:rsid w:val="008E0F13"/>
    <w:rsid w:val="00902534"/>
    <w:rsid w:val="00905F1D"/>
    <w:rsid w:val="009073EB"/>
    <w:rsid w:val="009175F1"/>
    <w:rsid w:val="009346BC"/>
    <w:rsid w:val="00957640"/>
    <w:rsid w:val="009618EA"/>
    <w:rsid w:val="00963BDA"/>
    <w:rsid w:val="009703BA"/>
    <w:rsid w:val="0097606D"/>
    <w:rsid w:val="009776E4"/>
    <w:rsid w:val="009901CD"/>
    <w:rsid w:val="00995F2E"/>
    <w:rsid w:val="009A0E1D"/>
    <w:rsid w:val="009B417F"/>
    <w:rsid w:val="009B4447"/>
    <w:rsid w:val="009B5EE7"/>
    <w:rsid w:val="009C49CD"/>
    <w:rsid w:val="009D3C5A"/>
    <w:rsid w:val="009D4644"/>
    <w:rsid w:val="009E407A"/>
    <w:rsid w:val="009F29A8"/>
    <w:rsid w:val="009F4B21"/>
    <w:rsid w:val="00A07538"/>
    <w:rsid w:val="00A20F03"/>
    <w:rsid w:val="00A251B9"/>
    <w:rsid w:val="00A36C9E"/>
    <w:rsid w:val="00A412FC"/>
    <w:rsid w:val="00A41861"/>
    <w:rsid w:val="00A630D3"/>
    <w:rsid w:val="00A64071"/>
    <w:rsid w:val="00A656FF"/>
    <w:rsid w:val="00A811B5"/>
    <w:rsid w:val="00A818BC"/>
    <w:rsid w:val="00A86C8A"/>
    <w:rsid w:val="00A92D7A"/>
    <w:rsid w:val="00AA3039"/>
    <w:rsid w:val="00AA3277"/>
    <w:rsid w:val="00AA4C62"/>
    <w:rsid w:val="00AB0AEB"/>
    <w:rsid w:val="00AB2792"/>
    <w:rsid w:val="00AB4E26"/>
    <w:rsid w:val="00AC3A76"/>
    <w:rsid w:val="00AD69A0"/>
    <w:rsid w:val="00AE50D4"/>
    <w:rsid w:val="00AF1D3D"/>
    <w:rsid w:val="00AF5CFA"/>
    <w:rsid w:val="00AF7096"/>
    <w:rsid w:val="00AF727D"/>
    <w:rsid w:val="00B00DAD"/>
    <w:rsid w:val="00B27BD8"/>
    <w:rsid w:val="00B403F0"/>
    <w:rsid w:val="00B628BB"/>
    <w:rsid w:val="00B87B16"/>
    <w:rsid w:val="00B943F3"/>
    <w:rsid w:val="00BA104F"/>
    <w:rsid w:val="00BC45C1"/>
    <w:rsid w:val="00BC6B74"/>
    <w:rsid w:val="00BD0927"/>
    <w:rsid w:val="00BE1EBA"/>
    <w:rsid w:val="00BE53A0"/>
    <w:rsid w:val="00BF003D"/>
    <w:rsid w:val="00BF1318"/>
    <w:rsid w:val="00C043C7"/>
    <w:rsid w:val="00C07636"/>
    <w:rsid w:val="00C10629"/>
    <w:rsid w:val="00C121C5"/>
    <w:rsid w:val="00C22B84"/>
    <w:rsid w:val="00C249EF"/>
    <w:rsid w:val="00C24C16"/>
    <w:rsid w:val="00C271E8"/>
    <w:rsid w:val="00C33C4B"/>
    <w:rsid w:val="00C3779E"/>
    <w:rsid w:val="00C524EC"/>
    <w:rsid w:val="00C64586"/>
    <w:rsid w:val="00C72F2B"/>
    <w:rsid w:val="00CA387D"/>
    <w:rsid w:val="00CA3E4A"/>
    <w:rsid w:val="00CA5499"/>
    <w:rsid w:val="00CB0907"/>
    <w:rsid w:val="00CB4788"/>
    <w:rsid w:val="00CC08EC"/>
    <w:rsid w:val="00CC5985"/>
    <w:rsid w:val="00CD1D08"/>
    <w:rsid w:val="00CE1466"/>
    <w:rsid w:val="00CE347D"/>
    <w:rsid w:val="00CE3EBE"/>
    <w:rsid w:val="00CF0FA5"/>
    <w:rsid w:val="00CF6C1F"/>
    <w:rsid w:val="00D07A1F"/>
    <w:rsid w:val="00D10C68"/>
    <w:rsid w:val="00D13EDC"/>
    <w:rsid w:val="00D41906"/>
    <w:rsid w:val="00D41FBD"/>
    <w:rsid w:val="00D516A6"/>
    <w:rsid w:val="00D5341B"/>
    <w:rsid w:val="00D629F5"/>
    <w:rsid w:val="00D64B45"/>
    <w:rsid w:val="00D6610D"/>
    <w:rsid w:val="00D71677"/>
    <w:rsid w:val="00D74BB1"/>
    <w:rsid w:val="00D75DC4"/>
    <w:rsid w:val="00D820A8"/>
    <w:rsid w:val="00DB5B14"/>
    <w:rsid w:val="00DC3DF3"/>
    <w:rsid w:val="00DD0726"/>
    <w:rsid w:val="00DD137C"/>
    <w:rsid w:val="00DD5A8C"/>
    <w:rsid w:val="00DD6A29"/>
    <w:rsid w:val="00DE2589"/>
    <w:rsid w:val="00DE6441"/>
    <w:rsid w:val="00DF18CD"/>
    <w:rsid w:val="00E02645"/>
    <w:rsid w:val="00E06103"/>
    <w:rsid w:val="00E24F21"/>
    <w:rsid w:val="00E3116C"/>
    <w:rsid w:val="00E34E54"/>
    <w:rsid w:val="00E35777"/>
    <w:rsid w:val="00E40673"/>
    <w:rsid w:val="00E554E5"/>
    <w:rsid w:val="00E62157"/>
    <w:rsid w:val="00E6753B"/>
    <w:rsid w:val="00E779FB"/>
    <w:rsid w:val="00E93807"/>
    <w:rsid w:val="00EA345C"/>
    <w:rsid w:val="00EA48FA"/>
    <w:rsid w:val="00EC0B45"/>
    <w:rsid w:val="00EC18F3"/>
    <w:rsid w:val="00EC4DC5"/>
    <w:rsid w:val="00EC7E1B"/>
    <w:rsid w:val="00ED1EC8"/>
    <w:rsid w:val="00EE20EA"/>
    <w:rsid w:val="00EE3CC5"/>
    <w:rsid w:val="00EE7A94"/>
    <w:rsid w:val="00EE7E82"/>
    <w:rsid w:val="00EF498E"/>
    <w:rsid w:val="00EF5783"/>
    <w:rsid w:val="00F06AA0"/>
    <w:rsid w:val="00F11EC1"/>
    <w:rsid w:val="00F22F27"/>
    <w:rsid w:val="00F261F6"/>
    <w:rsid w:val="00F42945"/>
    <w:rsid w:val="00F4568E"/>
    <w:rsid w:val="00F52169"/>
    <w:rsid w:val="00F67227"/>
    <w:rsid w:val="00F70310"/>
    <w:rsid w:val="00F85A42"/>
    <w:rsid w:val="00FA00F9"/>
    <w:rsid w:val="00FA0869"/>
    <w:rsid w:val="00FA25B7"/>
    <w:rsid w:val="00FA75D6"/>
    <w:rsid w:val="00FB0107"/>
    <w:rsid w:val="00FD11C8"/>
    <w:rsid w:val="00FD599C"/>
    <w:rsid w:val="00FD5ADC"/>
    <w:rsid w:val="00FF2A1C"/>
    <w:rsid w:val="00FF2A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49B6B0"/>
  <w15:chartTrackingRefBased/>
  <w15:docId w15:val="{2D42CA78-3FEE-41D7-96E0-85ED1027B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rsid w:val="00386345"/>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B943F3"/>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B943F3"/>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B943F3"/>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B943F3"/>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B943F3"/>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B943F3"/>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B943F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B943F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B943F3"/>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B943F3"/>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B943F3"/>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B943F3"/>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B943F3"/>
    <w:rPr>
      <w:rFonts w:cstheme="majorBidi"/>
      <w:color w:val="2F5496" w:themeColor="accent1" w:themeShade="BF"/>
      <w:sz w:val="28"/>
      <w:szCs w:val="28"/>
    </w:rPr>
  </w:style>
  <w:style w:type="character" w:customStyle="1" w:styleId="50">
    <w:name w:val="标题 5 字符"/>
    <w:basedOn w:val="a0"/>
    <w:link w:val="5"/>
    <w:uiPriority w:val="9"/>
    <w:semiHidden/>
    <w:rsid w:val="00B943F3"/>
    <w:rPr>
      <w:rFonts w:cstheme="majorBidi"/>
      <w:color w:val="2F5496" w:themeColor="accent1" w:themeShade="BF"/>
      <w:sz w:val="24"/>
    </w:rPr>
  </w:style>
  <w:style w:type="character" w:customStyle="1" w:styleId="60">
    <w:name w:val="标题 6 字符"/>
    <w:basedOn w:val="a0"/>
    <w:link w:val="6"/>
    <w:uiPriority w:val="9"/>
    <w:semiHidden/>
    <w:rsid w:val="00B943F3"/>
    <w:rPr>
      <w:rFonts w:cstheme="majorBidi"/>
      <w:b/>
      <w:bCs/>
      <w:color w:val="2F5496" w:themeColor="accent1" w:themeShade="BF"/>
    </w:rPr>
  </w:style>
  <w:style w:type="character" w:customStyle="1" w:styleId="70">
    <w:name w:val="标题 7 字符"/>
    <w:basedOn w:val="a0"/>
    <w:link w:val="7"/>
    <w:uiPriority w:val="9"/>
    <w:semiHidden/>
    <w:rsid w:val="00B943F3"/>
    <w:rPr>
      <w:rFonts w:cstheme="majorBidi"/>
      <w:b/>
      <w:bCs/>
      <w:color w:val="595959" w:themeColor="text1" w:themeTint="A6"/>
    </w:rPr>
  </w:style>
  <w:style w:type="character" w:customStyle="1" w:styleId="80">
    <w:name w:val="标题 8 字符"/>
    <w:basedOn w:val="a0"/>
    <w:link w:val="8"/>
    <w:uiPriority w:val="9"/>
    <w:semiHidden/>
    <w:rsid w:val="00B943F3"/>
    <w:rPr>
      <w:rFonts w:cstheme="majorBidi"/>
      <w:color w:val="595959" w:themeColor="text1" w:themeTint="A6"/>
    </w:rPr>
  </w:style>
  <w:style w:type="character" w:customStyle="1" w:styleId="90">
    <w:name w:val="标题 9 字符"/>
    <w:basedOn w:val="a0"/>
    <w:link w:val="9"/>
    <w:uiPriority w:val="9"/>
    <w:semiHidden/>
    <w:rsid w:val="00B943F3"/>
    <w:rPr>
      <w:rFonts w:eastAsiaTheme="majorEastAsia" w:cstheme="majorBidi"/>
      <w:color w:val="595959" w:themeColor="text1" w:themeTint="A6"/>
    </w:rPr>
  </w:style>
  <w:style w:type="paragraph" w:styleId="a3">
    <w:name w:val="Title"/>
    <w:basedOn w:val="a"/>
    <w:next w:val="a"/>
    <w:link w:val="a4"/>
    <w:uiPriority w:val="10"/>
    <w:qFormat/>
    <w:rsid w:val="00B943F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B943F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B943F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B943F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B943F3"/>
    <w:pPr>
      <w:spacing w:before="160"/>
      <w:jc w:val="center"/>
    </w:pPr>
    <w:rPr>
      <w:i/>
      <w:iCs/>
      <w:color w:val="404040" w:themeColor="text1" w:themeTint="BF"/>
    </w:rPr>
  </w:style>
  <w:style w:type="character" w:customStyle="1" w:styleId="a8">
    <w:name w:val="引用 字符"/>
    <w:basedOn w:val="a0"/>
    <w:link w:val="a7"/>
    <w:uiPriority w:val="29"/>
    <w:rsid w:val="00B943F3"/>
    <w:rPr>
      <w:i/>
      <w:iCs/>
      <w:color w:val="404040" w:themeColor="text1" w:themeTint="BF"/>
    </w:rPr>
  </w:style>
  <w:style w:type="paragraph" w:styleId="a9">
    <w:name w:val="List Paragraph"/>
    <w:basedOn w:val="a"/>
    <w:uiPriority w:val="34"/>
    <w:qFormat/>
    <w:rsid w:val="00B943F3"/>
    <w:pPr>
      <w:ind w:left="720"/>
      <w:contextualSpacing/>
    </w:pPr>
  </w:style>
  <w:style w:type="character" w:styleId="aa">
    <w:name w:val="Intense Emphasis"/>
    <w:basedOn w:val="a0"/>
    <w:uiPriority w:val="21"/>
    <w:qFormat/>
    <w:rsid w:val="00B943F3"/>
    <w:rPr>
      <w:i/>
      <w:iCs/>
      <w:color w:val="2F5496" w:themeColor="accent1" w:themeShade="BF"/>
    </w:rPr>
  </w:style>
  <w:style w:type="paragraph" w:styleId="ab">
    <w:name w:val="Intense Quote"/>
    <w:basedOn w:val="a"/>
    <w:next w:val="a"/>
    <w:link w:val="ac"/>
    <w:uiPriority w:val="30"/>
    <w:qFormat/>
    <w:rsid w:val="00B943F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B943F3"/>
    <w:rPr>
      <w:i/>
      <w:iCs/>
      <w:color w:val="2F5496" w:themeColor="accent1" w:themeShade="BF"/>
    </w:rPr>
  </w:style>
  <w:style w:type="character" w:styleId="ad">
    <w:name w:val="Intense Reference"/>
    <w:basedOn w:val="a0"/>
    <w:uiPriority w:val="32"/>
    <w:qFormat/>
    <w:rsid w:val="00B943F3"/>
    <w:rPr>
      <w:b/>
      <w:bCs/>
      <w:smallCaps/>
      <w:color w:val="2F5496" w:themeColor="accent1" w:themeShade="BF"/>
      <w:spacing w:val="5"/>
    </w:rPr>
  </w:style>
  <w:style w:type="paragraph" w:styleId="ae">
    <w:name w:val="header"/>
    <w:basedOn w:val="a"/>
    <w:link w:val="af"/>
    <w:uiPriority w:val="99"/>
    <w:unhideWhenUsed/>
    <w:rsid w:val="00052993"/>
    <w:pPr>
      <w:tabs>
        <w:tab w:val="center" w:pos="4153"/>
        <w:tab w:val="right" w:pos="8306"/>
      </w:tabs>
      <w:snapToGrid w:val="0"/>
      <w:jc w:val="center"/>
    </w:pPr>
    <w:rPr>
      <w:sz w:val="18"/>
      <w:szCs w:val="18"/>
    </w:rPr>
  </w:style>
  <w:style w:type="character" w:customStyle="1" w:styleId="af">
    <w:name w:val="页眉 字符"/>
    <w:basedOn w:val="a0"/>
    <w:link w:val="ae"/>
    <w:uiPriority w:val="99"/>
    <w:rsid w:val="00052993"/>
    <w:rPr>
      <w:sz w:val="18"/>
      <w:szCs w:val="18"/>
    </w:rPr>
  </w:style>
  <w:style w:type="paragraph" w:styleId="af0">
    <w:name w:val="footer"/>
    <w:basedOn w:val="a"/>
    <w:link w:val="af1"/>
    <w:uiPriority w:val="99"/>
    <w:unhideWhenUsed/>
    <w:qFormat/>
    <w:rsid w:val="00052993"/>
    <w:pPr>
      <w:tabs>
        <w:tab w:val="center" w:pos="4153"/>
        <w:tab w:val="right" w:pos="8306"/>
      </w:tabs>
      <w:snapToGrid w:val="0"/>
    </w:pPr>
    <w:rPr>
      <w:sz w:val="18"/>
      <w:szCs w:val="18"/>
    </w:rPr>
  </w:style>
  <w:style w:type="character" w:customStyle="1" w:styleId="af1">
    <w:name w:val="页脚 字符"/>
    <w:basedOn w:val="a0"/>
    <w:link w:val="af0"/>
    <w:uiPriority w:val="99"/>
    <w:qFormat/>
    <w:rsid w:val="00052993"/>
    <w:rPr>
      <w:sz w:val="18"/>
      <w:szCs w:val="18"/>
    </w:rPr>
  </w:style>
  <w:style w:type="paragraph" w:styleId="af2">
    <w:name w:val="footnote text"/>
    <w:basedOn w:val="a"/>
    <w:link w:val="af3"/>
    <w:uiPriority w:val="99"/>
    <w:semiHidden/>
    <w:unhideWhenUsed/>
    <w:qFormat/>
    <w:rsid w:val="00ED1EC8"/>
    <w:pPr>
      <w:snapToGrid w:val="0"/>
      <w:jc w:val="left"/>
    </w:pPr>
    <w:rPr>
      <w:sz w:val="18"/>
      <w:szCs w:val="18"/>
    </w:rPr>
  </w:style>
  <w:style w:type="character" w:customStyle="1" w:styleId="af3">
    <w:name w:val="脚注文本 字符"/>
    <w:basedOn w:val="a0"/>
    <w:link w:val="af2"/>
    <w:uiPriority w:val="99"/>
    <w:semiHidden/>
    <w:qFormat/>
    <w:rsid w:val="00ED1EC8"/>
    <w:rPr>
      <w:rFonts w:ascii="Times New Roman" w:eastAsia="宋体" w:hAnsi="Times New Roman" w:cs="Times New Roman"/>
      <w:sz w:val="18"/>
      <w:szCs w:val="18"/>
      <w14:ligatures w14:val="none"/>
    </w:rPr>
  </w:style>
  <w:style w:type="character" w:styleId="af4">
    <w:name w:val="footnote reference"/>
    <w:basedOn w:val="a0"/>
    <w:semiHidden/>
    <w:unhideWhenUsed/>
    <w:qFormat/>
    <w:rsid w:val="00ED1EC8"/>
    <w:rPr>
      <w:vertAlign w:val="superscript"/>
    </w:rPr>
  </w:style>
  <w:style w:type="character" w:styleId="af5">
    <w:name w:val="Hyperlink"/>
    <w:basedOn w:val="a0"/>
    <w:uiPriority w:val="99"/>
    <w:unhideWhenUsed/>
    <w:rsid w:val="00A41861"/>
    <w:rPr>
      <w:color w:val="0563C1" w:themeColor="hyperlink"/>
      <w:u w:val="single"/>
    </w:rPr>
  </w:style>
  <w:style w:type="character" w:styleId="af6">
    <w:name w:val="Unresolved Mention"/>
    <w:basedOn w:val="a0"/>
    <w:uiPriority w:val="99"/>
    <w:semiHidden/>
    <w:unhideWhenUsed/>
    <w:rsid w:val="00A41861"/>
    <w:rPr>
      <w:color w:val="605E5C"/>
      <w:shd w:val="clear" w:color="auto" w:fill="E1DFDD"/>
    </w:rPr>
  </w:style>
  <w:style w:type="paragraph" w:styleId="af7">
    <w:name w:val="No Spacing"/>
    <w:uiPriority w:val="1"/>
    <w:qFormat/>
    <w:rsid w:val="002B1BA6"/>
    <w:pPr>
      <w:widowControl w:val="0"/>
      <w:spacing w:after="0" w:line="240" w:lineRule="auto"/>
      <w:jc w:val="both"/>
    </w:pPr>
    <w:rPr>
      <w:rFonts w:ascii="Times New Roman" w:eastAsia="宋体" w:hAnsi="Times New Roman" w:cs="Times New Roman"/>
      <w:sz w:val="21"/>
      <w14:ligatures w14:val="none"/>
    </w:rPr>
  </w:style>
  <w:style w:type="paragraph" w:customStyle="1" w:styleId="af8">
    <w:name w:val="公式"/>
    <w:basedOn w:val="a"/>
    <w:link w:val="af9"/>
    <w:qFormat/>
    <w:rsid w:val="00F52169"/>
    <w:pPr>
      <w:tabs>
        <w:tab w:val="center" w:pos="4200"/>
        <w:tab w:val="right" w:pos="8400"/>
      </w:tabs>
      <w:spacing w:line="360" w:lineRule="auto"/>
      <w:jc w:val="center"/>
    </w:pPr>
    <w:rPr>
      <w:sz w:val="24"/>
      <w:szCs w:val="22"/>
      <w:lang w:val="en"/>
    </w:rPr>
  </w:style>
  <w:style w:type="character" w:customStyle="1" w:styleId="af9">
    <w:name w:val="公式 字符"/>
    <w:basedOn w:val="a0"/>
    <w:link w:val="af8"/>
    <w:rsid w:val="00F52169"/>
    <w:rPr>
      <w:rFonts w:ascii="Times New Roman" w:eastAsia="宋体" w:hAnsi="Times New Roman" w:cs="Times New Roman"/>
      <w:sz w:val="24"/>
      <w:szCs w:val="22"/>
      <w:lang w:val="en"/>
      <w14:ligatures w14:val="none"/>
    </w:rPr>
  </w:style>
  <w:style w:type="character" w:styleId="afa">
    <w:name w:val="Placeholder Text"/>
    <w:basedOn w:val="a0"/>
    <w:uiPriority w:val="99"/>
    <w:semiHidden/>
    <w:rsid w:val="00401220"/>
    <w:rPr>
      <w:color w:val="666666"/>
    </w:rPr>
  </w:style>
  <w:style w:type="paragraph" w:customStyle="1" w:styleId="afb">
    <w:name w:val="表的名字"/>
    <w:basedOn w:val="a"/>
    <w:link w:val="afc"/>
    <w:qFormat/>
    <w:rsid w:val="00C3779E"/>
    <w:pPr>
      <w:spacing w:before="240" w:after="120"/>
      <w:jc w:val="center"/>
    </w:pPr>
    <w:rPr>
      <w:rFonts w:cstheme="minorBidi"/>
      <w:sz w:val="22"/>
      <w:szCs w:val="22"/>
      <w:lang w:val="en"/>
    </w:rPr>
  </w:style>
  <w:style w:type="character" w:customStyle="1" w:styleId="afc">
    <w:name w:val="表的名字 字符"/>
    <w:basedOn w:val="a0"/>
    <w:link w:val="afb"/>
    <w:rsid w:val="00C3779E"/>
    <w:rPr>
      <w:rFonts w:ascii="Times New Roman" w:eastAsia="宋体" w:hAnsi="Times New Roman"/>
      <w:szCs w:val="22"/>
      <w:lang w:val="en"/>
      <w14:ligatures w14:val="none"/>
    </w:rPr>
  </w:style>
  <w:style w:type="table" w:styleId="afd">
    <w:name w:val="Table Grid"/>
    <w:basedOn w:val="a1"/>
    <w:uiPriority w:val="39"/>
    <w:rsid w:val="00C3779E"/>
    <w:pPr>
      <w:spacing w:after="0" w:line="240" w:lineRule="auto"/>
    </w:pPr>
    <w:rPr>
      <w:sz w:val="21"/>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2" Type="http://schemas.openxmlformats.org/officeDocument/2006/relationships/comments" Target="commen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3578F16-F502-48A4-9458-E788BE5CCC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TotalTime>
  <Pages>3</Pages>
  <Words>543</Words>
  <Characters>3344</Characters>
  <Application>Microsoft Office Word</Application>
  <DocSecurity>0</DocSecurity>
  <Lines>71</Lines>
  <Paragraphs>35</Paragraphs>
  <ScaleCrop>false</ScaleCrop>
  <Company/>
  <LinksUpToDate>false</LinksUpToDate>
  <CharactersWithSpaces>3852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国庆 夏</dc:creator>
  <cp:keywords/>
  <dc:description/>
  <cp:lastModifiedBy>国庆 夏</cp:lastModifiedBy>
  <cp:revision>324</cp:revision>
  <dcterms:created xsi:type="dcterms:W3CDTF">2025-09-19T14:53:00Z</dcterms:created>
  <dcterms:modified xsi:type="dcterms:W3CDTF">2025-10-28T12:10:00Z</dcterms:modified>
</cp:coreProperties>
</file>