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220"/>
        <w:gridCol w:w="5220"/>
      </w:tblGrid>
      <w:tr>
        <w:tc>
          <w:tcPr>
            <w:tcW w:type="dxa" w:w="2304"/>
          </w:tcPr>
          <w:p>
            <w:pPr>
              <w:jc w:val="center"/>
            </w:pPr>
            <w:r>
              <w:drawing>
                <wp:inline xmlns:a="http://schemas.openxmlformats.org/drawingml/2006/main" xmlns:pic="http://schemas.openxmlformats.org/drawingml/2006/picture">
                  <wp:extent cx="1234440" cy="439176"/>
                  <wp:docPr id="1" name="Picture 1"/>
                  <wp:cNvGraphicFramePr>
                    <a:graphicFrameLocks noChangeAspect="1"/>
                  </wp:cNvGraphicFramePr>
                  <a:graphic>
                    <a:graphicData uri="http://schemas.openxmlformats.org/drawingml/2006/picture">
                      <pic:pic>
                        <pic:nvPicPr>
                          <pic:cNvPr id="0" name="vitlogo.png"/>
                          <pic:cNvPicPr/>
                        </pic:nvPicPr>
                        <pic:blipFill>
                          <a:blip r:embed="rId9"/>
                          <a:stretch>
                            <a:fillRect/>
                          </a:stretch>
                        </pic:blipFill>
                        <pic:spPr>
                          <a:xfrm>
                            <a:off x="0" y="0"/>
                            <a:ext cx="1234440" cy="439176"/>
                          </a:xfrm>
                          <a:prstGeom prst="rect"/>
                        </pic:spPr>
                      </pic:pic>
                    </a:graphicData>
                  </a:graphic>
                </wp:inline>
              </w:drawing>
            </w:r>
          </w:p>
        </w:tc>
        <w:tc>
          <w:tcPr>
            <w:tcW w:type="dxa" w:w="7056"/>
          </w:tcPr>
          <w:p>
            <w:pPr>
              <w:jc w:val="center"/>
            </w:pPr>
            <w:r>
              <w:rPr>
                <w:rFonts w:ascii="Times New Roman" w:hAnsi="Times New Roman" w:cs="Times New Roman" w:eastAsia="Times New Roman"/>
                <w:b/>
                <w:sz w:val="26"/>
              </w:rPr>
              <w:t>Vellore Institute of Technology, Chennai</w:t>
            </w:r>
          </w:p>
          <w:p>
            <w:pPr>
              <w:jc w:val="center"/>
            </w:pPr>
            <w:r>
              <w:rPr>
                <w:rFonts w:ascii="Times New Roman" w:hAnsi="Times New Roman" w:cs="Times New Roman" w:eastAsia="Times New Roman"/>
                <w:b/>
                <w:sz w:val="24"/>
              </w:rPr>
              <w:t>School of Computer Science and Engineering</w:t>
            </w:r>
          </w:p>
          <w:p>
            <w:pPr>
              <w:jc w:val="center"/>
            </w:pPr>
            <w:r>
              <w:rPr>
                <w:rFonts w:ascii="Times New Roman" w:hAnsi="Times New Roman" w:cs="Times New Roman" w:eastAsia="Times New Roman"/>
                <w:sz w:val="22"/>
              </w:rPr>
              <w:t>Course Code: BCSE355L    Course Name: Cloud Architecture Design</w:t>
            </w:r>
          </w:p>
          <w:p>
            <w:pPr>
              <w:jc w:val="center"/>
            </w:pPr>
            <w:r>
              <w:rPr>
                <w:rFonts w:ascii="Times New Roman" w:hAnsi="Times New Roman" w:cs="Times New Roman" w:eastAsia="Times New Roman"/>
                <w:sz w:val="22"/>
              </w:rPr>
              <w:t>Direct Assessment III    Max Marks: 10</w:t>
            </w:r>
          </w:p>
        </w:tc>
      </w:tr>
    </w:tbl>
    <w:p>
      <w:pPr>
        <w:keepNext w:val="0"/>
        <w:spacing w:before="200" w:after="60"/>
        <w:jc w:val="left"/>
      </w:pPr>
      <w:r>
        <w:rPr>
          <w:rFonts w:ascii="Times New Roman" w:hAnsi="Times New Roman" w:cs="Times New Roman" w:eastAsia="Times New Roman"/>
          <w:b/>
          <w:i w:val="0"/>
          <w:sz w:val="22"/>
        </w:rPr>
        <w:t>Team Members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20"/>
        <w:gridCol w:w="5220"/>
      </w:tblGrid>
      <w:tr>
        <w:tc>
          <w:tcPr>
            <w:tcW w:type="dxa" w:w="5220"/>
          </w:tcPr>
          <w:p>
            <w:pPr>
              <w:spacing w:after="0"/>
            </w:pPr>
            <w:r>
              <w:rPr>
                <w:rFonts w:ascii="Times New Roman" w:hAnsi="Times New Roman" w:cs="Times New Roman" w:eastAsia="Times New Roman"/>
                <w:b/>
                <w:sz w:val="22"/>
              </w:rPr>
              <w:t>Reg. ID</w:t>
            </w:r>
          </w:p>
        </w:tc>
        <w:tc>
          <w:tcPr>
            <w:tcW w:type="dxa" w:w="5220"/>
          </w:tcPr>
          <w:p>
            <w:pPr>
              <w:spacing w:after="0"/>
            </w:pPr>
            <w:r>
              <w:rPr>
                <w:rFonts w:ascii="Times New Roman" w:hAnsi="Times New Roman" w:cs="Times New Roman" w:eastAsia="Times New Roman"/>
                <w:b/>
                <w:sz w:val="22"/>
              </w:rPr>
              <w:t>Name</w:t>
            </w:r>
          </w:p>
        </w:tc>
      </w:tr>
      <w:tr>
        <w:tc>
          <w:tcPr>
            <w:tcW w:type="dxa" w:w="5220"/>
          </w:tcPr>
          <w:p>
            <w:pPr>
              <w:spacing w:after="0"/>
            </w:pPr>
            <w:r>
              <w:rPr>
                <w:rFonts w:ascii="Times New Roman" w:hAnsi="Times New Roman" w:cs="Times New Roman" w:eastAsia="Times New Roman"/>
                <w:b w:val="0"/>
                <w:sz w:val="22"/>
              </w:rPr>
              <w:t>24BCE1520</w:t>
            </w:r>
          </w:p>
        </w:tc>
        <w:tc>
          <w:tcPr>
            <w:tcW w:type="dxa" w:w="5220"/>
          </w:tcPr>
          <w:p>
            <w:pPr>
              <w:spacing w:after="0"/>
            </w:pPr>
            <w:r>
              <w:rPr>
                <w:rFonts w:ascii="Times New Roman" w:hAnsi="Times New Roman" w:cs="Times New Roman" w:eastAsia="Times New Roman"/>
                <w:b w:val="0"/>
                <w:sz w:val="22"/>
              </w:rPr>
              <w:t>Nitish Kumar</w:t>
            </w:r>
          </w:p>
        </w:tc>
      </w:tr>
      <w:tr>
        <w:tc>
          <w:tcPr>
            <w:tcW w:type="dxa" w:w="5220"/>
          </w:tcPr>
          <w:p>
            <w:pPr>
              <w:spacing w:after="0"/>
            </w:pPr>
            <w:r>
              <w:rPr>
                <w:rFonts w:ascii="Times New Roman" w:hAnsi="Times New Roman" w:cs="Times New Roman" w:eastAsia="Times New Roman"/>
                <w:b w:val="0"/>
                <w:sz w:val="22"/>
              </w:rPr>
              <w:t>24BCE1594</w:t>
            </w:r>
          </w:p>
        </w:tc>
        <w:tc>
          <w:tcPr>
            <w:tcW w:type="dxa" w:w="5220"/>
          </w:tcPr>
          <w:p>
            <w:pPr>
              <w:spacing w:after="0"/>
            </w:pPr>
            <w:r>
              <w:rPr>
                <w:rFonts w:ascii="Times New Roman" w:hAnsi="Times New Roman" w:cs="Times New Roman" w:eastAsia="Times New Roman"/>
                <w:b w:val="0"/>
                <w:sz w:val="22"/>
              </w:rPr>
              <w:t>Balan N</w:t>
            </w:r>
          </w:p>
        </w:tc>
      </w:tr>
    </w:tbl>
    <w:p>
      <w:pPr>
        <w:keepNext w:val="0"/>
        <w:spacing w:before="120" w:after="120"/>
        <w:jc w:val="left"/>
      </w:pPr>
      <w:r>
        <w:rPr>
          <w:rFonts w:ascii="Times New Roman" w:hAnsi="Times New Roman" w:cs="Times New Roman" w:eastAsia="Times New Roman"/>
          <w:b w:val="0"/>
          <w:i w:val="0"/>
          <w:sz w:val="20"/>
        </w:rPr>
        <w:t>Faculty: S Vigneshwari</w:t>
      </w:r>
    </w:p>
    <w:p>
      <w:pPr>
        <w:keepNext w:val="0"/>
        <w:spacing w:before="160" w:after="120"/>
        <w:jc w:val="center"/>
      </w:pPr>
      <w:r>
        <w:rPr>
          <w:rFonts w:ascii="Times New Roman" w:hAnsi="Times New Roman" w:cs="Times New Roman" w:eastAsia="Times New Roman"/>
          <w:b w:val="0"/>
          <w:i w:val="0"/>
          <w:sz w:val="44"/>
        </w:rPr>
        <w:t>CollabDoc: A Real-Time Collaborative Document Editor with Operational Transformation and Stylometric Authorship Attribution, Deployed on AWS</w:t>
      </w:r>
    </w:p>
    <w:p>
      <w:pPr>
        <w:keepNext w:val="0"/>
        <w:spacing w:before="120" w:after="60"/>
        <w:jc w:val="both"/>
      </w:pPr>
      <w:r>
        <w:rPr>
          <w:rFonts w:ascii="Times New Roman" w:hAnsi="Times New Roman" w:cs="Times New Roman" w:eastAsia="Times New Roman"/>
          <w:b/>
          <w:i/>
          <w:sz w:val="18"/>
        </w:rPr>
        <w:t>Abstract—</w:t>
      </w:r>
      <w:r>
        <w:rPr>
          <w:rFonts w:ascii="Times New Roman" w:hAnsi="Times New Roman" w:cs="Times New Roman" w:eastAsia="Times New Roman"/>
          <w:b/>
          <w:sz w:val="18"/>
        </w:rPr>
        <w:t>CollabDoc lets several people edit one document at the same time and then tells them who wrote which part. Edits are merged by a server-side operational transformation (OT) engine so that every client converges on identical text. A keystroke ledger records who typed each character, and a dependency-free softmax classifier over 44 stylometric features forms an independent opinion about the writing style of each block; the two are blended into a per-block confidence score. Because a document's editing state lives in the memory of one process, scaling it is a cloud-architecture problem, and this project treats it as one. The system was deployed on AWS as a k3s Kubernetes cluster on a single EC2 instance in ap-south-1 with three application pods, Kafka for cross-pod events, a Caddy router that hashes the document id so each document always reaches the same pod, RDS PostgreSQL in private subnets, S3 for uploads, ECR for images, and CloudWatch alarms and a budget for operations. The whole stack is described in Terraform and cost about US$2.5 per day while running; it has since been torn down because the AWS credits were used up. On a development machine an edit was acknowledged in 2.3 ms median (3.9 ms p95) against a 200 ms requirement, and the OT engine converged on 2000 of 2000 random concurrent-edit pairs.</w:t>
      </w:r>
    </w:p>
    <w:p>
      <w:pPr>
        <w:keepNext w:val="0"/>
        <w:spacing w:before="0" w:after="160"/>
        <w:jc w:val="both"/>
      </w:pPr>
      <w:r>
        <w:rPr>
          <w:rFonts w:ascii="Times New Roman" w:hAnsi="Times New Roman" w:cs="Times New Roman" w:eastAsia="Times New Roman"/>
          <w:b/>
          <w:i/>
          <w:sz w:val="18"/>
        </w:rPr>
        <w:t>Index Terms—</w:t>
      </w:r>
      <w:r>
        <w:rPr>
          <w:rFonts w:ascii="Times New Roman" w:hAnsi="Times New Roman" w:cs="Times New Roman" w:eastAsia="Times New Roman"/>
          <w:b/>
          <w:sz w:val="18"/>
        </w:rPr>
        <w:t>cloud architecture, AWS, Kubernetes, operational transformation, collaborative editing, authorship attribution, stylometry, Kafka</w:t>
      </w:r>
    </w:p>
    <w:p>
      <w:pPr>
        <w:spacing w:after="0"/>
        <w:sectPr>
          <w:pgSz w:w="12240" w:h="15840"/>
          <w:pgMar w:top="1080" w:right="900" w:bottom="1300" w:left="900" w:header="720" w:footer="720" w:gutter="0"/>
          <w:cols w:num="1"/>
        </w:sectPr>
      </w:pPr>
    </w:p>
    <w:p>
      <w:pPr>
        <w:keepNext/>
        <w:spacing w:before="200" w:after="80"/>
        <w:jc w:val="center"/>
      </w:pPr>
      <w:r>
        <w:rPr>
          <w:rFonts w:ascii="Times New Roman" w:hAnsi="Times New Roman" w:cs="Times New Roman" w:eastAsia="Times New Roman"/>
          <w:b w:val="0"/>
          <w:i w:val="0"/>
          <w:sz w:val="20"/>
        </w:rPr>
        <w:t>I. PROBLEM STATEMENT</w:t>
      </w:r>
    </w:p>
    <w:p>
      <w:pPr>
        <w:keepNext w:val="0"/>
        <w:spacing w:before="0" w:after="120"/>
        <w:jc w:val="both"/>
      </w:pPr>
      <w:r>
        <w:rPr>
          <w:rFonts w:ascii="Times New Roman" w:hAnsi="Times New Roman" w:cs="Times New Roman" w:eastAsia="Times New Roman"/>
          <w:b w:val="0"/>
          <w:i w:val="0"/>
          <w:sz w:val="20"/>
        </w:rPr>
        <w:t>Group documents are written by several people, but ordinary shared editors answer neither of two questions that follow: how to keep every collaborator's copy identical under concurrent edits at low latency, and who actually wrote each part. The second matters in coursework and team reports, where a reviewer must tell a real contribution from a pasted one. A third, architectural question follows once the service has more than one user: how to run it on several backends in the cloud when a document's live state (its version counter) is held in the memory of a single process, and the operation log has no database constraint that would catch two processes numbering operations independently.</w:t>
      </w:r>
    </w:p>
    <w:p>
      <w:pPr>
        <w:keepNext/>
        <w:spacing w:before="200" w:after="80"/>
        <w:jc w:val="center"/>
      </w:pPr>
      <w:r>
        <w:rPr>
          <w:rFonts w:ascii="Times New Roman" w:hAnsi="Times New Roman" w:cs="Times New Roman" w:eastAsia="Times New Roman"/>
          <w:b w:val="0"/>
          <w:i w:val="0"/>
          <w:sz w:val="20"/>
        </w:rPr>
        <w:t>II. HIGHLIGHTS OF THE PROJECT / NOVELTY</w:t>
      </w:r>
    </w:p>
    <w:p>
      <w:pPr>
        <w:pStyle w:val="ListBullet"/>
        <w:spacing w:after="60"/>
        <w:jc w:val="both"/>
      </w:pPr>
      <w:r>
        <w:rPr>
          <w:rFonts w:ascii="Times New Roman" w:hAnsi="Times New Roman" w:cs="Times New Roman" w:eastAsia="Times New Roman"/>
          <w:b/>
          <w:sz w:val="20"/>
        </w:rPr>
        <w:t xml:space="preserve">Ledger-supervised stylometry. </w:t>
      </w:r>
      <w:r>
        <w:rPr>
          <w:rFonts w:ascii="Times New Roman" w:hAnsi="Times New Roman" w:cs="Times New Roman" w:eastAsia="Times New Roman"/>
          <w:sz w:val="20"/>
        </w:rPr>
        <w:t>Text that the keystroke ledger proves a user typed becomes that user's labelled training corpus, so the model learns from the mechanical record and then forms an opinion independent of it.</w:t>
      </w:r>
    </w:p>
    <w:p>
      <w:pPr>
        <w:pStyle w:val="ListBullet"/>
        <w:spacing w:after="60"/>
        <w:jc w:val="both"/>
      </w:pPr>
      <w:r>
        <w:rPr>
          <w:rFonts w:ascii="Times New Roman" w:hAnsi="Times New Roman" w:cs="Times New Roman" w:eastAsia="Times New Roman"/>
          <w:b/>
          <w:sz w:val="20"/>
        </w:rPr>
        <w:t xml:space="preserve">Length-aware blending. </w:t>
      </w:r>
      <w:r>
        <w:rPr>
          <w:rFonts w:ascii="Times New Roman" w:hAnsi="Times New Roman" w:cs="Times New Roman" w:eastAsia="Times New Roman"/>
          <w:sz w:val="20"/>
        </w:rPr>
        <w:t>Stylometric weight grows with block length and is capped at 0.65, so a four-word heading is decided by keystrokes and a paragraph mostly by style; the model can never fully overrule the recorded keystrokes.</w:t>
      </w:r>
    </w:p>
    <w:p>
      <w:pPr>
        <w:pStyle w:val="ListBullet"/>
        <w:spacing w:after="60"/>
        <w:jc w:val="both"/>
      </w:pPr>
      <w:r>
        <w:rPr>
          <w:rFonts w:ascii="Times New Roman" w:hAnsi="Times New Roman" w:cs="Times New Roman" w:eastAsia="Times New Roman"/>
          <w:b/>
          <w:sz w:val="20"/>
        </w:rPr>
        <w:t xml:space="preserve">Leave-one-out integrity report. </w:t>
      </w:r>
      <w:r>
        <w:rPr>
          <w:rFonts w:ascii="Times New Roman" w:hAnsi="Times New Roman" w:cs="Times New Roman" w:eastAsia="Times New Roman"/>
          <w:sz w:val="20"/>
        </w:rPr>
        <w:t>Each block is judged by a model retrained without it, so a passage copied from one author does not vouch for itself. In a two-author demonstration this moved a copied passage from 59% to 98% "reads like Alice".</w:t>
      </w:r>
    </w:p>
    <w:p>
      <w:pPr>
        <w:pStyle w:val="ListBullet"/>
        <w:spacing w:after="60"/>
        <w:jc w:val="both"/>
      </w:pPr>
      <w:r>
        <w:rPr>
          <w:rFonts w:ascii="Times New Roman" w:hAnsi="Times New Roman" w:cs="Times New Roman" w:eastAsia="Times New Roman"/>
          <w:b/>
          <w:sz w:val="20"/>
        </w:rPr>
        <w:t xml:space="preserve">Honest abstention. </w:t>
      </w:r>
      <w:r>
        <w:rPr>
          <w:rFonts w:ascii="Times New Roman" w:hAnsi="Times New Roman" w:cs="Times New Roman" w:eastAsia="Times New Roman"/>
          <w:sz w:val="20"/>
        </w:rPr>
        <w:t>With fewer than two authors with three samples each, the model declines and attribution falls back to the ledger.</w:t>
      </w:r>
    </w:p>
    <w:p>
      <w:pPr>
        <w:pStyle w:val="ListBullet"/>
        <w:spacing w:after="60"/>
        <w:jc w:val="both"/>
      </w:pPr>
      <w:r>
        <w:rPr>
          <w:rFonts w:ascii="Times New Roman" w:hAnsi="Times New Roman" w:cs="Times New Roman" w:eastAsia="Times New Roman"/>
          <w:b/>
          <w:sz w:val="20"/>
        </w:rPr>
        <w:t xml:space="preserve">Document-aware routing on Kubernetes. </w:t>
      </w:r>
      <w:r>
        <w:rPr>
          <w:rFonts w:ascii="Times New Roman" w:hAnsi="Times New Roman" w:cs="Times New Roman" w:eastAsia="Times New Roman"/>
          <w:sz w:val="20"/>
        </w:rPr>
        <w:t>A Caddy router extracts the document id from the URL and uses rendezvous hashing over stable StatefulSet pod names, so each document is live on exactly one pod. Kafka carries presence and notifications between pods.</w:t>
      </w:r>
    </w:p>
    <w:p>
      <w:pPr>
        <w:pStyle w:val="ListBullet"/>
        <w:spacing w:after="60"/>
        <w:jc w:val="both"/>
      </w:pPr>
      <w:r>
        <w:rPr>
          <w:rFonts w:ascii="Times New Roman" w:hAnsi="Times New Roman" w:cs="Times New Roman" w:eastAsia="Times New Roman"/>
          <w:b/>
          <w:sz w:val="20"/>
        </w:rPr>
        <w:t xml:space="preserve">One code path for scale-out. </w:t>
      </w:r>
      <w:r>
        <w:rPr>
          <w:rFonts w:ascii="Times New Roman" w:hAnsi="Times New Roman" w:cs="Times New Roman" w:eastAsia="Times New Roman"/>
          <w:sz w:val="20"/>
        </w:rPr>
        <w:t>Every event leaves through a broadcaster interface even in one process, so the multi-pod path is the same code path as the single-process one.</w:t>
      </w:r>
    </w:p>
    <w:p>
      <w:pPr>
        <w:pStyle w:val="ListBullet"/>
        <w:spacing w:after="60"/>
        <w:jc w:val="both"/>
      </w:pPr>
      <w:r>
        <w:rPr>
          <w:rFonts w:ascii="Times New Roman" w:hAnsi="Times New Roman" w:cs="Times New Roman" w:eastAsia="Times New Roman"/>
          <w:b/>
          <w:sz w:val="20"/>
        </w:rPr>
        <w:t xml:space="preserve">Cost-aware cloud design. </w:t>
      </w:r>
      <w:r>
        <w:rPr>
          <w:rFonts w:ascii="Times New Roman" w:hAnsi="Times New Roman" w:cs="Times New Roman" w:eastAsia="Times New Roman"/>
          <w:sz w:val="20"/>
        </w:rPr>
        <w:t>k3s on one EC2 node gives real Kubernetes without the roughly US$73 per month EKS control-plane fee; a stop script pauses EC2 and RDS and brings the cost to about US$0.25 per day.</w:t>
      </w:r>
    </w:p>
    <w:p>
      <w:pPr>
        <w:pStyle w:val="ListBullet"/>
        <w:spacing w:after="60"/>
        <w:jc w:val="both"/>
      </w:pPr>
      <w:r>
        <w:rPr>
          <w:rFonts w:ascii="Times New Roman" w:hAnsi="Times New Roman" w:cs="Times New Roman" w:eastAsia="Times New Roman"/>
          <w:b/>
          <w:sz w:val="20"/>
        </w:rPr>
        <w:t xml:space="preserve">Dual OT implementations, cross-checked. </w:t>
      </w:r>
      <w:r>
        <w:rPr>
          <w:rFonts w:ascii="Times New Roman" w:hAnsi="Times New Roman" w:cs="Times New Roman" w:eastAsia="Times New Roman"/>
          <w:sz w:val="20"/>
        </w:rPr>
        <w:t>The Python server engine and its JavaScript browser port are checked against each other on random edits, because a divergence would silently desynchronise editors.</w:t>
      </w:r>
    </w:p>
    <w:p>
      <w:pPr>
        <w:keepNext/>
        <w:spacing w:before="200" w:after="80"/>
        <w:jc w:val="center"/>
      </w:pPr>
      <w:r>
        <w:rPr>
          <w:rFonts w:ascii="Times New Roman" w:hAnsi="Times New Roman" w:cs="Times New Roman" w:eastAsia="Times New Roman"/>
          <w:b w:val="0"/>
          <w:i w:val="0"/>
          <w:sz w:val="20"/>
        </w:rPr>
        <w:t>III. DATASET LINK</w:t>
      </w:r>
    </w:p>
    <w:p>
      <w:pPr>
        <w:keepNext w:val="0"/>
        <w:spacing w:before="0" w:after="120"/>
        <w:jc w:val="both"/>
      </w:pPr>
      <w:r>
        <w:rPr>
          <w:rFonts w:ascii="Times New Roman" w:hAnsi="Times New Roman" w:cs="Times New Roman" w:eastAsia="Times New Roman"/>
          <w:b w:val="0"/>
          <w:i w:val="0"/>
          <w:sz w:val="20"/>
        </w:rPr>
        <w:t>The project uses no external dataset. The attribution model is trained at run time on each document's own ledger-labelled text, and the evaluation uses three synthetic writing styles built to differ on the measured features (server/tests/corpora.py in the repository). No original dataset was collected, so no Zenodo DOI exists.</w:t>
      </w:r>
    </w:p>
    <w:p>
      <w:pPr>
        <w:keepNext w:val="0"/>
        <w:spacing w:before="0" w:after="80"/>
        <w:jc w:val="both"/>
      </w:pPr>
      <w:r>
        <w:rPr>
          <w:rFonts w:ascii="Times New Roman" w:hAnsi="Times New Roman" w:cs="Times New Roman" w:eastAsia="Times New Roman"/>
          <w:b/>
          <w:sz w:val="20"/>
        </w:rPr>
        <w:t xml:space="preserve">Citation (no dataset DOI; reserved if a corpus is later archived): </w:t>
      </w:r>
      <w:r>
        <w:rPr>
          <w:rFonts w:ascii="Times New Roman" w:hAnsi="Times New Roman" w:cs="Times New Roman" w:eastAsia="Times New Roman"/>
          <w:sz w:val="20"/>
        </w:rPr>
        <w:t>Nitish Kumar, Balan N, S Vigneshwari, "CollabDoc collaborative-writing corpus," Zenodo, [DOI to be assigned].</w:t>
      </w:r>
    </w:p>
    <w:p>
      <w:pPr>
        <w:keepNext/>
        <w:spacing w:before="200" w:after="80"/>
        <w:jc w:val="center"/>
      </w:pPr>
      <w:r>
        <w:rPr>
          <w:rFonts w:ascii="Times New Roman" w:hAnsi="Times New Roman" w:cs="Times New Roman" w:eastAsia="Times New Roman"/>
          <w:b w:val="0"/>
          <w:i w:val="0"/>
          <w:sz w:val="20"/>
        </w:rPr>
        <w:t>IV. PROJECT DEMO LINK</w:t>
      </w:r>
    </w:p>
    <w:p>
      <w:pPr>
        <w:keepNext w:val="0"/>
        <w:spacing w:before="0" w:after="120"/>
        <w:jc w:val="both"/>
      </w:pPr>
      <w:r>
        <w:rPr>
          <w:rFonts w:ascii="Times New Roman" w:hAnsi="Times New Roman" w:cs="Times New Roman" w:eastAsia="Times New Roman"/>
          <w:b w:val="0"/>
          <w:i w:val="0"/>
          <w:sz w:val="20"/>
        </w:rPr>
        <w:t>Not available. The project was deployed on AWS (k3s on EC2, RDS, S3, ECR) and demonstrated live, but the AWS free-plan credits have been used up and the stack has been torn down, so there is no live demo URL. The full deployment can be recreated from the repository with Terraform and deploy/deploy.ps1, and the screenshots, results and deployment configuration are included in this document and in the repository.</w:t>
      </w:r>
    </w:p>
    <w:p>
      <w:pPr>
        <w:keepNext/>
        <w:spacing w:before="200" w:after="80"/>
        <w:jc w:val="center"/>
      </w:pPr>
      <w:r>
        <w:rPr>
          <w:rFonts w:ascii="Times New Roman" w:hAnsi="Times New Roman" w:cs="Times New Roman" w:eastAsia="Times New Roman"/>
          <w:b w:val="0"/>
          <w:i w:val="0"/>
          <w:sz w:val="20"/>
        </w:rPr>
        <w:t>V. GITHUB REPOSITORY LINK</w:t>
      </w:r>
    </w:p>
    <w:p>
      <w:pPr>
        <w:keepNext w:val="0"/>
        <w:spacing w:before="0" w:after="60"/>
        <w:jc w:val="left"/>
      </w:pPr>
      <w:r>
        <w:rPr>
          <w:rFonts w:ascii="Times New Roman" w:hAnsi="Times New Roman" w:cs="Times New Roman" w:eastAsia="Times New Roman"/>
          <w:b w:val="0"/>
          <w:i w:val="0"/>
          <w:sz w:val="20"/>
        </w:rPr>
        <w:t>https://github.com/Zerko-sd/CollabDoc</w:t>
      </w:r>
    </w:p>
    <w:p>
      <w:pPr>
        <w:keepNext w:val="0"/>
        <w:spacing w:before="0" w:after="80"/>
        <w:jc w:val="both"/>
      </w:pPr>
      <w:r>
        <w:rPr>
          <w:rFonts w:ascii="Times New Roman" w:hAnsi="Times New Roman" w:cs="Times New Roman" w:eastAsia="Times New Roman"/>
          <w:b/>
          <w:sz w:val="20"/>
        </w:rPr>
        <w:t xml:space="preserve">Citation: </w:t>
      </w:r>
      <w:r>
        <w:rPr>
          <w:rFonts w:ascii="Times New Roman" w:hAnsi="Times New Roman" w:cs="Times New Roman" w:eastAsia="Times New Roman"/>
          <w:sz w:val="20"/>
        </w:rPr>
        <w:t>Nitish Kumar, Balan N, S Vigneshwari, "CollabDoc: A Real-Time Collaborative Document Editor with Operational Transformation and Stylometric Authorship Attribution," GitHub repository, https://github.com/Zerko-sd/CollabDoc.</w:t>
      </w:r>
    </w:p>
    <w:p>
      <w:pPr>
        <w:keepNext/>
        <w:spacing w:before="200" w:after="80"/>
        <w:jc w:val="center"/>
      </w:pPr>
      <w:r>
        <w:rPr>
          <w:rFonts w:ascii="Times New Roman" w:hAnsi="Times New Roman" w:cs="Times New Roman" w:eastAsia="Times New Roman"/>
          <w:b w:val="0"/>
          <w:i w:val="0"/>
          <w:sz w:val="20"/>
        </w:rPr>
        <w:t>VI. ARCHITECTURE DIAGRAM</w:t>
      </w:r>
    </w:p>
    <w:p>
      <w:pPr>
        <w:keepNext w:val="0"/>
        <w:spacing w:before="0" w:after="120"/>
        <w:jc w:val="both"/>
      </w:pPr>
      <w:r>
        <w:rPr>
          <w:rFonts w:ascii="Times New Roman" w:hAnsi="Times New Roman" w:cs="Times New Roman" w:eastAsia="Times New Roman"/>
          <w:b w:val="0"/>
          <w:i w:val="0"/>
          <w:sz w:val="20"/>
        </w:rPr>
        <w:t>Application architecture. A browser reaches the server through REST routers (accounts, documents, sharing, history) and a WebSocket (editing, presence, attribution). Both read through a per-document session that holds the OT state, the keystroke ledger and the attribution engine. Every event leaves through a broadcaster.</w:t>
      </w:r>
    </w:p>
    <w:p>
      <w:pPr>
        <w:keepNext/>
        <w:spacing w:before="80" w:after="40"/>
        <w:jc w:val="center"/>
      </w:pPr>
      <w:r>
        <w:drawing>
          <wp:inline xmlns:a="http://schemas.openxmlformats.org/drawingml/2006/main" xmlns:pic="http://schemas.openxmlformats.org/drawingml/2006/picture">
            <wp:extent cx="2834640" cy="1777497"/>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2834640" cy="1777497"/>
                    </a:xfrm>
                    <a:prstGeom prst="rect"/>
                  </pic:spPr>
                </pic:pic>
              </a:graphicData>
            </a:graphic>
          </wp:inline>
        </w:drawing>
      </w:r>
    </w:p>
    <w:p>
      <w:pPr>
        <w:keepNext w:val="0"/>
        <w:spacing w:before="0" w:after="160"/>
        <w:jc w:val="center"/>
      </w:pPr>
      <w:r>
        <w:rPr>
          <w:rFonts w:ascii="Times New Roman" w:hAnsi="Times New Roman" w:cs="Times New Roman" w:eastAsia="Times New Roman"/>
          <w:b w:val="0"/>
          <w:i w:val="0"/>
          <w:sz w:val="16"/>
        </w:rPr>
        <w:t>Fig. 1. Application request paths.</w:t>
      </w:r>
    </w:p>
    <w:p>
      <w:pPr>
        <w:keepNext w:val="0"/>
        <w:spacing w:before="0" w:after="120"/>
        <w:jc w:val="both"/>
      </w:pPr>
      <w:r>
        <w:rPr>
          <w:rFonts w:ascii="Times New Roman" w:hAnsi="Times New Roman" w:cs="Times New Roman" w:eastAsia="Times New Roman"/>
          <w:b w:val="0"/>
          <w:i w:val="0"/>
          <w:sz w:val="20"/>
        </w:rPr>
        <w:t>AWS deployment architecture. The browser reaches an Elastic IP in front of a Caddy router, which sends each document to one of three application pods. The cluster talks to RDS PostgreSQL (shared durable state, private subnets), an S3 bucket (uploads visible to every pod) and ECR (container image). The Kubernetes API is open to the owner's IP only, and the kubeconfig is handed over through SSM Parameter Store, so no SSH keys are used. CloudWatch records node and database metrics with four alarms (node status check, node CPU, database CPU, database storage), and a monthly AWS Budget tracks spend.</w:t>
      </w:r>
    </w:p>
    <w:p>
      <w:pPr>
        <w:keepNext/>
        <w:spacing w:before="80" w:after="40"/>
        <w:jc w:val="center"/>
      </w:pPr>
      <w:r>
        <w:drawing>
          <wp:inline xmlns:a="http://schemas.openxmlformats.org/drawingml/2006/main" xmlns:pic="http://schemas.openxmlformats.org/drawingml/2006/picture">
            <wp:extent cx="3063240" cy="1887225"/>
            <wp:docPr id="3" name="Picture 3"/>
            <wp:cNvGraphicFramePr>
              <a:graphicFrameLocks noChangeAspect="1"/>
            </wp:cNvGraphicFramePr>
            <a:graphic>
              <a:graphicData uri="http://schemas.openxmlformats.org/drawingml/2006/picture">
                <pic:pic>
                  <pic:nvPicPr>
                    <pic:cNvPr id="0" name="aws.png"/>
                    <pic:cNvPicPr/>
                  </pic:nvPicPr>
                  <pic:blipFill>
                    <a:blip r:embed="rId11"/>
                    <a:stretch>
                      <a:fillRect/>
                    </a:stretch>
                  </pic:blipFill>
                  <pic:spPr>
                    <a:xfrm>
                      <a:off x="0" y="0"/>
                      <a:ext cx="3063240" cy="1887225"/>
                    </a:xfrm>
                    <a:prstGeom prst="rect"/>
                  </pic:spPr>
                </pic:pic>
              </a:graphicData>
            </a:graphic>
          </wp:inline>
        </w:drawing>
      </w:r>
    </w:p>
    <w:p>
      <w:pPr>
        <w:keepNext w:val="0"/>
        <w:spacing w:before="0" w:after="160"/>
        <w:jc w:val="center"/>
      </w:pPr>
      <w:r>
        <w:rPr>
          <w:rFonts w:ascii="Times New Roman" w:hAnsi="Times New Roman" w:cs="Times New Roman" w:eastAsia="Times New Roman"/>
          <w:b w:val="0"/>
          <w:i w:val="0"/>
          <w:sz w:val="16"/>
        </w:rPr>
        <w:t>Fig. 2. AWS deployment architecture (ap-south-1).</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80"/>
        <w:gridCol w:w="3480"/>
        <w:gridCol w:w="3480"/>
      </w:tblGrid>
      <w:tr>
        <w:tc>
          <w:tcPr>
            <w:tcW w:type="dxa" w:w="3480"/>
          </w:tcPr>
          <w:p>
            <w:r>
              <w:rPr>
                <w:rFonts w:ascii="Times New Roman" w:hAnsi="Times New Roman" w:cs="Times New Roman" w:eastAsia="Times New Roman"/>
                <w:b/>
                <w:sz w:val="17"/>
              </w:rPr>
              <w:t>Component</w:t>
            </w:r>
          </w:p>
        </w:tc>
        <w:tc>
          <w:tcPr>
            <w:tcW w:type="dxa" w:w="3480"/>
          </w:tcPr>
          <w:p>
            <w:r>
              <w:rPr>
                <w:rFonts w:ascii="Times New Roman" w:hAnsi="Times New Roman" w:cs="Times New Roman" w:eastAsia="Times New Roman"/>
                <w:b/>
                <w:sz w:val="17"/>
              </w:rPr>
              <w:t>AWS / Kubernetes resource</w:t>
            </w:r>
          </w:p>
        </w:tc>
        <w:tc>
          <w:tcPr>
            <w:tcW w:type="dxa" w:w="3480"/>
          </w:tcPr>
          <w:p>
            <w:r>
              <w:rPr>
                <w:rFonts w:ascii="Times New Roman" w:hAnsi="Times New Roman" w:cs="Times New Roman" w:eastAsia="Times New Roman"/>
                <w:b/>
                <w:sz w:val="17"/>
              </w:rPr>
              <w:t>Why</w:t>
            </w:r>
          </w:p>
        </w:tc>
      </w:tr>
      <w:tr>
        <w:tc>
          <w:tcPr>
            <w:tcW w:type="dxa" w:w="3480"/>
          </w:tcPr>
          <w:p>
            <w:pPr>
              <w:spacing w:after="0"/>
            </w:pPr>
            <w:r>
              <w:rPr>
                <w:rFonts w:ascii="Times New Roman" w:hAnsi="Times New Roman" w:cs="Times New Roman" w:eastAsia="Times New Roman"/>
                <w:sz w:val="17"/>
              </w:rPr>
              <w:t>Application</w:t>
            </w:r>
          </w:p>
        </w:tc>
        <w:tc>
          <w:tcPr>
            <w:tcW w:type="dxa" w:w="3480"/>
          </w:tcPr>
          <w:p>
            <w:pPr>
              <w:spacing w:after="0"/>
            </w:pPr>
            <w:r>
              <w:rPr>
                <w:rFonts w:ascii="Times New Roman" w:hAnsi="Times New Roman" w:cs="Times New Roman" w:eastAsia="Times New Roman"/>
                <w:sz w:val="17"/>
              </w:rPr>
              <w:t>StatefulSet "app", 3 pods</w:t>
            </w:r>
          </w:p>
        </w:tc>
        <w:tc>
          <w:tcPr>
            <w:tcW w:type="dxa" w:w="3480"/>
          </w:tcPr>
          <w:p>
            <w:pPr>
              <w:spacing w:after="0"/>
            </w:pPr>
            <w:r>
              <w:rPr>
                <w:rFonts w:ascii="Times New Roman" w:hAnsi="Times New Roman" w:cs="Times New Roman" w:eastAsia="Times New Roman"/>
                <w:sz w:val="17"/>
              </w:rPr>
              <w:t>Stable pod names for the router to hash onto; ordered start so one pod at a time runs schema migrations</w:t>
            </w:r>
          </w:p>
        </w:tc>
      </w:tr>
      <w:tr>
        <w:tc>
          <w:tcPr>
            <w:tcW w:type="dxa" w:w="3480"/>
          </w:tcPr>
          <w:p>
            <w:pPr>
              <w:spacing w:after="0"/>
            </w:pPr>
            <w:r>
              <w:rPr>
                <w:rFonts w:ascii="Times New Roman" w:hAnsi="Times New Roman" w:cs="Times New Roman" w:eastAsia="Times New Roman"/>
                <w:sz w:val="17"/>
              </w:rPr>
              <w:t>Router</w:t>
            </w:r>
          </w:p>
        </w:tc>
        <w:tc>
          <w:tcPr>
            <w:tcW w:type="dxa" w:w="3480"/>
          </w:tcPr>
          <w:p>
            <w:pPr>
              <w:spacing w:after="0"/>
            </w:pPr>
            <w:r>
              <w:rPr>
                <w:rFonts w:ascii="Times New Roman" w:hAnsi="Times New Roman" w:cs="Times New Roman" w:eastAsia="Times New Roman"/>
                <w:sz w:val="17"/>
              </w:rPr>
              <w:t>Caddy Deployment + LoadBalancer Service</w:t>
            </w:r>
          </w:p>
        </w:tc>
        <w:tc>
          <w:tcPr>
            <w:tcW w:type="dxa" w:w="3480"/>
          </w:tcPr>
          <w:p>
            <w:pPr>
              <w:spacing w:after="0"/>
            </w:pPr>
            <w:r>
              <w:rPr>
                <w:rFonts w:ascii="Times New Roman" w:hAnsi="Times New Roman" w:cs="Times New Roman" w:eastAsia="Times New Roman"/>
                <w:sz w:val="17"/>
              </w:rPr>
              <w:t>Sends every request for a document to the same pod; optional automatic HTTPS</w:t>
            </w:r>
          </w:p>
        </w:tc>
      </w:tr>
      <w:tr>
        <w:tc>
          <w:tcPr>
            <w:tcW w:type="dxa" w:w="3480"/>
          </w:tcPr>
          <w:p>
            <w:pPr>
              <w:spacing w:after="0"/>
            </w:pPr>
            <w:r>
              <w:rPr>
                <w:rFonts w:ascii="Times New Roman" w:hAnsi="Times New Roman" w:cs="Times New Roman" w:eastAsia="Times New Roman"/>
                <w:sz w:val="17"/>
              </w:rPr>
              <w:t>Fan-out</w:t>
            </w:r>
          </w:p>
        </w:tc>
        <w:tc>
          <w:tcPr>
            <w:tcW w:type="dxa" w:w="3480"/>
          </w:tcPr>
          <w:p>
            <w:pPr>
              <w:spacing w:after="0"/>
            </w:pPr>
            <w:r>
              <w:rPr>
                <w:rFonts w:ascii="Times New Roman" w:hAnsi="Times New Roman" w:cs="Times New Roman" w:eastAsia="Times New Roman"/>
                <w:sz w:val="17"/>
              </w:rPr>
              <w:t>Kafka (KRaft, one pod)</w:t>
            </w:r>
          </w:p>
        </w:tc>
        <w:tc>
          <w:tcPr>
            <w:tcW w:type="dxa" w:w="3480"/>
          </w:tcPr>
          <w:p>
            <w:pPr>
              <w:spacing w:after="0"/>
            </w:pPr>
            <w:r>
              <w:rPr>
                <w:rFonts w:ascii="Times New Roman" w:hAnsi="Times New Roman" w:cs="Times New Roman" w:eastAsia="Times New Roman"/>
                <w:sz w:val="17"/>
              </w:rPr>
              <w:t>Presence and notifications reach users connected to other pods</w:t>
            </w:r>
          </w:p>
        </w:tc>
      </w:tr>
      <w:tr>
        <w:tc>
          <w:tcPr>
            <w:tcW w:type="dxa" w:w="3480"/>
          </w:tcPr>
          <w:p>
            <w:pPr>
              <w:spacing w:after="0"/>
            </w:pPr>
            <w:r>
              <w:rPr>
                <w:rFonts w:ascii="Times New Roman" w:hAnsi="Times New Roman" w:cs="Times New Roman" w:eastAsia="Times New Roman"/>
                <w:sz w:val="17"/>
              </w:rPr>
              <w:t>Database</w:t>
            </w:r>
          </w:p>
        </w:tc>
        <w:tc>
          <w:tcPr>
            <w:tcW w:type="dxa" w:w="3480"/>
          </w:tcPr>
          <w:p>
            <w:pPr>
              <w:spacing w:after="0"/>
            </w:pPr>
            <w:r>
              <w:rPr>
                <w:rFonts w:ascii="Times New Roman" w:hAnsi="Times New Roman" w:cs="Times New Roman" w:eastAsia="Times New Roman"/>
                <w:sz w:val="17"/>
              </w:rPr>
              <w:t>RDS PostgreSQL 16, private subnets</w:t>
            </w:r>
          </w:p>
        </w:tc>
        <w:tc>
          <w:tcPr>
            <w:tcW w:type="dxa" w:w="3480"/>
          </w:tcPr>
          <w:p>
            <w:pPr>
              <w:spacing w:after="0"/>
            </w:pPr>
            <w:r>
              <w:rPr>
                <w:rFonts w:ascii="Times New Roman" w:hAnsi="Times New Roman" w:cs="Times New Roman" w:eastAsia="Times New Roman"/>
                <w:sz w:val="17"/>
              </w:rPr>
              <w:t>Shared, durable state for all pods</w:t>
            </w:r>
          </w:p>
        </w:tc>
      </w:tr>
      <w:tr>
        <w:tc>
          <w:tcPr>
            <w:tcW w:type="dxa" w:w="3480"/>
          </w:tcPr>
          <w:p>
            <w:pPr>
              <w:spacing w:after="0"/>
            </w:pPr>
            <w:r>
              <w:rPr>
                <w:rFonts w:ascii="Times New Roman" w:hAnsi="Times New Roman" w:cs="Times New Roman" w:eastAsia="Times New Roman"/>
                <w:sz w:val="17"/>
              </w:rPr>
              <w:t>Uploads</w:t>
            </w:r>
          </w:p>
        </w:tc>
        <w:tc>
          <w:tcPr>
            <w:tcW w:type="dxa" w:w="3480"/>
          </w:tcPr>
          <w:p>
            <w:pPr>
              <w:spacing w:after="0"/>
            </w:pPr>
            <w:r>
              <w:rPr>
                <w:rFonts w:ascii="Times New Roman" w:hAnsi="Times New Roman" w:cs="Times New Roman" w:eastAsia="Times New Roman"/>
                <w:sz w:val="17"/>
              </w:rPr>
              <w:t>S3 bucket, private</w:t>
            </w:r>
          </w:p>
        </w:tc>
        <w:tc>
          <w:tcPr>
            <w:tcW w:type="dxa" w:w="3480"/>
          </w:tcPr>
          <w:p>
            <w:pPr>
              <w:spacing w:after="0"/>
            </w:pPr>
            <w:r>
              <w:rPr>
                <w:rFonts w:ascii="Times New Roman" w:hAnsi="Times New Roman" w:cs="Times New Roman" w:eastAsia="Times New Roman"/>
                <w:sz w:val="17"/>
              </w:rPr>
              <w:t>Every pod sees every image</w:t>
            </w:r>
          </w:p>
        </w:tc>
      </w:tr>
      <w:tr>
        <w:tc>
          <w:tcPr>
            <w:tcW w:type="dxa" w:w="3480"/>
          </w:tcPr>
          <w:p>
            <w:pPr>
              <w:spacing w:after="0"/>
            </w:pPr>
            <w:r>
              <w:rPr>
                <w:rFonts w:ascii="Times New Roman" w:hAnsi="Times New Roman" w:cs="Times New Roman" w:eastAsia="Times New Roman"/>
                <w:sz w:val="17"/>
              </w:rPr>
              <w:t>Image</w:t>
            </w:r>
          </w:p>
        </w:tc>
        <w:tc>
          <w:tcPr>
            <w:tcW w:type="dxa" w:w="3480"/>
          </w:tcPr>
          <w:p>
            <w:pPr>
              <w:spacing w:after="0"/>
            </w:pPr>
            <w:r>
              <w:rPr>
                <w:rFonts w:ascii="Times New Roman" w:hAnsi="Times New Roman" w:cs="Times New Roman" w:eastAsia="Times New Roman"/>
                <w:sz w:val="17"/>
              </w:rPr>
              <w:t>ECR repository</w:t>
            </w:r>
          </w:p>
        </w:tc>
        <w:tc>
          <w:tcPr>
            <w:tcW w:type="dxa" w:w="3480"/>
          </w:tcPr>
          <w:p>
            <w:pPr>
              <w:spacing w:after="0"/>
            </w:pPr>
            <w:r>
              <w:rPr>
                <w:rFonts w:ascii="Times New Roman" w:hAnsi="Times New Roman" w:cs="Times New Roman" w:eastAsia="Times New Roman"/>
                <w:sz w:val="17"/>
              </w:rPr>
              <w:t>Pulled by the node with a pull secret refreshed every 6 hours from the instance role</w:t>
            </w:r>
          </w:p>
        </w:tc>
      </w:tr>
      <w:tr>
        <w:tc>
          <w:tcPr>
            <w:tcW w:type="dxa" w:w="3480"/>
          </w:tcPr>
          <w:p>
            <w:pPr>
              <w:spacing w:after="0"/>
            </w:pPr>
            <w:r>
              <w:rPr>
                <w:rFonts w:ascii="Times New Roman" w:hAnsi="Times New Roman" w:cs="Times New Roman" w:eastAsia="Times New Roman"/>
                <w:sz w:val="17"/>
              </w:rPr>
              <w:t>Cluster</w:t>
            </w:r>
          </w:p>
        </w:tc>
        <w:tc>
          <w:tcPr>
            <w:tcW w:type="dxa" w:w="3480"/>
          </w:tcPr>
          <w:p>
            <w:pPr>
              <w:spacing w:after="0"/>
            </w:pPr>
            <w:r>
              <w:rPr>
                <w:rFonts w:ascii="Times New Roman" w:hAnsi="Times New Roman" w:cs="Times New Roman" w:eastAsia="Times New Roman"/>
                <w:sz w:val="17"/>
              </w:rPr>
              <w:t>k3s on one EC2 c7i-flex.large</w:t>
            </w:r>
          </w:p>
        </w:tc>
        <w:tc>
          <w:tcPr>
            <w:tcW w:type="dxa" w:w="3480"/>
          </w:tcPr>
          <w:p>
            <w:pPr>
              <w:spacing w:after="0"/>
            </w:pPr>
            <w:r>
              <w:rPr>
                <w:rFonts w:ascii="Times New Roman" w:hAnsi="Times New Roman" w:cs="Times New Roman" w:eastAsia="Times New Roman"/>
                <w:sz w:val="17"/>
              </w:rPr>
              <w:t>Real Kubernetes without the EKS control-plane fee</w:t>
            </w:r>
          </w:p>
        </w:tc>
      </w:tr>
      <w:tr>
        <w:tc>
          <w:tcPr>
            <w:tcW w:type="dxa" w:w="3480"/>
          </w:tcPr>
          <w:p>
            <w:pPr>
              <w:spacing w:after="0"/>
            </w:pPr>
            <w:r>
              <w:rPr>
                <w:rFonts w:ascii="Times New Roman" w:hAnsi="Times New Roman" w:cs="Times New Roman" w:eastAsia="Times New Roman"/>
                <w:sz w:val="17"/>
              </w:rPr>
              <w:t>Operations</w:t>
            </w:r>
          </w:p>
        </w:tc>
        <w:tc>
          <w:tcPr>
            <w:tcW w:type="dxa" w:w="3480"/>
          </w:tcPr>
          <w:p>
            <w:pPr>
              <w:spacing w:after="0"/>
            </w:pPr>
            <w:r>
              <w:rPr>
                <w:rFonts w:ascii="Times New Roman" w:hAnsi="Times New Roman" w:cs="Times New Roman" w:eastAsia="Times New Roman"/>
                <w:sz w:val="17"/>
              </w:rPr>
              <w:t>CloudWatch dashboard and alarms, AWS Budgets, stop/start scripts</w:t>
            </w:r>
          </w:p>
        </w:tc>
        <w:tc>
          <w:tcPr>
            <w:tcW w:type="dxa" w:w="3480"/>
          </w:tcPr>
          <w:p>
            <w:pPr>
              <w:spacing w:after="0"/>
            </w:pPr>
            <w:r>
              <w:rPr>
                <w:rFonts w:ascii="Times New Roman" w:hAnsi="Times New Roman" w:cs="Times New Roman" w:eastAsia="Times New Roman"/>
                <w:sz w:val="17"/>
              </w:rPr>
              <w:t>Visibility and a hard handle on cost</w:t>
            </w:r>
          </w:p>
        </w:tc>
      </w:tr>
    </w:tbl>
    <w:p>
      <w:pPr>
        <w:keepNext w:val="0"/>
        <w:spacing w:before="60" w:after="120"/>
        <w:jc w:val="center"/>
      </w:pPr>
      <w:r>
        <w:rPr>
          <w:rFonts w:ascii="Times New Roman" w:hAnsi="Times New Roman" w:cs="Times New Roman" w:eastAsia="Times New Roman"/>
          <w:b w:val="0"/>
          <w:i w:val="0"/>
          <w:sz w:val="16"/>
        </w:rPr>
        <w:t>Table I. Cloud components and the reason for each.</w:t>
      </w:r>
    </w:p>
    <w:p>
      <w:pPr>
        <w:keepNext w:val="0"/>
        <w:spacing w:before="0" w:after="120"/>
        <w:jc w:val="both"/>
      </w:pPr>
      <w:r>
        <w:rPr>
          <w:rFonts w:ascii="Times New Roman" w:hAnsi="Times New Roman" w:cs="Times New Roman" w:eastAsia="Times New Roman"/>
          <w:b w:val="0"/>
          <w:i w:val="0"/>
          <w:sz w:val="20"/>
        </w:rPr>
        <w:t>Why one document lives on one pod. A document's version counter is held in the memory of the pod that opened it. If two pods opened the same document, each would number operations independently and the copies would drift apart, and the operation log has no unique (document id, version) constraint to catch it. The router therefore hashes the id found in /ws/documents/{id}, /api/documents/{id}/... and /p/{id}. This favours consistency: a document is unavailable only while its pod fails over, never inconsistent. Every response carries an X-Served-By header so the routing is visible. Known limitation: after a pod failure the documents move to other pods and a connected editor should reload; a per-document lease would remove this.</w:t>
      </w:r>
    </w:p>
    <w:p>
      <w:pPr>
        <w:keepNext/>
        <w:spacing w:before="200" w:after="80"/>
        <w:jc w:val="center"/>
      </w:pPr>
      <w:r>
        <w:rPr>
          <w:rFonts w:ascii="Times New Roman" w:hAnsi="Times New Roman" w:cs="Times New Roman" w:eastAsia="Times New Roman"/>
          <w:b w:val="0"/>
          <w:i w:val="0"/>
          <w:sz w:val="20"/>
        </w:rPr>
        <w:t>VII. SCREENSHOTS</w:t>
      </w:r>
    </w:p>
    <w:p>
      <w:pPr>
        <w:keepNext/>
        <w:spacing w:before="80" w:after="40"/>
        <w:jc w:val="center"/>
      </w:pPr>
      <w:r>
        <w:drawing>
          <wp:inline xmlns:a="http://schemas.openxmlformats.org/drawingml/2006/main" xmlns:pic="http://schemas.openxmlformats.org/drawingml/2006/picture">
            <wp:extent cx="3063240" cy="1914525"/>
            <wp:docPr id="4" name="Picture 4"/>
            <wp:cNvGraphicFramePr>
              <a:graphicFrameLocks noChangeAspect="1"/>
            </wp:cNvGraphicFramePr>
            <a:graphic>
              <a:graphicData uri="http://schemas.openxmlformats.org/drawingml/2006/picture">
                <pic:pic>
                  <pic:nvPicPr>
                    <pic:cNvPr id="0" name="02-editor-alice.png"/>
                    <pic:cNvPicPr/>
                  </pic:nvPicPr>
                  <pic:blipFill>
                    <a:blip r:embed="rId12"/>
                    <a:stretch>
                      <a:fillRect/>
                    </a:stretch>
                  </pic:blipFill>
                  <pic:spPr>
                    <a:xfrm>
                      <a:off x="0" y="0"/>
                      <a:ext cx="3063240" cy="1914525"/>
                    </a:xfrm>
                    <a:prstGeom prst="rect"/>
                  </pic:spPr>
                </pic:pic>
              </a:graphicData>
            </a:graphic>
          </wp:inline>
        </w:drawing>
      </w:r>
    </w:p>
    <w:p>
      <w:pPr>
        <w:keepNext w:val="0"/>
        <w:spacing w:before="0" w:after="160"/>
        <w:jc w:val="center"/>
      </w:pPr>
      <w:r>
        <w:rPr>
          <w:rFonts w:ascii="Times New Roman" w:hAnsi="Times New Roman" w:cs="Times New Roman" w:eastAsia="Times New Roman"/>
          <w:b w:val="0"/>
          <w:i w:val="0"/>
          <w:sz w:val="16"/>
        </w:rPr>
        <w:t>Fig. 3. Block editor with live collaborators and authorship attribution.</w:t>
      </w:r>
    </w:p>
    <w:p>
      <w:pPr>
        <w:keepNext/>
        <w:spacing w:before="80" w:after="40"/>
        <w:jc w:val="center"/>
      </w:pPr>
      <w:r>
        <w:drawing>
          <wp:inline xmlns:a="http://schemas.openxmlformats.org/drawingml/2006/main" xmlns:pic="http://schemas.openxmlformats.org/drawingml/2006/picture">
            <wp:extent cx="3063240" cy="1914525"/>
            <wp:docPr id="5" name="Picture 5"/>
            <wp:cNvGraphicFramePr>
              <a:graphicFrameLocks noChangeAspect="1"/>
            </wp:cNvGraphicFramePr>
            <a:graphic>
              <a:graphicData uri="http://schemas.openxmlformats.org/drawingml/2006/picture">
                <pic:pic>
                  <pic:nvPicPr>
                    <pic:cNvPr id="0" name="05-comments-activity.png"/>
                    <pic:cNvPicPr/>
                  </pic:nvPicPr>
                  <pic:blipFill>
                    <a:blip r:embed="rId13"/>
                    <a:stretch>
                      <a:fillRect/>
                    </a:stretch>
                  </pic:blipFill>
                  <pic:spPr>
                    <a:xfrm>
                      <a:off x="0" y="0"/>
                      <a:ext cx="3063240" cy="1914525"/>
                    </a:xfrm>
                    <a:prstGeom prst="rect"/>
                  </pic:spPr>
                </pic:pic>
              </a:graphicData>
            </a:graphic>
          </wp:inline>
        </w:drawing>
      </w:r>
    </w:p>
    <w:p>
      <w:pPr>
        <w:keepNext w:val="0"/>
        <w:spacing w:before="0" w:after="160"/>
        <w:jc w:val="center"/>
      </w:pPr>
      <w:r>
        <w:rPr>
          <w:rFonts w:ascii="Times New Roman" w:hAnsi="Times New Roman" w:cs="Times New Roman" w:eastAsia="Times New Roman"/>
          <w:b w:val="0"/>
          <w:i w:val="0"/>
          <w:sz w:val="16"/>
        </w:rPr>
        <w:t>Fig. 4. Anchored comments and the per-author activity timeline.</w:t>
      </w:r>
    </w:p>
    <w:p>
      <w:pPr>
        <w:keepNext/>
        <w:spacing w:before="80" w:after="40"/>
        <w:jc w:val="center"/>
      </w:pPr>
      <w:r>
        <w:drawing>
          <wp:inline xmlns:a="http://schemas.openxmlformats.org/drawingml/2006/main" xmlns:pic="http://schemas.openxmlformats.org/drawingml/2006/picture">
            <wp:extent cx="3063240" cy="1914525"/>
            <wp:docPr id="6" name="Picture 6"/>
            <wp:cNvGraphicFramePr>
              <a:graphicFrameLocks noChangeAspect="1"/>
            </wp:cNvGraphicFramePr>
            <a:graphic>
              <a:graphicData uri="http://schemas.openxmlformats.org/drawingml/2006/picture">
                <pic:pic>
                  <pic:nvPicPr>
                    <pic:cNvPr id="0" name="04-version-history.png"/>
                    <pic:cNvPicPr/>
                  </pic:nvPicPr>
                  <pic:blipFill>
                    <a:blip r:embed="rId14"/>
                    <a:stretch>
                      <a:fillRect/>
                    </a:stretch>
                  </pic:blipFill>
                  <pic:spPr>
                    <a:xfrm>
                      <a:off x="0" y="0"/>
                      <a:ext cx="3063240" cy="1914525"/>
                    </a:xfrm>
                    <a:prstGeom prst="rect"/>
                  </pic:spPr>
                </pic:pic>
              </a:graphicData>
            </a:graphic>
          </wp:inline>
        </w:drawing>
      </w:r>
    </w:p>
    <w:p>
      <w:pPr>
        <w:keepNext w:val="0"/>
        <w:spacing w:before="0" w:after="160"/>
        <w:jc w:val="center"/>
      </w:pPr>
      <w:r>
        <w:rPr>
          <w:rFonts w:ascii="Times New Roman" w:hAnsi="Times New Roman" w:cs="Times New Roman" w:eastAsia="Times New Roman"/>
          <w:b w:val="0"/>
          <w:i w:val="0"/>
          <w:sz w:val="16"/>
        </w:rPr>
        <w:t>Fig. 5. Version history drawn from the operation log.</w:t>
      </w:r>
    </w:p>
    <w:p>
      <w:pPr>
        <w:keepNext/>
        <w:spacing w:before="80" w:after="40"/>
        <w:jc w:val="center"/>
      </w:pPr>
      <w:r>
        <w:drawing>
          <wp:inline xmlns:a="http://schemas.openxmlformats.org/drawingml/2006/main" xmlns:pic="http://schemas.openxmlformats.org/drawingml/2006/picture">
            <wp:extent cx="3063240" cy="1914525"/>
            <wp:docPr id="7" name="Picture 7"/>
            <wp:cNvGraphicFramePr>
              <a:graphicFrameLocks noChangeAspect="1"/>
            </wp:cNvGraphicFramePr>
            <a:graphic>
              <a:graphicData uri="http://schemas.openxmlformats.org/drawingml/2006/picture">
                <pic:pic>
                  <pic:nvPicPr>
                    <pic:cNvPr id="0" name="06-version-compare.png"/>
                    <pic:cNvPicPr/>
                  </pic:nvPicPr>
                  <pic:blipFill>
                    <a:blip r:embed="rId15"/>
                    <a:stretch>
                      <a:fillRect/>
                    </a:stretch>
                  </pic:blipFill>
                  <pic:spPr>
                    <a:xfrm>
                      <a:off x="0" y="0"/>
                      <a:ext cx="3063240" cy="1914525"/>
                    </a:xfrm>
                    <a:prstGeom prst="rect"/>
                  </pic:spPr>
                </pic:pic>
              </a:graphicData>
            </a:graphic>
          </wp:inline>
        </w:drawing>
      </w:r>
    </w:p>
    <w:p>
      <w:pPr>
        <w:keepNext w:val="0"/>
        <w:spacing w:before="0" w:after="160"/>
        <w:jc w:val="center"/>
      </w:pPr>
      <w:r>
        <w:rPr>
          <w:rFonts w:ascii="Times New Roman" w:hAnsi="Times New Roman" w:cs="Times New Roman" w:eastAsia="Times New Roman"/>
          <w:b w:val="0"/>
          <w:i w:val="0"/>
          <w:sz w:val="16"/>
        </w:rPr>
        <w:t>Fig. 6. Comparing a past version with the current page.</w:t>
      </w:r>
    </w:p>
    <w:p>
      <w:pPr>
        <w:keepNext/>
        <w:spacing w:before="80" w:after="40"/>
        <w:jc w:val="center"/>
      </w:pPr>
      <w:r>
        <w:drawing>
          <wp:inline xmlns:a="http://schemas.openxmlformats.org/drawingml/2006/main" xmlns:pic="http://schemas.openxmlformats.org/drawingml/2006/picture">
            <wp:extent cx="3063240" cy="1914525"/>
            <wp:docPr id="8" name="Picture 8"/>
            <wp:cNvGraphicFramePr>
              <a:graphicFrameLocks noChangeAspect="1"/>
            </wp:cNvGraphicFramePr>
            <a:graphic>
              <a:graphicData uri="http://schemas.openxmlformats.org/drawingml/2006/picture">
                <pic:pic>
                  <pic:nvPicPr>
                    <pic:cNvPr id="0" name="12-integrity.png"/>
                    <pic:cNvPicPr/>
                  </pic:nvPicPr>
                  <pic:blipFill>
                    <a:blip r:embed="rId16"/>
                    <a:stretch>
                      <a:fillRect/>
                    </a:stretch>
                  </pic:blipFill>
                  <pic:spPr>
                    <a:xfrm>
                      <a:off x="0" y="0"/>
                      <a:ext cx="3063240" cy="1914525"/>
                    </a:xfrm>
                    <a:prstGeom prst="rect"/>
                  </pic:spPr>
                </pic:pic>
              </a:graphicData>
            </a:graphic>
          </wp:inline>
        </w:drawing>
      </w:r>
    </w:p>
    <w:p>
      <w:pPr>
        <w:keepNext w:val="0"/>
        <w:spacing w:before="0" w:after="160"/>
        <w:jc w:val="center"/>
      </w:pPr>
      <w:r>
        <w:rPr>
          <w:rFonts w:ascii="Times New Roman" w:hAnsi="Times New Roman" w:cs="Times New Roman" w:eastAsia="Times New Roman"/>
          <w:b w:val="0"/>
          <w:i w:val="0"/>
          <w:sz w:val="16"/>
        </w:rPr>
        <w:t>Fig. 7. Integrity report: share and effort per person, pastes and style-mismatch flags.</w:t>
      </w:r>
    </w:p>
    <w:p>
      <w:pPr>
        <w:keepNext/>
        <w:spacing w:before="200" w:after="80"/>
        <w:jc w:val="center"/>
      </w:pPr>
      <w:r>
        <w:rPr>
          <w:rFonts w:ascii="Times New Roman" w:hAnsi="Times New Roman" w:cs="Times New Roman" w:eastAsia="Times New Roman"/>
          <w:b w:val="0"/>
          <w:i w:val="0"/>
          <w:sz w:val="20"/>
        </w:rPr>
        <w:t>VIII. RESULTS</w:t>
      </w:r>
    </w:p>
    <w:p>
      <w:pPr>
        <w:keepNext w:val="0"/>
        <w:spacing w:before="0" w:after="120"/>
        <w:jc w:val="both"/>
      </w:pPr>
      <w:r>
        <w:rPr>
          <w:rFonts w:ascii="Times New Roman" w:hAnsi="Times New Roman" w:cs="Times New Roman" w:eastAsia="Times New Roman"/>
          <w:b w:val="0"/>
          <w:i w:val="0"/>
          <w:sz w:val="20"/>
        </w:rPr>
        <w:t>Measured on the authors' development machine with the in-memory broadcaster and SQLite. They are not cloud benchmarks.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20"/>
        <w:gridCol w:w="5220"/>
      </w:tblGrid>
      <w:tr>
        <w:tc>
          <w:tcPr>
            <w:tcW w:type="dxa" w:w="5220"/>
          </w:tcPr>
          <w:p>
            <w:r>
              <w:rPr>
                <w:rFonts w:ascii="Times New Roman" w:hAnsi="Times New Roman" w:cs="Times New Roman" w:eastAsia="Times New Roman"/>
                <w:b/>
                <w:sz w:val="17"/>
              </w:rPr>
              <w:t>Measure</w:t>
            </w:r>
          </w:p>
        </w:tc>
        <w:tc>
          <w:tcPr>
            <w:tcW w:type="dxa" w:w="5220"/>
          </w:tcPr>
          <w:p>
            <w:r>
              <w:rPr>
                <w:rFonts w:ascii="Times New Roman" w:hAnsi="Times New Roman" w:cs="Times New Roman" w:eastAsia="Times New Roman"/>
                <w:b/>
                <w:sz w:val="17"/>
              </w:rPr>
              <w:t>Result</w:t>
            </w:r>
          </w:p>
        </w:tc>
      </w:tr>
      <w:tr>
        <w:tc>
          <w:tcPr>
            <w:tcW w:type="dxa" w:w="5220"/>
          </w:tcPr>
          <w:p>
            <w:pPr>
              <w:spacing w:after="0"/>
            </w:pPr>
            <w:r>
              <w:rPr>
                <w:rFonts w:ascii="Times New Roman" w:hAnsi="Times New Roman" w:cs="Times New Roman" w:eastAsia="Times New Roman"/>
                <w:sz w:val="17"/>
              </w:rPr>
              <w:t>Edit round trip (8 operations, demo script)</w:t>
            </w:r>
          </w:p>
        </w:tc>
        <w:tc>
          <w:tcPr>
            <w:tcW w:type="dxa" w:w="5220"/>
          </w:tcPr>
          <w:p>
            <w:pPr>
              <w:spacing w:after="0"/>
            </w:pPr>
            <w:r>
              <w:rPr>
                <w:rFonts w:ascii="Times New Roman" w:hAnsi="Times New Roman" w:cs="Times New Roman" w:eastAsia="Times New Roman"/>
                <w:sz w:val="17"/>
              </w:rPr>
              <w:t>2.3 ms median, 3.9 ms p95 (budget 200 ms)</w:t>
            </w:r>
          </w:p>
        </w:tc>
      </w:tr>
      <w:tr>
        <w:tc>
          <w:tcPr>
            <w:tcW w:type="dxa" w:w="5220"/>
          </w:tcPr>
          <w:p>
            <w:pPr>
              <w:spacing w:after="0"/>
            </w:pPr>
            <w:r>
              <w:rPr>
                <w:rFonts w:ascii="Times New Roman" w:hAnsi="Times New Roman" w:cs="Times New Roman" w:eastAsia="Times New Roman"/>
                <w:sz w:val="17"/>
              </w:rPr>
              <w:t>Random concurrent edit pairs, convergence</w:t>
            </w:r>
          </w:p>
        </w:tc>
        <w:tc>
          <w:tcPr>
            <w:tcW w:type="dxa" w:w="5220"/>
          </w:tcPr>
          <w:p>
            <w:pPr>
              <w:spacing w:after="0"/>
            </w:pPr>
            <w:r>
              <w:rPr>
                <w:rFonts w:ascii="Times New Roman" w:hAnsi="Times New Roman" w:cs="Times New Roman" w:eastAsia="Times New Roman"/>
                <w:sz w:val="17"/>
              </w:rPr>
              <w:t>2000 / 2000</w:t>
            </w:r>
          </w:p>
        </w:tc>
      </w:tr>
      <w:tr>
        <w:tc>
          <w:tcPr>
            <w:tcW w:type="dxa" w:w="5220"/>
          </w:tcPr>
          <w:p>
            <w:pPr>
              <w:spacing w:after="0"/>
            </w:pPr>
            <w:r>
              <w:rPr>
                <w:rFonts w:ascii="Times New Roman" w:hAnsi="Times New Roman" w:cs="Times New Roman" w:eastAsia="Times New Roman"/>
                <w:sz w:val="17"/>
              </w:rPr>
              <w:t>Random compose and invert cases</w:t>
            </w:r>
          </w:p>
        </w:tc>
        <w:tc>
          <w:tcPr>
            <w:tcW w:type="dxa" w:w="5220"/>
          </w:tcPr>
          <w:p>
            <w:pPr>
              <w:spacing w:after="0"/>
            </w:pPr>
            <w:r>
              <w:rPr>
                <w:rFonts w:ascii="Times New Roman" w:hAnsi="Times New Roman" w:cs="Times New Roman" w:eastAsia="Times New Roman"/>
                <w:sz w:val="17"/>
              </w:rPr>
              <w:t>1000 / 1000</w:t>
            </w:r>
          </w:p>
        </w:tc>
      </w:tr>
      <w:tr>
        <w:tc>
          <w:tcPr>
            <w:tcW w:type="dxa" w:w="5220"/>
          </w:tcPr>
          <w:p>
            <w:pPr>
              <w:spacing w:after="0"/>
            </w:pPr>
            <w:r>
              <w:rPr>
                <w:rFonts w:ascii="Times New Roman" w:hAnsi="Times New Roman" w:cs="Times New Roman" w:eastAsia="Times New Roman"/>
                <w:sz w:val="17"/>
              </w:rPr>
              <w:t>Python vs. browser OT engine parity</w:t>
            </w:r>
          </w:p>
        </w:tc>
        <w:tc>
          <w:tcPr>
            <w:tcW w:type="dxa" w:w="5220"/>
          </w:tcPr>
          <w:p>
            <w:pPr>
              <w:spacing w:after="0"/>
            </w:pPr>
            <w:r>
              <w:rPr>
                <w:rFonts w:ascii="Times New Roman" w:hAnsi="Times New Roman" w:cs="Times New Roman" w:eastAsia="Times New Roman"/>
                <w:sz w:val="17"/>
              </w:rPr>
              <w:t>Equal on all random cases</w:t>
            </w:r>
          </w:p>
        </w:tc>
      </w:tr>
      <w:tr>
        <w:tc>
          <w:tcPr>
            <w:tcW w:type="dxa" w:w="5220"/>
          </w:tcPr>
          <w:p>
            <w:pPr>
              <w:spacing w:after="0"/>
            </w:pPr>
            <w:r>
              <w:rPr>
                <w:rFonts w:ascii="Times New Roman" w:hAnsi="Times New Roman" w:cs="Times New Roman" w:eastAsia="Times New Roman"/>
                <w:sz w:val="17"/>
              </w:rPr>
              <w:t>Held-out accuracy on synthetic corpora, 2 and 3 authors</w:t>
            </w:r>
          </w:p>
        </w:tc>
        <w:tc>
          <w:tcPr>
            <w:tcW w:type="dxa" w:w="5220"/>
          </w:tcPr>
          <w:p>
            <w:pPr>
              <w:spacing w:after="0"/>
            </w:pPr>
            <w:r>
              <w:rPr>
                <w:rFonts w:ascii="Times New Roman" w:hAnsi="Times New Roman" w:cs="Times New Roman" w:eastAsia="Times New Roman"/>
                <w:sz w:val="17"/>
              </w:rPr>
              <w:t>100% (floor 85%)</w:t>
            </w:r>
          </w:p>
        </w:tc>
      </w:tr>
      <w:tr>
        <w:tc>
          <w:tcPr>
            <w:tcW w:type="dxa" w:w="5220"/>
          </w:tcPr>
          <w:p>
            <w:pPr>
              <w:spacing w:after="0"/>
            </w:pPr>
            <w:r>
              <w:rPr>
                <w:rFonts w:ascii="Times New Roman" w:hAnsi="Times New Roman" w:cs="Times New Roman" w:eastAsia="Times New Roman"/>
                <w:sz w:val="17"/>
              </w:rPr>
              <w:t>Stylometry vs. keystroke ledger agreement in demo</w:t>
            </w:r>
          </w:p>
        </w:tc>
        <w:tc>
          <w:tcPr>
            <w:tcW w:type="dxa" w:w="5220"/>
          </w:tcPr>
          <w:p>
            <w:pPr>
              <w:spacing w:after="0"/>
            </w:pPr>
            <w:r>
              <w:rPr>
                <w:rFonts w:ascii="Times New Roman" w:hAnsi="Times New Roman" w:cs="Times New Roman" w:eastAsia="Times New Roman"/>
                <w:sz w:val="17"/>
              </w:rPr>
              <w:t>100% over 6 blocks</w:t>
            </w:r>
          </w:p>
        </w:tc>
      </w:tr>
      <w:tr>
        <w:tc>
          <w:tcPr>
            <w:tcW w:type="dxa" w:w="5220"/>
          </w:tcPr>
          <w:p>
            <w:pPr>
              <w:spacing w:after="0"/>
            </w:pPr>
            <w:r>
              <w:rPr>
                <w:rFonts w:ascii="Times New Roman" w:hAnsi="Times New Roman" w:cs="Times New Roman" w:eastAsia="Times New Roman"/>
                <w:sz w:val="17"/>
              </w:rPr>
              <w:t>Automated tests collected (pytest)</w:t>
            </w:r>
          </w:p>
        </w:tc>
        <w:tc>
          <w:tcPr>
            <w:tcW w:type="dxa" w:w="5220"/>
          </w:tcPr>
          <w:p>
            <w:pPr>
              <w:spacing w:after="0"/>
            </w:pPr>
            <w:r>
              <w:rPr>
                <w:rFonts w:ascii="Times New Roman" w:hAnsi="Times New Roman" w:cs="Times New Roman" w:eastAsia="Times New Roman"/>
                <w:sz w:val="17"/>
              </w:rPr>
              <w:t>205</w:t>
            </w:r>
          </w:p>
        </w:tc>
      </w:tr>
      <w:tr>
        <w:tc>
          <w:tcPr>
            <w:tcW w:type="dxa" w:w="5220"/>
          </w:tcPr>
          <w:p>
            <w:pPr>
              <w:spacing w:after="0"/>
            </w:pPr>
            <w:r>
              <w:rPr>
                <w:rFonts w:ascii="Times New Roman" w:hAnsi="Times New Roman" w:cs="Times New Roman" w:eastAsia="Times New Roman"/>
                <w:sz w:val="17"/>
              </w:rPr>
              <w:t>Real-browser end-to-end checks</w:t>
            </w:r>
          </w:p>
        </w:tc>
        <w:tc>
          <w:tcPr>
            <w:tcW w:type="dxa" w:w="5220"/>
          </w:tcPr>
          <w:p>
            <w:pPr>
              <w:spacing w:after="0"/>
            </w:pPr>
            <w:r>
              <w:rPr>
                <w:rFonts w:ascii="Times New Roman" w:hAnsi="Times New Roman" w:cs="Times New Roman" w:eastAsia="Times New Roman"/>
                <w:sz w:val="17"/>
              </w:rPr>
              <w:t>55</w:t>
            </w:r>
          </w:p>
        </w:tc>
      </w:tr>
      <w:tr>
        <w:tc>
          <w:tcPr>
            <w:tcW w:type="dxa" w:w="5220"/>
          </w:tcPr>
          <w:p>
            <w:pPr>
              <w:spacing w:after="0"/>
            </w:pPr>
            <w:r>
              <w:rPr>
                <w:rFonts w:ascii="Times New Roman" w:hAnsi="Times New Roman" w:cs="Times New Roman" w:eastAsia="Times New Roman"/>
                <w:sz w:val="17"/>
              </w:rPr>
              <w:t>Deployment cost while running / while stopped</w:t>
            </w:r>
          </w:p>
        </w:tc>
        <w:tc>
          <w:tcPr>
            <w:tcW w:type="dxa" w:w="5220"/>
          </w:tcPr>
          <w:p>
            <w:pPr>
              <w:spacing w:after="0"/>
            </w:pPr>
            <w:r>
              <w:rPr>
                <w:rFonts w:ascii="Times New Roman" w:hAnsi="Times New Roman" w:cs="Times New Roman" w:eastAsia="Times New Roman"/>
                <w:sz w:val="17"/>
              </w:rPr>
              <w:t>about US$2.5 / US$0.25 per day</w:t>
            </w:r>
          </w:p>
        </w:tc>
      </w:tr>
    </w:tbl>
    <w:p>
      <w:pPr>
        <w:keepNext w:val="0"/>
        <w:spacing w:before="60" w:after="120"/>
        <w:jc w:val="center"/>
      </w:pPr>
      <w:r>
        <w:rPr>
          <w:rFonts w:ascii="Times New Roman" w:hAnsi="Times New Roman" w:cs="Times New Roman" w:eastAsia="Times New Roman"/>
          <w:b w:val="0"/>
          <w:i w:val="0"/>
          <w:sz w:val="16"/>
        </w:rPr>
        <w:t>Table II. Measured results.</w:t>
      </w:r>
    </w:p>
    <w:p>
      <w:pPr>
        <w:keepNext w:val="0"/>
        <w:spacing w:before="0" w:after="120"/>
        <w:jc w:val="both"/>
      </w:pPr>
      <w:r>
        <w:rPr>
          <w:rFonts w:ascii="Times New Roman" w:hAnsi="Times New Roman" w:cs="Times New Roman" w:eastAsia="Times New Roman"/>
          <w:b w:val="0"/>
          <w:i w:val="0"/>
          <w:sz w:val="20"/>
        </w:rPr>
        <w:t>The latency sample is small (eight operations) and excludes network distance, so it shows that the server adds little delay rather than characterising wide-area behaviour. The 100% accuracy is on deliberately separable synthetic text and should not be read as real-world accuracy; the honest runtime measure is the agreement rate between stylometry and the ledger. A multi-client load script exists, but its results are not reported here. Browser testing found defects the unit tests could not, including a hidden attribute overridden by CSS, a silent parse error, and a race in which two simultaneous openers could reset a room to version 0.</w:t>
      </w:r>
    </w:p>
    <w:p>
      <w:pPr>
        <w:keepNext/>
        <w:spacing w:before="200" w:after="80"/>
        <w:jc w:val="center"/>
      </w:pPr>
      <w:r>
        <w:rPr>
          <w:rFonts w:ascii="Times New Roman" w:hAnsi="Times New Roman" w:cs="Times New Roman" w:eastAsia="Times New Roman"/>
          <w:b w:val="0"/>
          <w:i w:val="0"/>
          <w:sz w:val="20"/>
        </w:rPr>
        <w:t>IX. INDIVIDUAL CONTRIBUTIONS</w:t>
      </w:r>
    </w:p>
    <w:p>
      <w:pPr>
        <w:keepNext w:val="0"/>
        <w:spacing w:before="0" w:after="80"/>
        <w:jc w:val="both"/>
      </w:pPr>
      <w:r>
        <w:rPr>
          <w:rFonts w:ascii="Times New Roman" w:hAnsi="Times New Roman" w:cs="Times New Roman" w:eastAsia="Times New Roman"/>
          <w:b w:val="0"/>
          <w:i w:val="0"/>
          <w:sz w:val="20"/>
        </w:rPr>
        <w:t>The work was divided by area. Both members reviewed the whole system and the report.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20"/>
        <w:gridCol w:w="5220"/>
      </w:tblGrid>
      <w:tr>
        <w:tc>
          <w:tcPr>
            <w:tcW w:type="dxa" w:w="5220"/>
          </w:tcPr>
          <w:p>
            <w:r>
              <w:rPr>
                <w:rFonts w:ascii="Times New Roman" w:hAnsi="Times New Roman" w:cs="Times New Roman" w:eastAsia="Times New Roman"/>
                <w:b/>
                <w:sz w:val="17"/>
              </w:rPr>
              <w:t>Member</w:t>
            </w:r>
          </w:p>
        </w:tc>
        <w:tc>
          <w:tcPr>
            <w:tcW w:type="dxa" w:w="5220"/>
          </w:tcPr>
          <w:p>
            <w:r>
              <w:rPr>
                <w:rFonts w:ascii="Times New Roman" w:hAnsi="Times New Roman" w:cs="Times New Roman" w:eastAsia="Times New Roman"/>
                <w:b/>
                <w:sz w:val="17"/>
              </w:rPr>
              <w:t>Contribution</w:t>
            </w:r>
          </w:p>
        </w:tc>
      </w:tr>
      <w:tr>
        <w:tc>
          <w:tcPr>
            <w:tcW w:type="dxa" w:w="5220"/>
          </w:tcPr>
          <w:p>
            <w:pPr>
              <w:spacing w:after="0"/>
            </w:pPr>
            <w:r>
              <w:rPr>
                <w:rFonts w:ascii="Times New Roman" w:hAnsi="Times New Roman" w:cs="Times New Roman" w:eastAsia="Times New Roman"/>
                <w:sz w:val="17"/>
              </w:rPr>
              <w:t>Nitish Kumar (24BCE1520)</w:t>
            </w:r>
          </w:p>
        </w:tc>
        <w:tc>
          <w:tcPr>
            <w:tcW w:type="dxa" w:w="5220"/>
          </w:tcPr>
          <w:p>
            <w:pPr>
              <w:spacing w:after="0"/>
            </w:pPr>
            <w:r>
              <w:rPr>
                <w:rFonts w:ascii="Times New Roman" w:hAnsi="Times New Roman" w:cs="Times New Roman" w:eastAsia="Times New Roman"/>
                <w:sz w:val="17"/>
              </w:rPr>
              <w:t>Application core: OT engine (Python server and JavaScript browser port) and its parity tests; WebSocket protocol, sessions, rooms and the broadcaster; keystroke ledger, stylometric classifier, blending and integrity report; REST API, authentication and role-based access; automated test suite; GitHub repository.</w:t>
            </w:r>
          </w:p>
        </w:tc>
      </w:tr>
      <w:tr>
        <w:tc>
          <w:tcPr>
            <w:tcW w:type="dxa" w:w="5220"/>
          </w:tcPr>
          <w:p>
            <w:pPr>
              <w:spacing w:after="0"/>
            </w:pPr>
            <w:r>
              <w:rPr>
                <w:rFonts w:ascii="Times New Roman" w:hAnsi="Times New Roman" w:cs="Times New Roman" w:eastAsia="Times New Roman"/>
                <w:sz w:val="17"/>
              </w:rPr>
              <w:t>Balan N (24BCE1594)</w:t>
            </w:r>
          </w:p>
        </w:tc>
        <w:tc>
          <w:tcPr>
            <w:tcW w:type="dxa" w:w="5220"/>
          </w:tcPr>
          <w:p>
            <w:pPr>
              <w:spacing w:after="0"/>
            </w:pPr>
            <w:r>
              <w:rPr>
                <w:rFonts w:ascii="Times New Roman" w:hAnsi="Times New Roman" w:cs="Times New Roman" w:eastAsia="Times New Roman"/>
                <w:sz w:val="17"/>
              </w:rPr>
              <w:t>Cloud architecture: AWS design and Terraform (EC2, RDS in private subnets, S3, ECR, IAM, security groups); k3s cluster, StatefulSet and Kubernetes manifests; Caddy document-aware router, Kafka fan-out; deployment, start/stop and monitoring scripts, CloudWatch alarms and budget; routing and failover checks; cost analysis; report and diagrams.</w:t>
            </w:r>
          </w:p>
        </w:tc>
      </w:tr>
    </w:tbl>
    <w:p>
      <w:pPr>
        <w:keepNext w:val="0"/>
        <w:spacing w:before="60" w:after="120"/>
        <w:jc w:val="center"/>
      </w:pPr>
      <w:r>
        <w:rPr>
          <w:rFonts w:ascii="Times New Roman" w:hAnsi="Times New Roman" w:cs="Times New Roman" w:eastAsia="Times New Roman"/>
          <w:b w:val="0"/>
          <w:i w:val="0"/>
          <w:sz w:val="16"/>
        </w:rPr>
        <w:t>Table III. Division of work.</w:t>
      </w:r>
    </w:p>
    <w:p>
      <w:pPr>
        <w:keepNext/>
        <w:spacing w:before="200" w:after="80"/>
        <w:jc w:val="center"/>
      </w:pPr>
      <w:r>
        <w:rPr>
          <w:rFonts w:ascii="Times New Roman" w:hAnsi="Times New Roman" w:cs="Times New Roman" w:eastAsia="Times New Roman"/>
          <w:b w:val="0"/>
          <w:i w:val="0"/>
          <w:sz w:val="20"/>
        </w:rPr>
        <w:t>X. CONCLUSION</w:t>
      </w:r>
    </w:p>
    <w:p>
      <w:pPr>
        <w:keepNext w:val="0"/>
        <w:spacing w:before="0" w:after="120"/>
        <w:jc w:val="both"/>
      </w:pPr>
      <w:r>
        <w:rPr>
          <w:rFonts w:ascii="Times New Roman" w:hAnsi="Times New Roman" w:cs="Times New Roman" w:eastAsia="Times New Roman"/>
          <w:b w:val="0"/>
          <w:i w:val="0"/>
          <w:sz w:val="20"/>
        </w:rPr>
        <w:t>CollabDoc shows that one source of truth, the OT operation log, can serve editing, version history and authorship evidence together, and that the cloud design follows from one constraint: a document's live state belongs to exactly one process. Routing by document id, a broadcaster used on every path, managed PostgreSQL and S3 for state, and scripted start/stop for cost give a deployment that is small enough to run on free-plan credits and still exercises real multi-pod behaviour. Limits remain: rich text is markup over plain text, fail-over needs a per-document lease, the operation log has no compaction, and attribution has been measured only on synthetic text. Future work is a study with real collaborators, a lease-based fail-over, and log compaction.</w:t>
      </w:r>
    </w:p>
    <w:p>
      <w:pPr>
        <w:keepNext/>
        <w:spacing w:before="200" w:after="80"/>
        <w:jc w:val="center"/>
      </w:pPr>
      <w:r>
        <w:rPr>
          <w:rFonts w:ascii="Times New Roman" w:hAnsi="Times New Roman" w:cs="Times New Roman" w:eastAsia="Times New Roman"/>
          <w:b w:val="0"/>
          <w:i w:val="0"/>
          <w:sz w:val="20"/>
        </w:rPr>
        <w:t>REFERENCES</w:t>
      </w:r>
    </w:p>
    <w:p>
      <w:pPr>
        <w:keepNext w:val="0"/>
        <w:spacing w:before="0" w:after="40"/>
        <w:ind w:left="432" w:hanging="432"/>
        <w:jc w:val="both"/>
      </w:pPr>
      <w:r>
        <w:rPr>
          <w:rFonts w:ascii="Times New Roman" w:hAnsi="Times New Roman" w:cs="Times New Roman" w:eastAsia="Times New Roman"/>
          <w:b w:val="0"/>
          <w:i w:val="0"/>
          <w:sz w:val="16"/>
        </w:rPr>
        <w:t>[1] C. A. Ellis and S. J. Gibbs, “Concurrency control in groupware systems,” in Proc. ACM SIGMOD, 1989, pp. 399–407. doi:10.1145/67544.66963. https://doi.org/10.1145/67544.66963</w:t>
      </w:r>
    </w:p>
    <w:p>
      <w:pPr>
        <w:keepNext w:val="0"/>
        <w:spacing w:before="0" w:after="40"/>
        <w:ind w:left="432" w:hanging="432"/>
        <w:jc w:val="both"/>
      </w:pPr>
      <w:r>
        <w:rPr>
          <w:rFonts w:ascii="Times New Roman" w:hAnsi="Times New Roman" w:cs="Times New Roman" w:eastAsia="Times New Roman"/>
          <w:b w:val="0"/>
          <w:i w:val="0"/>
          <w:sz w:val="16"/>
        </w:rPr>
        <w:t>[2] C. Sun, X. Jia, Y. Zhang, Y. Yang, and D. Chen, “Achieving convergence, causality preservation, and intention preservation in real-time cooperative editing systems,” ACM Trans. Comput.-Hum. Interact., vol. 5, no. 1, pp. 63–108, 1998. https://doi.org/10.1145/274444.274447</w:t>
      </w:r>
    </w:p>
    <w:p>
      <w:pPr>
        <w:keepNext w:val="0"/>
        <w:spacing w:before="0" w:after="40"/>
        <w:ind w:left="432" w:hanging="432"/>
        <w:jc w:val="both"/>
      </w:pPr>
      <w:r>
        <w:rPr>
          <w:rFonts w:ascii="Times New Roman" w:hAnsi="Times New Roman" w:cs="Times New Roman" w:eastAsia="Times New Roman"/>
          <w:b w:val="0"/>
          <w:i w:val="0"/>
          <w:sz w:val="16"/>
        </w:rPr>
        <w:t>[3] C. Sun and C. Ellis, “Operational transformation in real-time group editors: issues, algorithms, and achievements,” in Proc. ACM CSCW, 1998, pp. 59–68. https://doi.org/10.1145/289444.289469</w:t>
      </w:r>
    </w:p>
    <w:p>
      <w:pPr>
        <w:keepNext w:val="0"/>
        <w:spacing w:before="0" w:after="40"/>
        <w:ind w:left="432" w:hanging="432"/>
        <w:jc w:val="both"/>
      </w:pPr>
      <w:r>
        <w:rPr>
          <w:rFonts w:ascii="Times New Roman" w:hAnsi="Times New Roman" w:cs="Times New Roman" w:eastAsia="Times New Roman"/>
          <w:b w:val="0"/>
          <w:i w:val="0"/>
          <w:sz w:val="16"/>
        </w:rPr>
        <w:t>[4] D. A. Nichols, P. Curtis, M. Dixon, and J. Lamping, “High-latency, low-bandwidth windowing in the Jupiter collaboration system,” in Proc. ACM UIST, 1995, pp. 111–120. https://doi.org/10.1145/215585.215706</w:t>
      </w:r>
    </w:p>
    <w:p>
      <w:pPr>
        <w:keepNext w:val="0"/>
        <w:spacing w:before="0" w:after="40"/>
        <w:ind w:left="432" w:hanging="432"/>
        <w:jc w:val="both"/>
      </w:pPr>
      <w:r>
        <w:rPr>
          <w:rFonts w:ascii="Times New Roman" w:hAnsi="Times New Roman" w:cs="Times New Roman" w:eastAsia="Times New Roman"/>
          <w:b w:val="0"/>
          <w:i w:val="0"/>
          <w:sz w:val="16"/>
        </w:rPr>
        <w:t>[5] M. Ressel, D. Nitsche-Ruhland, and R. Gunzenhäuser, “An integrating, transformation-oriented approach to concurrency control and undo in group editors,” in Proc. ACM CSCW, 1996, pp. 288–297. https://doi.org/10.1145/240080.240305</w:t>
      </w:r>
    </w:p>
    <w:p>
      <w:pPr>
        <w:keepNext w:val="0"/>
        <w:spacing w:before="0" w:after="40"/>
        <w:ind w:left="432" w:hanging="432"/>
        <w:jc w:val="both"/>
      </w:pPr>
      <w:r>
        <w:rPr>
          <w:rFonts w:ascii="Times New Roman" w:hAnsi="Times New Roman" w:cs="Times New Roman" w:eastAsia="Times New Roman"/>
          <w:b w:val="0"/>
          <w:i w:val="0"/>
          <w:sz w:val="16"/>
        </w:rPr>
        <w:t>[6] G. Oster, P. Urso, P. Molli, and A. Imine, “Data consistency for P2P collaborative editing,” in Proc. ACM CSCW, 2006, pp. 259–268. https://doi.org/10.1145/1180875.1180916</w:t>
      </w:r>
    </w:p>
    <w:p>
      <w:pPr>
        <w:keepNext w:val="0"/>
        <w:spacing w:before="0" w:after="40"/>
        <w:ind w:left="432" w:hanging="432"/>
        <w:jc w:val="both"/>
      </w:pPr>
      <w:r>
        <w:rPr>
          <w:rFonts w:ascii="Times New Roman" w:hAnsi="Times New Roman" w:cs="Times New Roman" w:eastAsia="Times New Roman"/>
          <w:b w:val="0"/>
          <w:i w:val="0"/>
          <w:sz w:val="16"/>
        </w:rPr>
        <w:t>[7] M. Shapiro, N. Preguiça, C. Baquero, and M. Zawirski, “Conflict-free replicated data types,” in Proc. SSS, LNCS vol. 6976, 2011, pp. 386–400. https://doi.org/10.1007/978-3-642-24550-3_29</w:t>
      </w:r>
    </w:p>
    <w:p>
      <w:pPr>
        <w:keepNext w:val="0"/>
        <w:spacing w:before="0" w:after="40"/>
        <w:ind w:left="432" w:hanging="432"/>
        <w:jc w:val="both"/>
      </w:pPr>
      <w:r>
        <w:rPr>
          <w:rFonts w:ascii="Times New Roman" w:hAnsi="Times New Roman" w:cs="Times New Roman" w:eastAsia="Times New Roman"/>
          <w:b w:val="0"/>
          <w:i w:val="0"/>
          <w:sz w:val="16"/>
        </w:rPr>
        <w:t>[8] M. Kleppmann and A. R. Beresford, “A conflict-free replicated JSON datatype,” IEEE Trans. Parallel Distrib. Syst., vol. 28, no. 10, pp. 2733–2746, 2017. https://doi.org/10.1109/TPDS.2017.2697382</w:t>
      </w:r>
    </w:p>
    <w:p>
      <w:pPr>
        <w:keepNext w:val="0"/>
        <w:spacing w:before="0" w:after="40"/>
        <w:ind w:left="432" w:hanging="432"/>
        <w:jc w:val="both"/>
      </w:pPr>
      <w:r>
        <w:rPr>
          <w:rFonts w:ascii="Times New Roman" w:hAnsi="Times New Roman" w:cs="Times New Roman" w:eastAsia="Times New Roman"/>
          <w:b w:val="0"/>
          <w:i w:val="0"/>
          <w:sz w:val="16"/>
        </w:rPr>
        <w:t>[9] S. Weiss, P. Urso, and P. Molli, “Logoot: a scalable optimistic replication algorithm for collaborative editing on P2P networks,” in Proc. IEEE ICDCS, 2009, pp. 404–412. https://doi.org/10.1109/ICDCS.2009.75</w:t>
      </w:r>
    </w:p>
    <w:p>
      <w:pPr>
        <w:keepNext w:val="0"/>
        <w:spacing w:before="0" w:after="40"/>
        <w:ind w:left="432" w:hanging="432"/>
        <w:jc w:val="both"/>
      </w:pPr>
      <w:r>
        <w:rPr>
          <w:rFonts w:ascii="Times New Roman" w:hAnsi="Times New Roman" w:cs="Times New Roman" w:eastAsia="Times New Roman"/>
          <w:b w:val="0"/>
          <w:i w:val="0"/>
          <w:sz w:val="16"/>
        </w:rPr>
        <w:t>[10] H.-G. Roh, M. Jeon, J.-S. Kim, and J. Lee, “Replicated abstract data types: building blocks for collaborative applications,” J. Parallel Distrib. Comput., vol. 71, no. 3, pp. 354–368, 2011. https://doi.org/10.1016/j.jpdc.2010.12.006</w:t>
      </w:r>
    </w:p>
    <w:p>
      <w:pPr>
        <w:keepNext w:val="0"/>
        <w:spacing w:before="0" w:after="40"/>
        <w:ind w:left="432" w:hanging="432"/>
        <w:jc w:val="both"/>
      </w:pPr>
      <w:r>
        <w:rPr>
          <w:rFonts w:ascii="Times New Roman" w:hAnsi="Times New Roman" w:cs="Times New Roman" w:eastAsia="Times New Roman"/>
          <w:b w:val="0"/>
          <w:i w:val="0"/>
          <w:sz w:val="16"/>
        </w:rPr>
        <w:t>[11] P. Nicolaescu, K. Jahns, M. Derntl, and R. Klamma, “Near real-time peer-to-peer shared editing on extensible data types,” in Proc. ACM GROUP, 2016, pp. 39–49. https://doi.org/10.1145/2957276.2957310</w:t>
      </w:r>
    </w:p>
    <w:p>
      <w:pPr>
        <w:keepNext w:val="0"/>
        <w:spacing w:before="0" w:after="40"/>
        <w:ind w:left="432" w:hanging="432"/>
        <w:jc w:val="both"/>
      </w:pPr>
      <w:r>
        <w:rPr>
          <w:rFonts w:ascii="Times New Roman" w:hAnsi="Times New Roman" w:cs="Times New Roman" w:eastAsia="Times New Roman"/>
          <w:b w:val="0"/>
          <w:i w:val="0"/>
          <w:sz w:val="16"/>
        </w:rPr>
        <w:t>[12] M. Kleppmann, A. Wiggins, P. van Hardenberg, and M. McGranaghan, “Local-first software: you own your data, in spite of the cloud,” in Proc. ACM Onward!, 2019, pp. 154–178. https://doi.org/10.1145/3359591.3359737</w:t>
      </w:r>
    </w:p>
    <w:p>
      <w:pPr>
        <w:keepNext w:val="0"/>
        <w:spacing w:before="0" w:after="40"/>
        <w:ind w:left="432" w:hanging="432"/>
        <w:jc w:val="both"/>
      </w:pPr>
      <w:r>
        <w:rPr>
          <w:rFonts w:ascii="Times New Roman" w:hAnsi="Times New Roman" w:cs="Times New Roman" w:eastAsia="Times New Roman"/>
          <w:b w:val="0"/>
          <w:i w:val="0"/>
          <w:sz w:val="16"/>
        </w:rPr>
        <w:t>[13] H. Attiya, S. Burckhardt, A. Gotsman, A. Morrison, H. Yang, and M. Zawirski, “Specification and complexity of collaborative text editing,” in Proc. ACM PODC, 2016, pp. 259–268. https://doi.org/10.1145/2933057.2933090</w:t>
      </w:r>
    </w:p>
    <w:p>
      <w:pPr>
        <w:keepNext w:val="0"/>
        <w:spacing w:before="0" w:after="40"/>
        <w:ind w:left="432" w:hanging="432"/>
        <w:jc w:val="both"/>
      </w:pPr>
      <w:r>
        <w:rPr>
          <w:rFonts w:ascii="Times New Roman" w:hAnsi="Times New Roman" w:cs="Times New Roman" w:eastAsia="Times New Roman"/>
          <w:b w:val="0"/>
          <w:i w:val="0"/>
          <w:sz w:val="16"/>
        </w:rPr>
        <w:t>[14] N. Fraser, “Differential synchronization,” in Proc. ACM DocEng, 2009. https://neil.fraser.name/writing/sync/</w:t>
      </w:r>
    </w:p>
    <w:p>
      <w:pPr>
        <w:keepNext w:val="0"/>
        <w:spacing w:before="0" w:after="40"/>
        <w:ind w:left="432" w:hanging="432"/>
        <w:jc w:val="both"/>
      </w:pPr>
      <w:r>
        <w:rPr>
          <w:rFonts w:ascii="Times New Roman" w:hAnsi="Times New Roman" w:cs="Times New Roman" w:eastAsia="Times New Roman"/>
          <w:b w:val="0"/>
          <w:i w:val="0"/>
          <w:sz w:val="16"/>
        </w:rPr>
        <w:t>[15] F. Mosteller and D. L. Wallace, “Inference in an authorship problem,” J. Amer. Statist. Assoc., vol. 58, no. 302, pp. 275–309, 1963. https://doi.org/10.1080/01621459.1963.10500849</w:t>
      </w:r>
    </w:p>
    <w:p>
      <w:pPr>
        <w:keepNext w:val="0"/>
        <w:spacing w:before="0" w:after="40"/>
        <w:ind w:left="432" w:hanging="432"/>
        <w:jc w:val="both"/>
      </w:pPr>
      <w:r>
        <w:rPr>
          <w:rFonts w:ascii="Times New Roman" w:hAnsi="Times New Roman" w:cs="Times New Roman" w:eastAsia="Times New Roman"/>
          <w:b w:val="0"/>
          <w:i w:val="0"/>
          <w:sz w:val="16"/>
        </w:rPr>
        <w:t>[16] E. Stamatatos, “A survey of modern authorship attribution methods,” J. Amer. Soc. Inf. Sci. Technol., vol. 60, no. 3, pp. 538–556, 2009. https://doi.org/10.1002/asi.21001</w:t>
      </w:r>
    </w:p>
    <w:p>
      <w:pPr>
        <w:keepNext w:val="0"/>
        <w:spacing w:before="0" w:after="40"/>
        <w:ind w:left="432" w:hanging="432"/>
        <w:jc w:val="both"/>
      </w:pPr>
      <w:r>
        <w:rPr>
          <w:rFonts w:ascii="Times New Roman" w:hAnsi="Times New Roman" w:cs="Times New Roman" w:eastAsia="Times New Roman"/>
          <w:b w:val="0"/>
          <w:i w:val="0"/>
          <w:sz w:val="16"/>
        </w:rPr>
        <w:t>[17] M. Koppel, J. Schler, and S. Argamon, “Computational methods in authorship attribution,” J. Amer. Soc. Inf. Sci. Technol., vol. 60, no. 1, pp. 9–26, 2009. https://doi.org/10.1002/asi.20961</w:t>
      </w:r>
    </w:p>
    <w:p>
      <w:pPr>
        <w:keepNext w:val="0"/>
        <w:spacing w:before="0" w:after="40"/>
        <w:ind w:left="432" w:hanging="432"/>
        <w:jc w:val="both"/>
      </w:pPr>
      <w:r>
        <w:rPr>
          <w:rFonts w:ascii="Times New Roman" w:hAnsi="Times New Roman" w:cs="Times New Roman" w:eastAsia="Times New Roman"/>
          <w:b w:val="0"/>
          <w:i w:val="0"/>
          <w:sz w:val="16"/>
        </w:rPr>
        <w:t>[18] P. Juola, “Authorship attribution,” Found. Trends Inf. Retr., vol. 1, no. 3, pp. 233–334, 2006. https://doi.org/10.1561/1500000005</w:t>
      </w:r>
    </w:p>
    <w:p>
      <w:pPr>
        <w:keepNext w:val="0"/>
        <w:spacing w:before="0" w:after="40"/>
        <w:ind w:left="432" w:hanging="432"/>
        <w:jc w:val="both"/>
      </w:pPr>
      <w:r>
        <w:rPr>
          <w:rFonts w:ascii="Times New Roman" w:hAnsi="Times New Roman" w:cs="Times New Roman" w:eastAsia="Times New Roman"/>
          <w:b w:val="0"/>
          <w:i w:val="0"/>
          <w:sz w:val="16"/>
        </w:rPr>
        <w:t>[19] J. Burrows, “‘Delta’: a measure of stylistic difference and a guide to likely authorship,” Lit. Linguist. Comput., vol. 17, no. 3, pp. 267–287, 2002. https://doi.org/10.1093/llc/17.3.267</w:t>
      </w:r>
    </w:p>
    <w:p>
      <w:pPr>
        <w:keepNext w:val="0"/>
        <w:spacing w:before="0" w:after="40"/>
        <w:ind w:left="432" w:hanging="432"/>
        <w:jc w:val="both"/>
      </w:pPr>
      <w:r>
        <w:rPr>
          <w:rFonts w:ascii="Times New Roman" w:hAnsi="Times New Roman" w:cs="Times New Roman" w:eastAsia="Times New Roman"/>
          <w:b w:val="0"/>
          <w:i w:val="0"/>
          <w:sz w:val="16"/>
        </w:rPr>
        <w:t>[20] S. Evert et al., “Understanding and explaining Delta measures for authorship attribution,” Digit. Scholarsh. Humanit., vol. 32, suppl. 2, pp. ii4–ii16, 2017. https://doi.org/10.1093/llc/fqx023</w:t>
      </w:r>
    </w:p>
    <w:p>
      <w:pPr>
        <w:keepNext w:val="0"/>
        <w:spacing w:before="0" w:after="40"/>
        <w:ind w:left="432" w:hanging="432"/>
        <w:jc w:val="both"/>
      </w:pPr>
      <w:r>
        <w:rPr>
          <w:rFonts w:ascii="Times New Roman" w:hAnsi="Times New Roman" w:cs="Times New Roman" w:eastAsia="Times New Roman"/>
          <w:b w:val="0"/>
          <w:i w:val="0"/>
          <w:sz w:val="16"/>
        </w:rPr>
        <w:t>[21] A. Narayanan et al., “On the feasibility of internet-scale author identification,” in Proc. IEEE Symp. Security and Privacy, 2012, pp. 300–314. https://doi.org/10.1109/SP.2012.46</w:t>
      </w:r>
    </w:p>
    <w:p>
      <w:pPr>
        <w:keepNext w:val="0"/>
        <w:spacing w:before="0" w:after="40"/>
        <w:ind w:left="432" w:hanging="432"/>
        <w:jc w:val="both"/>
      </w:pPr>
      <w:r>
        <w:rPr>
          <w:rFonts w:ascii="Times New Roman" w:hAnsi="Times New Roman" w:cs="Times New Roman" w:eastAsia="Times New Roman"/>
          <w:b w:val="0"/>
          <w:i w:val="0"/>
          <w:sz w:val="16"/>
        </w:rPr>
        <w:t>[22] F. Monrose and A. D. Rubin, “Keystroke dynamics as a biometric for authentication,” Future Gener. Comput. Syst., vol. 16, no. 4, pp. 351–359, 2000. https://doi.org/10.1016/S0167-739X(99)00059-X</w:t>
      </w:r>
    </w:p>
    <w:p>
      <w:pPr>
        <w:keepNext w:val="0"/>
        <w:spacing w:before="0" w:after="40"/>
        <w:ind w:left="432" w:hanging="432"/>
        <w:jc w:val="both"/>
      </w:pPr>
      <w:r>
        <w:rPr>
          <w:rFonts w:ascii="Times New Roman" w:hAnsi="Times New Roman" w:cs="Times New Roman" w:eastAsia="Times New Roman"/>
          <w:b w:val="0"/>
          <w:i w:val="0"/>
          <w:sz w:val="16"/>
        </w:rPr>
        <w:t>[23] K. S. Killourhy and R. A. Maxion, “Comparing anomaly-detection algorithms for keystroke dynamics,” in Proc. IEEE/IFIP DSN, 2009, pp. 125–134. https://doi.org/10.1109/DSN.2009.5270346</w:t>
      </w:r>
    </w:p>
    <w:p>
      <w:pPr>
        <w:keepNext w:val="0"/>
        <w:spacing w:before="0" w:after="40"/>
        <w:ind w:left="432" w:hanging="432"/>
        <w:jc w:val="both"/>
      </w:pPr>
      <w:r>
        <w:rPr>
          <w:rFonts w:ascii="Times New Roman" w:hAnsi="Times New Roman" w:cs="Times New Roman" w:eastAsia="Times New Roman"/>
          <w:b w:val="0"/>
          <w:i w:val="0"/>
          <w:sz w:val="16"/>
        </w:rPr>
        <w:t>[24] S. P. Banerjee and D. L. Woodard, “Biometric authentication and identification using keystroke dynamics: a survey,” J. Pattern Recognit. Res., vol. 7, no. 1, pp. 116–139, 2012. https://doi.org/10.13176/11.427</w:t>
      </w:r>
    </w:p>
    <w:p>
      <w:pPr>
        <w:keepNext w:val="0"/>
        <w:spacing w:before="0" w:after="40"/>
        <w:ind w:left="432" w:hanging="432"/>
        <w:jc w:val="both"/>
      </w:pPr>
      <w:r>
        <w:rPr>
          <w:rFonts w:ascii="Times New Roman" w:hAnsi="Times New Roman" w:cs="Times New Roman" w:eastAsia="Times New Roman"/>
          <w:b w:val="0"/>
          <w:i w:val="0"/>
          <w:sz w:val="16"/>
        </w:rPr>
        <w:t>[25] L. Lamport, “Time, clocks, and the ordering of events in a distributed system,” Commun. ACM, vol. 21, no. 7, pp. 558–565, 1978. https://doi.org/10.1145/359545.359563</w:t>
      </w:r>
    </w:p>
    <w:p>
      <w:pPr>
        <w:keepNext w:val="0"/>
        <w:spacing w:before="0" w:after="40"/>
        <w:ind w:left="432" w:hanging="432"/>
        <w:jc w:val="both"/>
      </w:pPr>
      <w:r>
        <w:rPr>
          <w:rFonts w:ascii="Times New Roman" w:hAnsi="Times New Roman" w:cs="Times New Roman" w:eastAsia="Times New Roman"/>
          <w:b w:val="0"/>
          <w:i w:val="0"/>
          <w:sz w:val="16"/>
        </w:rPr>
        <w:t>[26] S. Gilbert and N. Lynch, “Brewer’s conjecture and the feasibility of consistent, available, partition-tolerant web services,” ACM SIGACT News, vol. 33, no. 2, pp. 51–59, 2002. https://doi.org/10.1145/564585.564601</w:t>
      </w:r>
    </w:p>
    <w:p>
      <w:pPr>
        <w:keepNext w:val="0"/>
        <w:spacing w:before="0" w:after="40"/>
        <w:ind w:left="432" w:hanging="432"/>
        <w:jc w:val="both"/>
      </w:pPr>
      <w:r>
        <w:rPr>
          <w:rFonts w:ascii="Times New Roman" w:hAnsi="Times New Roman" w:cs="Times New Roman" w:eastAsia="Times New Roman"/>
          <w:b w:val="0"/>
          <w:i w:val="0"/>
          <w:sz w:val="16"/>
        </w:rPr>
        <w:t>[27] E. A. Brewer, “Towards robust distributed systems,” keynote, ACM PODC, 2000. https://people.eecs.berkeley.edu/~brewer/cs262b-2004/PODC-keynote.pdf</w:t>
      </w:r>
    </w:p>
    <w:p>
      <w:pPr>
        <w:keepNext w:val="0"/>
        <w:spacing w:before="0" w:after="40"/>
        <w:ind w:left="432" w:hanging="432"/>
        <w:jc w:val="both"/>
      </w:pPr>
      <w:r>
        <w:rPr>
          <w:rFonts w:ascii="Times New Roman" w:hAnsi="Times New Roman" w:cs="Times New Roman" w:eastAsia="Times New Roman"/>
          <w:b w:val="0"/>
          <w:i w:val="0"/>
          <w:sz w:val="16"/>
        </w:rPr>
        <w:t>[28] D. Karger et al., “Consistent hashing and random trees,” in Proc. ACM STOC, 1997, pp. 654–663. https://doi.org/10.1145/258533.258660</w:t>
      </w:r>
    </w:p>
    <w:p>
      <w:pPr>
        <w:keepNext w:val="0"/>
        <w:spacing w:before="0" w:after="40"/>
        <w:ind w:left="432" w:hanging="432"/>
        <w:jc w:val="both"/>
      </w:pPr>
      <w:r>
        <w:rPr>
          <w:rFonts w:ascii="Times New Roman" w:hAnsi="Times New Roman" w:cs="Times New Roman" w:eastAsia="Times New Roman"/>
          <w:b w:val="0"/>
          <w:i w:val="0"/>
          <w:sz w:val="16"/>
        </w:rPr>
        <w:t>[29] D. G. Thaler and C. V. Ravishankar, “Using name-based mappings to increase hit rates,” IEEE/ACM Trans. Netw., vol. 6, no. 1, pp. 1–14, 1998. https://doi.org/10.1109/90.663936</w:t>
      </w:r>
    </w:p>
    <w:p>
      <w:pPr>
        <w:keepNext w:val="0"/>
        <w:spacing w:before="0" w:after="40"/>
        <w:ind w:left="432" w:hanging="432"/>
        <w:jc w:val="both"/>
      </w:pPr>
      <w:r>
        <w:rPr>
          <w:rFonts w:ascii="Times New Roman" w:hAnsi="Times New Roman" w:cs="Times New Roman" w:eastAsia="Times New Roman"/>
          <w:b w:val="0"/>
          <w:i w:val="0"/>
          <w:sz w:val="16"/>
        </w:rPr>
        <w:t>[30] I. Fette and A. Melnikov, “The WebSocket protocol,” RFC 6455, IETF, 2011. https://doi.org/10.17487/RFC6455</w:t>
      </w:r>
    </w:p>
    <w:p>
      <w:pPr>
        <w:keepNext w:val="0"/>
        <w:spacing w:before="0" w:after="40"/>
        <w:ind w:left="432" w:hanging="432"/>
        <w:jc w:val="both"/>
      </w:pPr>
      <w:r>
        <w:rPr>
          <w:rFonts w:ascii="Times New Roman" w:hAnsi="Times New Roman" w:cs="Times New Roman" w:eastAsia="Times New Roman"/>
          <w:b w:val="0"/>
          <w:i w:val="0"/>
          <w:sz w:val="16"/>
        </w:rPr>
        <w:t>[31] J. Kreps, N. Narkhede, and J. Rao, “Kafka: a distributed messaging system for log processing,” in Proc. NetDB, 2011. https://www.microsoft.com/en-us/research/wp-content/uploads/2017/09/Kafka.pdf</w:t>
      </w:r>
    </w:p>
    <w:p>
      <w:pPr>
        <w:keepNext w:val="0"/>
        <w:spacing w:before="0" w:after="40"/>
        <w:ind w:left="432" w:hanging="432"/>
        <w:jc w:val="both"/>
      </w:pPr>
      <w:r>
        <w:rPr>
          <w:rFonts w:ascii="Times New Roman" w:hAnsi="Times New Roman" w:cs="Times New Roman" w:eastAsia="Times New Roman"/>
          <w:b w:val="0"/>
          <w:i w:val="0"/>
          <w:sz w:val="16"/>
        </w:rPr>
        <w:t>[32] B. Burns, B. Grant, D. Oppenheimer, E. Brewer, and J. Wilkes, “Borg, Omega, and Kubernetes,” Commun. ACM, vol. 59, no. 5, pp. 50–57, 2016. https://doi.org/10.1145/2890784</w:t>
      </w:r>
    </w:p>
    <w:p>
      <w:pPr>
        <w:keepNext w:val="0"/>
        <w:spacing w:before="0" w:after="40"/>
        <w:ind w:left="432" w:hanging="432"/>
        <w:jc w:val="both"/>
      </w:pPr>
      <w:r>
        <w:rPr>
          <w:rFonts w:ascii="Times New Roman" w:hAnsi="Times New Roman" w:cs="Times New Roman" w:eastAsia="Times New Roman"/>
          <w:b w:val="0"/>
          <w:i w:val="0"/>
          <w:sz w:val="16"/>
        </w:rPr>
        <w:t>[33] K. Moriarty, B. Kaliski, and A. Rusch, “PKCS #5: password-based cryptography specification version 2.1,” RFC 8018, IETF, 2017. https://doi.org/10.17487/RFC8018</w:t>
      </w:r>
    </w:p>
    <w:p>
      <w:pPr>
        <w:keepNext w:val="0"/>
        <w:spacing w:before="0" w:after="40"/>
        <w:ind w:left="432" w:hanging="432"/>
        <w:jc w:val="both"/>
      </w:pPr>
      <w:r>
        <w:rPr>
          <w:rFonts w:ascii="Times New Roman" w:hAnsi="Times New Roman" w:cs="Times New Roman" w:eastAsia="Times New Roman"/>
          <w:b w:val="0"/>
          <w:i w:val="0"/>
          <w:sz w:val="16"/>
        </w:rPr>
        <w:t>[34] M. Jones, J. Bradley, and N. Sakimura, “JSON Web Token (JWT),” RFC 7519, IETF, 2015. https://doi.org/10.17487/RFC7519</w:t>
      </w:r>
    </w:p>
    <w:p>
      <w:pPr>
        <w:keepNext w:val="0"/>
        <w:spacing w:before="0" w:after="40"/>
        <w:ind w:left="432" w:hanging="432"/>
        <w:jc w:val="both"/>
      </w:pPr>
      <w:r>
        <w:rPr>
          <w:rFonts w:ascii="Times New Roman" w:hAnsi="Times New Roman" w:cs="Times New Roman" w:eastAsia="Times New Roman"/>
          <w:b w:val="0"/>
          <w:i w:val="0"/>
          <w:sz w:val="16"/>
        </w:rPr>
        <w:t>[35] F. Pedregosa et al., “Scikit-learn: machine learning in Python,” J. Mach. Learn. Res., vol. 12, pp. 2825–2830, 2011. https://jmlr.org/papers/v12/pedregosa11a.html</w:t>
      </w:r>
    </w:p>
    <w:p>
      <w:pPr>
        <w:keepNext w:val="0"/>
        <w:spacing w:before="0" w:after="40"/>
        <w:ind w:left="432" w:hanging="432"/>
        <w:jc w:val="both"/>
      </w:pPr>
      <w:r>
        <w:rPr>
          <w:rFonts w:ascii="Times New Roman" w:hAnsi="Times New Roman" w:cs="Times New Roman" w:eastAsia="Times New Roman"/>
          <w:b w:val="0"/>
          <w:i w:val="0"/>
          <w:sz w:val="16"/>
        </w:rPr>
        <w:t>[36] S. Ramírez, “FastAPI documentation.” https://fastapi.tiangolo.com</w:t>
      </w:r>
    </w:p>
    <w:p>
      <w:pPr>
        <w:keepNext w:val="0"/>
        <w:spacing w:before="0" w:after="40"/>
        <w:ind w:left="432" w:hanging="432"/>
        <w:jc w:val="both"/>
      </w:pPr>
      <w:r>
        <w:rPr>
          <w:rFonts w:ascii="Times New Roman" w:hAnsi="Times New Roman" w:cs="Times New Roman" w:eastAsia="Times New Roman"/>
          <w:b w:val="0"/>
          <w:i w:val="0"/>
          <w:sz w:val="16"/>
        </w:rPr>
        <w:t>[37] M. Kleppmann, Designing Data-Intensive Applications. O’Reilly Media, 2017. https://dataintensive.net</w:t>
      </w:r>
    </w:p>
    <w:p>
      <w:pPr>
        <w:keepNext w:val="0"/>
        <w:spacing w:before="0" w:after="40"/>
        <w:ind w:left="432" w:hanging="432"/>
        <w:jc w:val="both"/>
      </w:pPr>
      <w:r>
        <w:rPr>
          <w:rFonts w:ascii="Times New Roman" w:hAnsi="Times New Roman" w:cs="Times New Roman" w:eastAsia="Times New Roman"/>
          <w:b w:val="0"/>
          <w:i w:val="0"/>
          <w:sz w:val="16"/>
        </w:rPr>
        <w:t>[38] D. Ongaro and J. Ousterhout, “In search of an understandable consensus algorithm,” in Proc. USENIX ATC, 2014, pp. 305–319. https://www.usenix.org/conference/atc14/technical-sessions/presentation/ongaro</w:t>
      </w:r>
    </w:p>
    <w:p>
      <w:pPr>
        <w:keepNext/>
        <w:spacing w:before="200" w:after="80"/>
        <w:jc w:val="center"/>
      </w:pPr>
      <w:r>
        <w:rPr>
          <w:rFonts w:ascii="Times New Roman" w:hAnsi="Times New Roman" w:cs="Times New Roman" w:eastAsia="Times New Roman"/>
          <w:b w:val="0"/>
          <w:i w:val="0"/>
          <w:sz w:val="20"/>
        </w:rPr>
        <w:t>APPENDIX</w:t>
      </w:r>
    </w:p>
    <w:p>
      <w:pPr>
        <w:keepNext w:val="0"/>
        <w:spacing w:before="0" w:after="80"/>
        <w:jc w:val="both"/>
      </w:pPr>
      <w:r>
        <w:rPr>
          <w:rFonts w:ascii="Times New Roman" w:hAnsi="Times New Roman" w:cs="Times New Roman" w:eastAsia="Times New Roman"/>
          <w:b/>
          <w:sz w:val="20"/>
        </w:rPr>
        <w:t xml:space="preserve">Research paper in IEEE conference format (Word): </w:t>
      </w:r>
      <w:r>
        <w:rPr>
          <w:rFonts w:ascii="Times New Roman" w:hAnsi="Times New Roman" w:cs="Times New Roman" w:eastAsia="Times New Roman"/>
          <w:sz w:val="20"/>
        </w:rPr>
        <w:t>https://github.com/Zerko-sd/CollabDoc/blob/main/paper/collabdoc.docx</w:t>
      </w:r>
    </w:p>
    <w:p>
      <w:pPr>
        <w:keepNext w:val="0"/>
        <w:spacing w:before="0" w:after="80"/>
        <w:jc w:val="both"/>
      </w:pPr>
      <w:r>
        <w:rPr>
          <w:rFonts w:ascii="Times New Roman" w:hAnsi="Times New Roman" w:cs="Times New Roman" w:eastAsia="Times New Roman"/>
          <w:b/>
          <w:sz w:val="20"/>
        </w:rPr>
        <w:t xml:space="preserve">Research paper (PDF): </w:t>
      </w:r>
      <w:r>
        <w:rPr>
          <w:rFonts w:ascii="Times New Roman" w:hAnsi="Times New Roman" w:cs="Times New Roman" w:eastAsia="Times New Roman"/>
          <w:sz w:val="20"/>
        </w:rPr>
        <w:t>https://github.com/Zerko-sd/CollabDoc/blob/main/paper/collabdoc.pdf</w:t>
      </w:r>
    </w:p>
    <w:sectPr>
      <w:type w:val="continuous"/>
      <w:pgSz w:w="12240" w:h="15840"/>
      <w:pgMar w:top="1080" w:right="900" w:bottom="1300" w:left="90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 - CollabDoc (BCSE355L DA III)</dc:title>
  <dc:subject/>
  <dc:creator>Nitish Kumar, Balan N</dc:creator>
  <cp:keywords/>
  <dc:description>generated by python-docx</dc:description>
  <cp:lastModifiedBy/>
  <cp:revision>1</cp:revision>
  <dcterms:created xsi:type="dcterms:W3CDTF">2013-12-23T23:15:00Z</dcterms:created>
  <dcterms:modified xsi:type="dcterms:W3CDTF">2013-12-23T23:15:00Z</dcterms:modified>
  <cp:category/>
</cp:coreProperties>
</file>