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400" w:after="280"/>
        <w:jc w:val="center"/>
      </w:pPr>
      <w:r>
        <w:drawing>
          <wp:inline xmlns:a="http://schemas.openxmlformats.org/drawingml/2006/main" xmlns:pic="http://schemas.openxmlformats.org/drawingml/2006/picture">
            <wp:extent cx="2560320" cy="910883"/>
            <wp:docPr id="1" name="Picture 1"/>
            <wp:cNvGraphicFramePr>
              <a:graphicFrameLocks noChangeAspect="1"/>
            </wp:cNvGraphicFramePr>
            <a:graphic>
              <a:graphicData uri="http://schemas.openxmlformats.org/drawingml/2006/picture">
                <pic:pic>
                  <pic:nvPicPr>
                    <pic:cNvPr id="0" name="vitlogo.png"/>
                    <pic:cNvPicPr/>
                  </pic:nvPicPr>
                  <pic:blipFill>
                    <a:blip r:embed="rId9"/>
                    <a:stretch>
                      <a:fillRect/>
                    </a:stretch>
                  </pic:blipFill>
                  <pic:spPr>
                    <a:xfrm>
                      <a:off x="0" y="0"/>
                      <a:ext cx="2560320" cy="910883"/>
                    </a:xfrm>
                    <a:prstGeom prst="rect"/>
                  </pic:spPr>
                </pic:pic>
              </a:graphicData>
            </a:graphic>
          </wp:inline>
        </w:drawing>
      </w:r>
    </w:p>
    <w:p>
      <w:pPr>
        <w:keepNext w:val="0"/>
        <w:spacing w:before="0" w:after="160"/>
        <w:jc w:val="center"/>
      </w:pPr>
      <w:r>
        <w:rPr>
          <w:rFonts w:ascii="Times New Roman" w:hAnsi="Times New Roman" w:cs="Times New Roman" w:eastAsia="Times New Roman"/>
          <w:b/>
          <w:i w:val="0"/>
          <w:sz w:val="36"/>
        </w:rPr>
        <w:t>Vellore Institute of Technology, Chennai</w:t>
      </w:r>
    </w:p>
    <w:p>
      <w:pPr>
        <w:keepNext w:val="0"/>
        <w:spacing w:before="0" w:after="600"/>
        <w:jc w:val="center"/>
      </w:pPr>
      <w:r>
        <w:rPr>
          <w:rFonts w:ascii="Times New Roman" w:hAnsi="Times New Roman" w:cs="Times New Roman" w:eastAsia="Times New Roman"/>
          <w:b/>
          <w:i w:val="0"/>
          <w:sz w:val="30"/>
        </w:rPr>
        <w:t>School of Computer Science and Engineering</w:t>
      </w:r>
    </w:p>
    <w:p>
      <w:pPr>
        <w:keepNext w:val="0"/>
        <w:spacing w:before="0" w:after="80"/>
        <w:jc w:val="center"/>
      </w:pPr>
      <w:r>
        <w:rPr>
          <w:rFonts w:ascii="Times New Roman" w:hAnsi="Times New Roman" w:cs="Times New Roman" w:eastAsia="Times New Roman"/>
          <w:b w:val="0"/>
          <w:i w:val="0"/>
          <w:sz w:val="26"/>
        </w:rPr>
        <w:t>Course Code: BCSE355L</w:t>
      </w:r>
    </w:p>
    <w:p>
      <w:pPr>
        <w:keepNext w:val="0"/>
        <w:spacing w:before="0" w:after="480"/>
        <w:jc w:val="center"/>
      </w:pPr>
      <w:r>
        <w:rPr>
          <w:rFonts w:ascii="Times New Roman" w:hAnsi="Times New Roman" w:cs="Times New Roman" w:eastAsia="Times New Roman"/>
          <w:b w:val="0"/>
          <w:i w:val="0"/>
          <w:sz w:val="26"/>
        </w:rPr>
        <w:t>Course Name: Cloud Architecture Design</w:t>
      </w:r>
    </w:p>
    <w:p>
      <w:pPr>
        <w:keepNext w:val="0"/>
        <w:spacing w:before="0" w:after="80"/>
        <w:jc w:val="center"/>
      </w:pPr>
      <w:r>
        <w:rPr>
          <w:rFonts w:ascii="Times New Roman" w:hAnsi="Times New Roman" w:cs="Times New Roman" w:eastAsia="Times New Roman"/>
          <w:b/>
          <w:i w:val="0"/>
          <w:sz w:val="26"/>
        </w:rPr>
        <w:t>Direct Assessment III</w:t>
      </w:r>
    </w:p>
    <w:p>
      <w:pPr>
        <w:keepNext w:val="0"/>
        <w:spacing w:before="0" w:after="680"/>
        <w:jc w:val="center"/>
      </w:pPr>
      <w:r>
        <w:rPr>
          <w:rFonts w:ascii="Times New Roman" w:hAnsi="Times New Roman" w:cs="Times New Roman" w:eastAsia="Times New Roman"/>
          <w:b w:val="0"/>
          <w:i w:val="0"/>
          <w:sz w:val="26"/>
        </w:rPr>
        <w:t>Max Marks: 10</w:t>
      </w:r>
    </w:p>
    <w:p>
      <w:pPr>
        <w:keepNext w:val="0"/>
        <w:spacing w:before="0" w:after="120"/>
        <w:jc w:val="center"/>
      </w:pPr>
      <w:r>
        <w:rPr>
          <w:rFonts w:ascii="Times New Roman" w:hAnsi="Times New Roman" w:cs="Times New Roman" w:eastAsia="Times New Roman"/>
          <w:b/>
          <w:i w:val="0"/>
          <w:sz w:val="26"/>
        </w:rPr>
        <w:t>Team Members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2880"/>
          </w:tcPr>
          <w:p>
            <w:pPr>
              <w:spacing w:before="60" w:after="60"/>
              <w:jc w:val="center"/>
            </w:pPr>
            <w:r>
              <w:rPr>
                <w:rFonts w:ascii="Times New Roman" w:hAnsi="Times New Roman" w:cs="Times New Roman" w:eastAsia="Times New Roman"/>
                <w:b/>
                <w:sz w:val="24"/>
              </w:rPr>
              <w:t>Reg. ID</w:t>
            </w:r>
          </w:p>
        </w:tc>
        <w:tc>
          <w:tcPr>
            <w:tcW w:type="dxa" w:w="2880"/>
          </w:tcPr>
          <w:p>
            <w:pPr>
              <w:spacing w:before="60" w:after="60"/>
              <w:jc w:val="center"/>
            </w:pPr>
            <w:r>
              <w:rPr>
                <w:rFonts w:ascii="Times New Roman" w:hAnsi="Times New Roman" w:cs="Times New Roman" w:eastAsia="Times New Roman"/>
                <w:b/>
                <w:sz w:val="24"/>
              </w:rPr>
              <w:t>Name</w:t>
            </w:r>
          </w:p>
        </w:tc>
      </w:tr>
      <w:tr>
        <w:tc>
          <w:tcPr>
            <w:tcW w:type="dxa" w:w="2880"/>
          </w:tcPr>
          <w:p>
            <w:pPr>
              <w:spacing w:before="60" w:after="60"/>
              <w:jc w:val="center"/>
            </w:pPr>
            <w:r>
              <w:rPr>
                <w:rFonts w:ascii="Times New Roman" w:hAnsi="Times New Roman" w:cs="Times New Roman" w:eastAsia="Times New Roman"/>
                <w:b w:val="0"/>
                <w:sz w:val="24"/>
              </w:rPr>
              <w:t>24BCE1520</w:t>
            </w:r>
          </w:p>
        </w:tc>
        <w:tc>
          <w:tcPr>
            <w:tcW w:type="dxa" w:w="2880"/>
          </w:tcPr>
          <w:p>
            <w:pPr>
              <w:spacing w:before="60" w:after="60"/>
              <w:jc w:val="center"/>
            </w:pPr>
            <w:r>
              <w:rPr>
                <w:rFonts w:ascii="Times New Roman" w:hAnsi="Times New Roman" w:cs="Times New Roman" w:eastAsia="Times New Roman"/>
                <w:b w:val="0"/>
                <w:sz w:val="24"/>
              </w:rPr>
              <w:t>Nitish Kumar</w:t>
            </w:r>
          </w:p>
        </w:tc>
      </w:tr>
      <w:tr>
        <w:tc>
          <w:tcPr>
            <w:tcW w:type="dxa" w:w="2880"/>
          </w:tcPr>
          <w:p>
            <w:pPr>
              <w:spacing w:before="60" w:after="60"/>
              <w:jc w:val="center"/>
            </w:pPr>
            <w:r>
              <w:rPr>
                <w:rFonts w:ascii="Times New Roman" w:hAnsi="Times New Roman" w:cs="Times New Roman" w:eastAsia="Times New Roman"/>
                <w:b w:val="0"/>
                <w:sz w:val="24"/>
              </w:rPr>
              <w:t>24BCE1594</w:t>
            </w:r>
          </w:p>
        </w:tc>
        <w:tc>
          <w:tcPr>
            <w:tcW w:type="dxa" w:w="2880"/>
          </w:tcPr>
          <w:p>
            <w:pPr>
              <w:spacing w:before="60" w:after="60"/>
              <w:jc w:val="center"/>
            </w:pPr>
            <w:r>
              <w:rPr>
                <w:rFonts w:ascii="Times New Roman" w:hAnsi="Times New Roman" w:cs="Times New Roman" w:eastAsia="Times New Roman"/>
                <w:b w:val="0"/>
                <w:sz w:val="24"/>
              </w:rPr>
              <w:t>Balan N</w:t>
            </w:r>
          </w:p>
        </w:tc>
      </w:tr>
    </w:tbl>
    <w:p>
      <w:r>
        <w:br w:type="page"/>
      </w:r>
    </w:p>
    <w:p>
      <w:pPr>
        <w:keepNext w:val="0"/>
        <w:spacing w:before="160" w:after="120"/>
        <w:jc w:val="center"/>
      </w:pPr>
      <w:r>
        <w:rPr>
          <w:rFonts w:ascii="Times New Roman" w:hAnsi="Times New Roman" w:cs="Times New Roman" w:eastAsia="Times New Roman"/>
          <w:b w:val="0"/>
          <w:i w:val="0"/>
          <w:sz w:val="44"/>
        </w:rPr>
        <w:t>CollabDoc: A Real-Time Collaborative Document Editor with Operational Transformation and Stylometric Authorship Attribution, Deployed on AWS</w:t>
      </w:r>
    </w:p>
    <w:p>
      <w:pPr>
        <w:keepNext w:val="0"/>
        <w:spacing w:before="120" w:after="60"/>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CollabDoc lets several people edit one document at the same time and then tells them who wrote which part. Edits are merged by a server-side operational transformation (OT) engine so that every client converges on identical text. A keystroke ledger records who typed each character, and a dependency-free softmax classifier over 44 stylometric features forms an independent opinion about the writing style of each block; the two are blended into a per-block confidence score. Because a document's editing state lives in the memory of one process, scaling it is a cloud-architecture problem, and this project treats it as one. The system was deployed on AWS as a k3s Kubernetes cluster on a single EC2 instance in ap-south-1 with three application pods, Kafka for cross-pod events, a Caddy router that hashes the document id so each document always reaches the same pod, RDS PostgreSQL in private subnets, S3 for uploads, ECR for images, and CloudWatch alarms and a budget for operations. The whole stack is described in Terraform and cost about US$2.5 per day while running; it has since been torn down because the AWS credits were used up. On a development machine an edit was acknowledged in 2.3 ms median (3.9 ms p95) against a 200 ms requirement, and the OT engine converged on 2000 of 2000 random concurrent-edit pairs.</w:t>
      </w:r>
    </w:p>
    <w:p>
      <w:pPr>
        <w:keepNext w:val="0"/>
        <w:spacing w:before="0" w:after="160"/>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cloud architecture, AWS, Kubernetes, operational transformation, collaborative editing, authorship attribution, stylometry, Kafka</w:t>
      </w:r>
    </w:p>
    <w:p>
      <w:pPr>
        <w:spacing w:after="0"/>
        <w:sectPr>
          <w:pgSz w:w="12240" w:h="15840"/>
          <w:pgMar w:top="1080" w:right="900" w:bottom="1300" w:left="900" w:header="720" w:footer="720" w:gutter="0"/>
          <w:cols w:num="1"/>
        </w:sectPr>
      </w:pPr>
    </w:p>
    <w:p>
      <w:pPr>
        <w:keepNext/>
        <w:spacing w:before="200" w:after="80"/>
        <w:jc w:val="center"/>
      </w:pPr>
      <w:r>
        <w:rPr>
          <w:rFonts w:ascii="Times New Roman" w:hAnsi="Times New Roman" w:cs="Times New Roman" w:eastAsia="Times New Roman"/>
          <w:b w:val="0"/>
          <w:i w:val="0"/>
          <w:sz w:val="20"/>
        </w:rPr>
        <w:t>I. PROBLEM STATEMENT</w:t>
      </w:r>
    </w:p>
    <w:p>
      <w:pPr>
        <w:keepNext w:val="0"/>
        <w:spacing w:before="0" w:after="120"/>
        <w:jc w:val="both"/>
      </w:pPr>
      <w:r>
        <w:rPr>
          <w:rFonts w:ascii="Times New Roman" w:hAnsi="Times New Roman" w:cs="Times New Roman" w:eastAsia="Times New Roman"/>
          <w:b w:val="0"/>
          <w:i w:val="0"/>
          <w:sz w:val="20"/>
        </w:rPr>
        <w:t>Group documents are written by several people, but ordinary shared editors answer neither of two questions that follow: how to keep every collaborator's copy identical under concurrent edits at low latency, and who actually wrote each part. The second matters in coursework and team reports, where a reviewer must tell a real contribution from a pasted one. A third, architectural question follows once the service has more than one user: how to run it on several backends in the cloud when a document's live state (its version counter) is held in the memory of a single process, and the operation log has no database constraint that would catch two processes numbering operations independently.</w:t>
      </w:r>
    </w:p>
    <w:p>
      <w:pPr>
        <w:keepNext/>
        <w:spacing w:before="200" w:after="80"/>
        <w:jc w:val="center"/>
      </w:pPr>
      <w:r>
        <w:rPr>
          <w:rFonts w:ascii="Times New Roman" w:hAnsi="Times New Roman" w:cs="Times New Roman" w:eastAsia="Times New Roman"/>
          <w:b w:val="0"/>
          <w:i w:val="0"/>
          <w:sz w:val="20"/>
        </w:rPr>
        <w:t>II. HIGHLIGHTS OF THE PROJECT / NOVELTY</w:t>
      </w:r>
    </w:p>
    <w:p>
      <w:pPr>
        <w:pStyle w:val="ListBullet"/>
        <w:spacing w:after="60"/>
        <w:jc w:val="both"/>
      </w:pPr>
      <w:r>
        <w:rPr>
          <w:rFonts w:ascii="Times New Roman" w:hAnsi="Times New Roman" w:cs="Times New Roman" w:eastAsia="Times New Roman"/>
          <w:b/>
          <w:sz w:val="20"/>
        </w:rPr>
        <w:t xml:space="preserve">Ledger-supervised stylometry. </w:t>
      </w:r>
      <w:r>
        <w:rPr>
          <w:rFonts w:ascii="Times New Roman" w:hAnsi="Times New Roman" w:cs="Times New Roman" w:eastAsia="Times New Roman"/>
          <w:sz w:val="20"/>
        </w:rPr>
        <w:t>Text that the keystroke ledger proves a user typed becomes that user's labelled training corpus, so the model learns from the mechanical record and then forms an opinion independent of it.</w:t>
      </w:r>
    </w:p>
    <w:p>
      <w:pPr>
        <w:pStyle w:val="ListBullet"/>
        <w:spacing w:after="60"/>
        <w:jc w:val="both"/>
      </w:pPr>
      <w:r>
        <w:rPr>
          <w:rFonts w:ascii="Times New Roman" w:hAnsi="Times New Roman" w:cs="Times New Roman" w:eastAsia="Times New Roman"/>
          <w:b/>
          <w:sz w:val="20"/>
        </w:rPr>
        <w:t xml:space="preserve">Length-aware blending. </w:t>
      </w:r>
      <w:r>
        <w:rPr>
          <w:rFonts w:ascii="Times New Roman" w:hAnsi="Times New Roman" w:cs="Times New Roman" w:eastAsia="Times New Roman"/>
          <w:sz w:val="20"/>
        </w:rPr>
        <w:t>Stylometric weight grows with block length and is capped at 0.65, so a four-word heading is decided by keystrokes and a paragraph mostly by style; the model can never fully overrule the recorded keystrokes.</w:t>
      </w:r>
    </w:p>
    <w:p>
      <w:pPr>
        <w:pStyle w:val="ListBullet"/>
        <w:spacing w:after="60"/>
        <w:jc w:val="both"/>
      </w:pPr>
      <w:r>
        <w:rPr>
          <w:rFonts w:ascii="Times New Roman" w:hAnsi="Times New Roman" w:cs="Times New Roman" w:eastAsia="Times New Roman"/>
          <w:b/>
          <w:sz w:val="20"/>
        </w:rPr>
        <w:t xml:space="preserve">Leave-one-out integrity report. </w:t>
      </w:r>
      <w:r>
        <w:rPr>
          <w:rFonts w:ascii="Times New Roman" w:hAnsi="Times New Roman" w:cs="Times New Roman" w:eastAsia="Times New Roman"/>
          <w:sz w:val="20"/>
        </w:rPr>
        <w:t>Each block is judged by a model retrained without it, so a passage copied from one author does not vouch for itself. In a two-author demonstration this moved a copied passage from 59% to 98% "reads like Alice".</w:t>
      </w:r>
    </w:p>
    <w:p>
      <w:pPr>
        <w:pStyle w:val="ListBullet"/>
        <w:spacing w:after="60"/>
        <w:jc w:val="both"/>
      </w:pPr>
      <w:r>
        <w:rPr>
          <w:rFonts w:ascii="Times New Roman" w:hAnsi="Times New Roman" w:cs="Times New Roman" w:eastAsia="Times New Roman"/>
          <w:b/>
          <w:sz w:val="20"/>
        </w:rPr>
        <w:t xml:space="preserve">Honest abstention. </w:t>
      </w:r>
      <w:r>
        <w:rPr>
          <w:rFonts w:ascii="Times New Roman" w:hAnsi="Times New Roman" w:cs="Times New Roman" w:eastAsia="Times New Roman"/>
          <w:sz w:val="20"/>
        </w:rPr>
        <w:t>With fewer than two authors with three samples each, the model declines and attribution falls back to the ledger.</w:t>
      </w:r>
    </w:p>
    <w:p>
      <w:pPr>
        <w:pStyle w:val="ListBullet"/>
        <w:spacing w:after="60"/>
        <w:jc w:val="both"/>
      </w:pPr>
      <w:r>
        <w:rPr>
          <w:rFonts w:ascii="Times New Roman" w:hAnsi="Times New Roman" w:cs="Times New Roman" w:eastAsia="Times New Roman"/>
          <w:b/>
          <w:sz w:val="20"/>
        </w:rPr>
        <w:t xml:space="preserve">Document-aware routing on Kubernetes. </w:t>
      </w:r>
      <w:r>
        <w:rPr>
          <w:rFonts w:ascii="Times New Roman" w:hAnsi="Times New Roman" w:cs="Times New Roman" w:eastAsia="Times New Roman"/>
          <w:sz w:val="20"/>
        </w:rPr>
        <w:t>A Caddy router extracts the document id from the URL and uses rendezvous hashing over stable StatefulSet pod names, so each document is live on exactly one pod. Kafka carries presence and notifications between pods.</w:t>
      </w:r>
    </w:p>
    <w:p>
      <w:pPr>
        <w:pStyle w:val="ListBullet"/>
        <w:spacing w:after="60"/>
        <w:jc w:val="both"/>
      </w:pPr>
      <w:r>
        <w:rPr>
          <w:rFonts w:ascii="Times New Roman" w:hAnsi="Times New Roman" w:cs="Times New Roman" w:eastAsia="Times New Roman"/>
          <w:b/>
          <w:sz w:val="20"/>
        </w:rPr>
        <w:t xml:space="preserve">One code path for scale-out. </w:t>
      </w:r>
      <w:r>
        <w:rPr>
          <w:rFonts w:ascii="Times New Roman" w:hAnsi="Times New Roman" w:cs="Times New Roman" w:eastAsia="Times New Roman"/>
          <w:sz w:val="20"/>
        </w:rPr>
        <w:t>Every event leaves through a broadcaster interface even in one process, so the multi-pod path is the same code path as the single-process one.</w:t>
      </w:r>
    </w:p>
    <w:p>
      <w:pPr>
        <w:pStyle w:val="ListBullet"/>
        <w:spacing w:after="60"/>
        <w:jc w:val="both"/>
      </w:pPr>
      <w:r>
        <w:rPr>
          <w:rFonts w:ascii="Times New Roman" w:hAnsi="Times New Roman" w:cs="Times New Roman" w:eastAsia="Times New Roman"/>
          <w:b/>
          <w:sz w:val="20"/>
        </w:rPr>
        <w:t xml:space="preserve">Cost-aware cloud design. </w:t>
      </w:r>
      <w:r>
        <w:rPr>
          <w:rFonts w:ascii="Times New Roman" w:hAnsi="Times New Roman" w:cs="Times New Roman" w:eastAsia="Times New Roman"/>
          <w:sz w:val="20"/>
        </w:rPr>
        <w:t>k3s on one EC2 node gives real Kubernetes without the roughly US$73 per month EKS control-plane fee; a stop script pauses EC2 and RDS and brings the cost to about US$0.25 per day.</w:t>
      </w:r>
    </w:p>
    <w:p>
      <w:pPr>
        <w:pStyle w:val="ListBullet"/>
        <w:spacing w:after="60"/>
        <w:jc w:val="both"/>
      </w:pPr>
      <w:r>
        <w:rPr>
          <w:rFonts w:ascii="Times New Roman" w:hAnsi="Times New Roman" w:cs="Times New Roman" w:eastAsia="Times New Roman"/>
          <w:b/>
          <w:sz w:val="20"/>
        </w:rPr>
        <w:t xml:space="preserve">Dual OT implementations, cross-checked. </w:t>
      </w:r>
      <w:r>
        <w:rPr>
          <w:rFonts w:ascii="Times New Roman" w:hAnsi="Times New Roman" w:cs="Times New Roman" w:eastAsia="Times New Roman"/>
          <w:sz w:val="20"/>
        </w:rPr>
        <w:t>The Python server engine and its JavaScript browser port are checked against each other on random edits, because a divergence would silently desynchronise editors.</w:t>
      </w:r>
    </w:p>
    <w:p>
      <w:pPr>
        <w:keepNext/>
        <w:spacing w:before="200" w:after="80"/>
        <w:jc w:val="center"/>
      </w:pPr>
      <w:r>
        <w:rPr>
          <w:rFonts w:ascii="Times New Roman" w:hAnsi="Times New Roman" w:cs="Times New Roman" w:eastAsia="Times New Roman"/>
          <w:b w:val="0"/>
          <w:i w:val="0"/>
          <w:sz w:val="20"/>
        </w:rPr>
        <w:t>III. DATASET LINK</w:t>
      </w:r>
    </w:p>
    <w:p>
      <w:pPr>
        <w:keepNext w:val="0"/>
        <w:spacing w:before="0" w:after="120"/>
        <w:jc w:val="both"/>
      </w:pPr>
      <w:r>
        <w:rPr>
          <w:rFonts w:ascii="Times New Roman" w:hAnsi="Times New Roman" w:cs="Times New Roman" w:eastAsia="Times New Roman"/>
          <w:b w:val="0"/>
          <w:i w:val="0"/>
          <w:sz w:val="20"/>
        </w:rPr>
        <w:t>The project uses no external dataset. The attribution model is trained at run time on each document's own ledger-labelled text, and the evaluation uses three synthetic writing styles built to differ on the measured features (server/tests/corpora.py in the repository). No original dataset was collected, so no Zenodo DOI exists.</w:t>
      </w:r>
    </w:p>
    <w:p>
      <w:pPr>
        <w:keepNext w:val="0"/>
        <w:spacing w:before="0" w:after="80"/>
        <w:jc w:val="both"/>
      </w:pPr>
      <w:r>
        <w:rPr>
          <w:rFonts w:ascii="Times New Roman" w:hAnsi="Times New Roman" w:cs="Times New Roman" w:eastAsia="Times New Roman"/>
          <w:b/>
          <w:sz w:val="20"/>
        </w:rPr>
        <w:t xml:space="preserve">Citation (no dataset DOI; reserved if a corpus is later archived): </w:t>
      </w:r>
      <w:r>
        <w:rPr>
          <w:rFonts w:ascii="Times New Roman" w:hAnsi="Times New Roman" w:cs="Times New Roman" w:eastAsia="Times New Roman"/>
          <w:sz w:val="20"/>
        </w:rPr>
        <w:t>Nitish Kumar, Balan N, S Vigneshwari, "CollabDoc collaborative-writing corpus," Zenodo, [DOI to be assigned].</w:t>
      </w:r>
    </w:p>
    <w:p>
      <w:pPr>
        <w:keepNext/>
        <w:spacing w:before="200" w:after="80"/>
        <w:jc w:val="center"/>
      </w:pPr>
      <w:r>
        <w:rPr>
          <w:rFonts w:ascii="Times New Roman" w:hAnsi="Times New Roman" w:cs="Times New Roman" w:eastAsia="Times New Roman"/>
          <w:b w:val="0"/>
          <w:i w:val="0"/>
          <w:sz w:val="20"/>
        </w:rPr>
        <w:t>IV. PROJECT DEMO LINK</w:t>
      </w:r>
    </w:p>
    <w:p>
      <w:pPr>
        <w:keepNext w:val="0"/>
        <w:spacing w:before="0" w:after="120"/>
        <w:jc w:val="both"/>
      </w:pPr>
      <w:r>
        <w:rPr>
          <w:rFonts w:ascii="Times New Roman" w:hAnsi="Times New Roman" w:cs="Times New Roman" w:eastAsia="Times New Roman"/>
          <w:b w:val="0"/>
          <w:i w:val="0"/>
          <w:sz w:val="20"/>
        </w:rPr>
        <w:t>Not available. The project was deployed on AWS (k3s on EC2, RDS, S3, ECR) and demonstrated live, but the AWS free-plan credits have been used up and the stack has been torn down, so there is no live demo URL. The full deployment can be recreated from the repository with Terraform and deploy/deploy.ps1, and the screenshots, results and deployment configuration are included in this document and in the repository.</w:t>
      </w:r>
    </w:p>
    <w:p>
      <w:pPr>
        <w:keepNext/>
        <w:spacing w:before="200" w:after="80"/>
        <w:jc w:val="center"/>
      </w:pPr>
      <w:r>
        <w:rPr>
          <w:rFonts w:ascii="Times New Roman" w:hAnsi="Times New Roman" w:cs="Times New Roman" w:eastAsia="Times New Roman"/>
          <w:b w:val="0"/>
          <w:i w:val="0"/>
          <w:sz w:val="20"/>
        </w:rPr>
        <w:t>V. GITHUB REPOSITORY LINK</w:t>
      </w:r>
    </w:p>
    <w:p>
      <w:pPr>
        <w:keepNext w:val="0"/>
        <w:spacing w:before="0" w:after="60"/>
        <w:jc w:val="left"/>
      </w:pPr>
      <w:r>
        <w:rPr>
          <w:rFonts w:ascii="Times New Roman" w:hAnsi="Times New Roman" w:cs="Times New Roman" w:eastAsia="Times New Roman"/>
          <w:b w:val="0"/>
          <w:i w:val="0"/>
          <w:sz w:val="20"/>
        </w:rPr>
        <w:t>https://github.com/Zerko-sd/CollabDoc</w:t>
      </w:r>
    </w:p>
    <w:p>
      <w:pPr>
        <w:keepNext w:val="0"/>
        <w:spacing w:before="0" w:after="80"/>
        <w:jc w:val="both"/>
      </w:pPr>
      <w:r>
        <w:rPr>
          <w:rFonts w:ascii="Times New Roman" w:hAnsi="Times New Roman" w:cs="Times New Roman" w:eastAsia="Times New Roman"/>
          <w:b/>
          <w:sz w:val="20"/>
        </w:rPr>
        <w:t xml:space="preserve">Citation: </w:t>
      </w:r>
      <w:r>
        <w:rPr>
          <w:rFonts w:ascii="Times New Roman" w:hAnsi="Times New Roman" w:cs="Times New Roman" w:eastAsia="Times New Roman"/>
          <w:sz w:val="20"/>
        </w:rPr>
        <w:t>Nitish Kumar, Balan N, S Vigneshwari, "CollabDoc: A Real-Time Collaborative Document Editor with Operational Transformation and Stylometric Authorship Attribution," GitHub repository, https://github.com/Zerko-sd/CollabDoc.</w:t>
      </w:r>
    </w:p>
    <w:p>
      <w:pPr>
        <w:keepNext/>
        <w:spacing w:before="200" w:after="80"/>
        <w:jc w:val="center"/>
      </w:pPr>
      <w:r>
        <w:rPr>
          <w:rFonts w:ascii="Times New Roman" w:hAnsi="Times New Roman" w:cs="Times New Roman" w:eastAsia="Times New Roman"/>
          <w:b w:val="0"/>
          <w:i w:val="0"/>
          <w:sz w:val="20"/>
        </w:rPr>
        <w:t>VI. ARCHITECTURE DIAGRAM</w:t>
      </w:r>
    </w:p>
    <w:p>
      <w:pPr>
        <w:keepNext w:val="0"/>
        <w:spacing w:before="0" w:after="120"/>
        <w:jc w:val="both"/>
      </w:pPr>
      <w:r>
        <w:rPr>
          <w:rFonts w:ascii="Times New Roman" w:hAnsi="Times New Roman" w:cs="Times New Roman" w:eastAsia="Times New Roman"/>
          <w:b w:val="0"/>
          <w:i w:val="0"/>
          <w:sz w:val="20"/>
        </w:rPr>
        <w:t>Application architecture. A browser reaches the server through REST routers (accounts, documents, sharing, history) and a WebSocket (editing, presence, attribution). Both read through a per-document session that holds the OT state, the keystroke ledger and the attribution engine. Every event leaves through a broadcaster.</w:t>
      </w:r>
    </w:p>
    <w:p>
      <w:pPr>
        <w:keepNext/>
        <w:spacing w:before="80" w:after="40"/>
        <w:jc w:val="center"/>
      </w:pPr>
      <w:r>
        <w:drawing>
          <wp:inline xmlns:a="http://schemas.openxmlformats.org/drawingml/2006/main" xmlns:pic="http://schemas.openxmlformats.org/drawingml/2006/picture">
            <wp:extent cx="2834640" cy="1777497"/>
            <wp:docPr id="2" name="Picture 2"/>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2834640" cy="1777497"/>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1. Application request paths.</w:t>
      </w:r>
    </w:p>
    <w:p>
      <w:pPr>
        <w:keepNext w:val="0"/>
        <w:spacing w:before="0" w:after="120"/>
        <w:jc w:val="both"/>
      </w:pPr>
      <w:r>
        <w:rPr>
          <w:rFonts w:ascii="Times New Roman" w:hAnsi="Times New Roman" w:cs="Times New Roman" w:eastAsia="Times New Roman"/>
          <w:b w:val="0"/>
          <w:i w:val="0"/>
          <w:sz w:val="20"/>
        </w:rPr>
        <w:t>AWS deployment architecture. The browser reaches an Elastic IP in front of a Caddy router, which sends each document to one of three application pods. The cluster talks to RDS PostgreSQL (shared durable state, private subnets), an S3 bucket (uploads visible to every pod) and ECR (container image). The Kubernetes API is open to the owner's IP only, and the kubeconfig is handed over through SSM Parameter Store, so no SSH keys are used. CloudWatch records node and database metrics with four alarms (node status check, node CPU, database CPU, database storage), and a monthly AWS Budget tracks spend.</w:t>
      </w:r>
    </w:p>
    <w:p>
      <w:pPr>
        <w:keepNext/>
        <w:spacing w:before="80" w:after="40"/>
        <w:jc w:val="center"/>
      </w:pPr>
      <w:r>
        <w:drawing>
          <wp:inline xmlns:a="http://schemas.openxmlformats.org/drawingml/2006/main" xmlns:pic="http://schemas.openxmlformats.org/drawingml/2006/picture">
            <wp:extent cx="3063240" cy="1887225"/>
            <wp:docPr id="3" name="Picture 3"/>
            <wp:cNvGraphicFramePr>
              <a:graphicFrameLocks noChangeAspect="1"/>
            </wp:cNvGraphicFramePr>
            <a:graphic>
              <a:graphicData uri="http://schemas.openxmlformats.org/drawingml/2006/picture">
                <pic:pic>
                  <pic:nvPicPr>
                    <pic:cNvPr id="0" name="aws.png"/>
                    <pic:cNvPicPr/>
                  </pic:nvPicPr>
                  <pic:blipFill>
                    <a:blip r:embed="rId11"/>
                    <a:stretch>
                      <a:fillRect/>
                    </a:stretch>
                  </pic:blipFill>
                  <pic:spPr>
                    <a:xfrm>
                      <a:off x="0" y="0"/>
                      <a:ext cx="3063240" cy="18872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2. AWS deployment architecture (ap-south-1).</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80"/>
        <w:gridCol w:w="3480"/>
        <w:gridCol w:w="3480"/>
      </w:tblGrid>
      <w:tr>
        <w:tc>
          <w:tcPr>
            <w:tcW w:type="dxa" w:w="3480"/>
          </w:tcPr>
          <w:p>
            <w:r>
              <w:rPr>
                <w:rFonts w:ascii="Times New Roman" w:hAnsi="Times New Roman" w:cs="Times New Roman" w:eastAsia="Times New Roman"/>
                <w:b/>
                <w:sz w:val="17"/>
              </w:rPr>
              <w:t>Component</w:t>
            </w:r>
          </w:p>
        </w:tc>
        <w:tc>
          <w:tcPr>
            <w:tcW w:type="dxa" w:w="3480"/>
          </w:tcPr>
          <w:p>
            <w:r>
              <w:rPr>
                <w:rFonts w:ascii="Times New Roman" w:hAnsi="Times New Roman" w:cs="Times New Roman" w:eastAsia="Times New Roman"/>
                <w:b/>
                <w:sz w:val="17"/>
              </w:rPr>
              <w:t>AWS / Kubernetes resource</w:t>
            </w:r>
          </w:p>
        </w:tc>
        <w:tc>
          <w:tcPr>
            <w:tcW w:type="dxa" w:w="3480"/>
          </w:tcPr>
          <w:p>
            <w:r>
              <w:rPr>
                <w:rFonts w:ascii="Times New Roman" w:hAnsi="Times New Roman" w:cs="Times New Roman" w:eastAsia="Times New Roman"/>
                <w:b/>
                <w:sz w:val="17"/>
              </w:rPr>
              <w:t>Why</w:t>
            </w:r>
          </w:p>
        </w:tc>
      </w:tr>
      <w:tr>
        <w:tc>
          <w:tcPr>
            <w:tcW w:type="dxa" w:w="3480"/>
          </w:tcPr>
          <w:p>
            <w:pPr>
              <w:spacing w:after="0"/>
            </w:pPr>
            <w:r>
              <w:rPr>
                <w:rFonts w:ascii="Times New Roman" w:hAnsi="Times New Roman" w:cs="Times New Roman" w:eastAsia="Times New Roman"/>
                <w:sz w:val="17"/>
              </w:rPr>
              <w:t>Application</w:t>
            </w:r>
          </w:p>
        </w:tc>
        <w:tc>
          <w:tcPr>
            <w:tcW w:type="dxa" w:w="3480"/>
          </w:tcPr>
          <w:p>
            <w:pPr>
              <w:spacing w:after="0"/>
            </w:pPr>
            <w:r>
              <w:rPr>
                <w:rFonts w:ascii="Times New Roman" w:hAnsi="Times New Roman" w:cs="Times New Roman" w:eastAsia="Times New Roman"/>
                <w:sz w:val="17"/>
              </w:rPr>
              <w:t>StatefulSet "app", 3 pods</w:t>
            </w:r>
          </w:p>
        </w:tc>
        <w:tc>
          <w:tcPr>
            <w:tcW w:type="dxa" w:w="3480"/>
          </w:tcPr>
          <w:p>
            <w:pPr>
              <w:spacing w:after="0"/>
            </w:pPr>
            <w:r>
              <w:rPr>
                <w:rFonts w:ascii="Times New Roman" w:hAnsi="Times New Roman" w:cs="Times New Roman" w:eastAsia="Times New Roman"/>
                <w:sz w:val="17"/>
              </w:rPr>
              <w:t>Stable pod names for the router to hash onto; ordered start so one pod at a time runs schema migrations</w:t>
            </w:r>
          </w:p>
        </w:tc>
      </w:tr>
      <w:tr>
        <w:tc>
          <w:tcPr>
            <w:tcW w:type="dxa" w:w="3480"/>
          </w:tcPr>
          <w:p>
            <w:pPr>
              <w:spacing w:after="0"/>
            </w:pPr>
            <w:r>
              <w:rPr>
                <w:rFonts w:ascii="Times New Roman" w:hAnsi="Times New Roman" w:cs="Times New Roman" w:eastAsia="Times New Roman"/>
                <w:sz w:val="17"/>
              </w:rPr>
              <w:t>Router</w:t>
            </w:r>
          </w:p>
        </w:tc>
        <w:tc>
          <w:tcPr>
            <w:tcW w:type="dxa" w:w="3480"/>
          </w:tcPr>
          <w:p>
            <w:pPr>
              <w:spacing w:after="0"/>
            </w:pPr>
            <w:r>
              <w:rPr>
                <w:rFonts w:ascii="Times New Roman" w:hAnsi="Times New Roman" w:cs="Times New Roman" w:eastAsia="Times New Roman"/>
                <w:sz w:val="17"/>
              </w:rPr>
              <w:t>Caddy Deployment + LoadBalancer Service</w:t>
            </w:r>
          </w:p>
        </w:tc>
        <w:tc>
          <w:tcPr>
            <w:tcW w:type="dxa" w:w="3480"/>
          </w:tcPr>
          <w:p>
            <w:pPr>
              <w:spacing w:after="0"/>
            </w:pPr>
            <w:r>
              <w:rPr>
                <w:rFonts w:ascii="Times New Roman" w:hAnsi="Times New Roman" w:cs="Times New Roman" w:eastAsia="Times New Roman"/>
                <w:sz w:val="17"/>
              </w:rPr>
              <w:t>Sends every request for a document to the same pod; optional automatic HTTPS</w:t>
            </w:r>
          </w:p>
        </w:tc>
      </w:tr>
      <w:tr>
        <w:tc>
          <w:tcPr>
            <w:tcW w:type="dxa" w:w="3480"/>
          </w:tcPr>
          <w:p>
            <w:pPr>
              <w:spacing w:after="0"/>
            </w:pPr>
            <w:r>
              <w:rPr>
                <w:rFonts w:ascii="Times New Roman" w:hAnsi="Times New Roman" w:cs="Times New Roman" w:eastAsia="Times New Roman"/>
                <w:sz w:val="17"/>
              </w:rPr>
              <w:t>Fan-out</w:t>
            </w:r>
          </w:p>
        </w:tc>
        <w:tc>
          <w:tcPr>
            <w:tcW w:type="dxa" w:w="3480"/>
          </w:tcPr>
          <w:p>
            <w:pPr>
              <w:spacing w:after="0"/>
            </w:pPr>
            <w:r>
              <w:rPr>
                <w:rFonts w:ascii="Times New Roman" w:hAnsi="Times New Roman" w:cs="Times New Roman" w:eastAsia="Times New Roman"/>
                <w:sz w:val="17"/>
              </w:rPr>
              <w:t>Kafka (KRaft, one pod)</w:t>
            </w:r>
          </w:p>
        </w:tc>
        <w:tc>
          <w:tcPr>
            <w:tcW w:type="dxa" w:w="3480"/>
          </w:tcPr>
          <w:p>
            <w:pPr>
              <w:spacing w:after="0"/>
            </w:pPr>
            <w:r>
              <w:rPr>
                <w:rFonts w:ascii="Times New Roman" w:hAnsi="Times New Roman" w:cs="Times New Roman" w:eastAsia="Times New Roman"/>
                <w:sz w:val="17"/>
              </w:rPr>
              <w:t>Presence and notifications reach users connected to other pods</w:t>
            </w:r>
          </w:p>
        </w:tc>
      </w:tr>
      <w:tr>
        <w:tc>
          <w:tcPr>
            <w:tcW w:type="dxa" w:w="3480"/>
          </w:tcPr>
          <w:p>
            <w:pPr>
              <w:spacing w:after="0"/>
            </w:pPr>
            <w:r>
              <w:rPr>
                <w:rFonts w:ascii="Times New Roman" w:hAnsi="Times New Roman" w:cs="Times New Roman" w:eastAsia="Times New Roman"/>
                <w:sz w:val="17"/>
              </w:rPr>
              <w:t>Database</w:t>
            </w:r>
          </w:p>
        </w:tc>
        <w:tc>
          <w:tcPr>
            <w:tcW w:type="dxa" w:w="3480"/>
          </w:tcPr>
          <w:p>
            <w:pPr>
              <w:spacing w:after="0"/>
            </w:pPr>
            <w:r>
              <w:rPr>
                <w:rFonts w:ascii="Times New Roman" w:hAnsi="Times New Roman" w:cs="Times New Roman" w:eastAsia="Times New Roman"/>
                <w:sz w:val="17"/>
              </w:rPr>
              <w:t>RDS PostgreSQL 16, private subnets</w:t>
            </w:r>
          </w:p>
        </w:tc>
        <w:tc>
          <w:tcPr>
            <w:tcW w:type="dxa" w:w="3480"/>
          </w:tcPr>
          <w:p>
            <w:pPr>
              <w:spacing w:after="0"/>
            </w:pPr>
            <w:r>
              <w:rPr>
                <w:rFonts w:ascii="Times New Roman" w:hAnsi="Times New Roman" w:cs="Times New Roman" w:eastAsia="Times New Roman"/>
                <w:sz w:val="17"/>
              </w:rPr>
              <w:t>Shared, durable state for all pods</w:t>
            </w:r>
          </w:p>
        </w:tc>
      </w:tr>
      <w:tr>
        <w:tc>
          <w:tcPr>
            <w:tcW w:type="dxa" w:w="3480"/>
          </w:tcPr>
          <w:p>
            <w:pPr>
              <w:spacing w:after="0"/>
            </w:pPr>
            <w:r>
              <w:rPr>
                <w:rFonts w:ascii="Times New Roman" w:hAnsi="Times New Roman" w:cs="Times New Roman" w:eastAsia="Times New Roman"/>
                <w:sz w:val="17"/>
              </w:rPr>
              <w:t>Uploads</w:t>
            </w:r>
          </w:p>
        </w:tc>
        <w:tc>
          <w:tcPr>
            <w:tcW w:type="dxa" w:w="3480"/>
          </w:tcPr>
          <w:p>
            <w:pPr>
              <w:spacing w:after="0"/>
            </w:pPr>
            <w:r>
              <w:rPr>
                <w:rFonts w:ascii="Times New Roman" w:hAnsi="Times New Roman" w:cs="Times New Roman" w:eastAsia="Times New Roman"/>
                <w:sz w:val="17"/>
              </w:rPr>
              <w:t>S3 bucket, private</w:t>
            </w:r>
          </w:p>
        </w:tc>
        <w:tc>
          <w:tcPr>
            <w:tcW w:type="dxa" w:w="3480"/>
          </w:tcPr>
          <w:p>
            <w:pPr>
              <w:spacing w:after="0"/>
            </w:pPr>
            <w:r>
              <w:rPr>
                <w:rFonts w:ascii="Times New Roman" w:hAnsi="Times New Roman" w:cs="Times New Roman" w:eastAsia="Times New Roman"/>
                <w:sz w:val="17"/>
              </w:rPr>
              <w:t>Every pod sees every image</w:t>
            </w:r>
          </w:p>
        </w:tc>
      </w:tr>
      <w:tr>
        <w:tc>
          <w:tcPr>
            <w:tcW w:type="dxa" w:w="3480"/>
          </w:tcPr>
          <w:p>
            <w:pPr>
              <w:spacing w:after="0"/>
            </w:pPr>
            <w:r>
              <w:rPr>
                <w:rFonts w:ascii="Times New Roman" w:hAnsi="Times New Roman" w:cs="Times New Roman" w:eastAsia="Times New Roman"/>
                <w:sz w:val="17"/>
              </w:rPr>
              <w:t>Image</w:t>
            </w:r>
          </w:p>
        </w:tc>
        <w:tc>
          <w:tcPr>
            <w:tcW w:type="dxa" w:w="3480"/>
          </w:tcPr>
          <w:p>
            <w:pPr>
              <w:spacing w:after="0"/>
            </w:pPr>
            <w:r>
              <w:rPr>
                <w:rFonts w:ascii="Times New Roman" w:hAnsi="Times New Roman" w:cs="Times New Roman" w:eastAsia="Times New Roman"/>
                <w:sz w:val="17"/>
              </w:rPr>
              <w:t>ECR repository</w:t>
            </w:r>
          </w:p>
        </w:tc>
        <w:tc>
          <w:tcPr>
            <w:tcW w:type="dxa" w:w="3480"/>
          </w:tcPr>
          <w:p>
            <w:pPr>
              <w:spacing w:after="0"/>
            </w:pPr>
            <w:r>
              <w:rPr>
                <w:rFonts w:ascii="Times New Roman" w:hAnsi="Times New Roman" w:cs="Times New Roman" w:eastAsia="Times New Roman"/>
                <w:sz w:val="17"/>
              </w:rPr>
              <w:t>Pulled by the node with a pull secret refreshed every 6 hours from the instance role</w:t>
            </w:r>
          </w:p>
        </w:tc>
      </w:tr>
      <w:tr>
        <w:tc>
          <w:tcPr>
            <w:tcW w:type="dxa" w:w="3480"/>
          </w:tcPr>
          <w:p>
            <w:pPr>
              <w:spacing w:after="0"/>
            </w:pPr>
            <w:r>
              <w:rPr>
                <w:rFonts w:ascii="Times New Roman" w:hAnsi="Times New Roman" w:cs="Times New Roman" w:eastAsia="Times New Roman"/>
                <w:sz w:val="17"/>
              </w:rPr>
              <w:t>Cluster</w:t>
            </w:r>
          </w:p>
        </w:tc>
        <w:tc>
          <w:tcPr>
            <w:tcW w:type="dxa" w:w="3480"/>
          </w:tcPr>
          <w:p>
            <w:pPr>
              <w:spacing w:after="0"/>
            </w:pPr>
            <w:r>
              <w:rPr>
                <w:rFonts w:ascii="Times New Roman" w:hAnsi="Times New Roman" w:cs="Times New Roman" w:eastAsia="Times New Roman"/>
                <w:sz w:val="17"/>
              </w:rPr>
              <w:t>k3s on one EC2 c7i-flex.large</w:t>
            </w:r>
          </w:p>
        </w:tc>
        <w:tc>
          <w:tcPr>
            <w:tcW w:type="dxa" w:w="3480"/>
          </w:tcPr>
          <w:p>
            <w:pPr>
              <w:spacing w:after="0"/>
            </w:pPr>
            <w:r>
              <w:rPr>
                <w:rFonts w:ascii="Times New Roman" w:hAnsi="Times New Roman" w:cs="Times New Roman" w:eastAsia="Times New Roman"/>
                <w:sz w:val="17"/>
              </w:rPr>
              <w:t>Real Kubernetes without the EKS control-plane fee</w:t>
            </w:r>
          </w:p>
        </w:tc>
      </w:tr>
      <w:tr>
        <w:tc>
          <w:tcPr>
            <w:tcW w:type="dxa" w:w="3480"/>
          </w:tcPr>
          <w:p>
            <w:pPr>
              <w:spacing w:after="0"/>
            </w:pPr>
            <w:r>
              <w:rPr>
                <w:rFonts w:ascii="Times New Roman" w:hAnsi="Times New Roman" w:cs="Times New Roman" w:eastAsia="Times New Roman"/>
                <w:sz w:val="17"/>
              </w:rPr>
              <w:t>Operations</w:t>
            </w:r>
          </w:p>
        </w:tc>
        <w:tc>
          <w:tcPr>
            <w:tcW w:type="dxa" w:w="3480"/>
          </w:tcPr>
          <w:p>
            <w:pPr>
              <w:spacing w:after="0"/>
            </w:pPr>
            <w:r>
              <w:rPr>
                <w:rFonts w:ascii="Times New Roman" w:hAnsi="Times New Roman" w:cs="Times New Roman" w:eastAsia="Times New Roman"/>
                <w:sz w:val="17"/>
              </w:rPr>
              <w:t>CloudWatch dashboard and alarms, AWS Budgets, stop/start scripts</w:t>
            </w:r>
          </w:p>
        </w:tc>
        <w:tc>
          <w:tcPr>
            <w:tcW w:type="dxa" w:w="3480"/>
          </w:tcPr>
          <w:p>
            <w:pPr>
              <w:spacing w:after="0"/>
            </w:pPr>
            <w:r>
              <w:rPr>
                <w:rFonts w:ascii="Times New Roman" w:hAnsi="Times New Roman" w:cs="Times New Roman" w:eastAsia="Times New Roman"/>
                <w:sz w:val="17"/>
              </w:rPr>
              <w:t>Visibility and a hard handle on cost</w:t>
            </w:r>
          </w:p>
        </w:tc>
      </w:tr>
    </w:tbl>
    <w:p>
      <w:pPr>
        <w:keepNext w:val="0"/>
        <w:spacing w:before="60" w:after="120"/>
        <w:jc w:val="center"/>
      </w:pPr>
      <w:r>
        <w:rPr>
          <w:rFonts w:ascii="Times New Roman" w:hAnsi="Times New Roman" w:cs="Times New Roman" w:eastAsia="Times New Roman"/>
          <w:b w:val="0"/>
          <w:i w:val="0"/>
          <w:sz w:val="16"/>
        </w:rPr>
        <w:t>Table I. Cloud components and the reason for each.</w:t>
      </w:r>
    </w:p>
    <w:p>
      <w:pPr>
        <w:keepNext w:val="0"/>
        <w:spacing w:before="0" w:after="120"/>
        <w:jc w:val="both"/>
      </w:pPr>
      <w:r>
        <w:rPr>
          <w:rFonts w:ascii="Times New Roman" w:hAnsi="Times New Roman" w:cs="Times New Roman" w:eastAsia="Times New Roman"/>
          <w:b w:val="0"/>
          <w:i w:val="0"/>
          <w:sz w:val="20"/>
        </w:rPr>
        <w:t>Why one document lives on one pod. A document's version counter is held in the memory of the pod that opened it. If two pods opened the same document, each would number operations independently and the copies would drift apart, and the operation log has no unique (document id, version) constraint to catch it. The router therefore hashes the id found in /ws/documents/{id}, /api/documents/{id}/... and /p/{id}. This favours consistency: a document is unavailable only while its pod fails over, never inconsistent. Every response carries an X-Served-By header so the routing is visible. Known limitation: after a pod failure the documents move to other pods and a connected editor should reload; a per-document lease would remove this.</w:t>
      </w:r>
    </w:p>
    <w:p>
      <w:pPr>
        <w:keepNext/>
        <w:spacing w:before="200" w:after="80"/>
        <w:jc w:val="center"/>
      </w:pPr>
      <w:r>
        <w:rPr>
          <w:rFonts w:ascii="Times New Roman" w:hAnsi="Times New Roman" w:cs="Times New Roman" w:eastAsia="Times New Roman"/>
          <w:b w:val="0"/>
          <w:i w:val="0"/>
          <w:sz w:val="20"/>
        </w:rPr>
        <w:t>VII. SCREENSHOTS</w:t>
      </w:r>
    </w:p>
    <w:p>
      <w:pPr>
        <w:keepNext/>
        <w:spacing w:before="80" w:after="40"/>
        <w:jc w:val="center"/>
      </w:pPr>
      <w:r>
        <w:drawing>
          <wp:inline xmlns:a="http://schemas.openxmlformats.org/drawingml/2006/main" xmlns:pic="http://schemas.openxmlformats.org/drawingml/2006/picture">
            <wp:extent cx="3063240" cy="1914525"/>
            <wp:docPr id="4" name="Picture 4"/>
            <wp:cNvGraphicFramePr>
              <a:graphicFrameLocks noChangeAspect="1"/>
            </wp:cNvGraphicFramePr>
            <a:graphic>
              <a:graphicData uri="http://schemas.openxmlformats.org/drawingml/2006/picture">
                <pic:pic>
                  <pic:nvPicPr>
                    <pic:cNvPr id="0" name="02-editor-alice.png"/>
                    <pic:cNvPicPr/>
                  </pic:nvPicPr>
                  <pic:blipFill>
                    <a:blip r:embed="rId12"/>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3. Block editor with live collaborators and authorship attribution.</w:t>
      </w:r>
    </w:p>
    <w:p>
      <w:pPr>
        <w:keepNext/>
        <w:spacing w:before="80" w:after="40"/>
        <w:jc w:val="center"/>
      </w:pPr>
      <w:r>
        <w:drawing>
          <wp:inline xmlns:a="http://schemas.openxmlformats.org/drawingml/2006/main" xmlns:pic="http://schemas.openxmlformats.org/drawingml/2006/picture">
            <wp:extent cx="3063240" cy="1914525"/>
            <wp:docPr id="5" name="Picture 5"/>
            <wp:cNvGraphicFramePr>
              <a:graphicFrameLocks noChangeAspect="1"/>
            </wp:cNvGraphicFramePr>
            <a:graphic>
              <a:graphicData uri="http://schemas.openxmlformats.org/drawingml/2006/picture">
                <pic:pic>
                  <pic:nvPicPr>
                    <pic:cNvPr id="0" name="05-comments-activity.png"/>
                    <pic:cNvPicPr/>
                  </pic:nvPicPr>
                  <pic:blipFill>
                    <a:blip r:embed="rId13"/>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4. Anchored comments and the per-author activity timeline.</w:t>
      </w:r>
    </w:p>
    <w:p>
      <w:pPr>
        <w:keepNext/>
        <w:spacing w:before="80" w:after="40"/>
        <w:jc w:val="center"/>
      </w:pPr>
      <w:r>
        <w:drawing>
          <wp:inline xmlns:a="http://schemas.openxmlformats.org/drawingml/2006/main" xmlns:pic="http://schemas.openxmlformats.org/drawingml/2006/picture">
            <wp:extent cx="3063240" cy="1914525"/>
            <wp:docPr id="6" name="Picture 6"/>
            <wp:cNvGraphicFramePr>
              <a:graphicFrameLocks noChangeAspect="1"/>
            </wp:cNvGraphicFramePr>
            <a:graphic>
              <a:graphicData uri="http://schemas.openxmlformats.org/drawingml/2006/picture">
                <pic:pic>
                  <pic:nvPicPr>
                    <pic:cNvPr id="0" name="04-version-history.png"/>
                    <pic:cNvPicPr/>
                  </pic:nvPicPr>
                  <pic:blipFill>
                    <a:blip r:embed="rId14"/>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5. Version history drawn from the operation log.</w:t>
      </w:r>
    </w:p>
    <w:p>
      <w:pPr>
        <w:keepNext/>
        <w:spacing w:before="80" w:after="40"/>
        <w:jc w:val="center"/>
      </w:pPr>
      <w:r>
        <w:drawing>
          <wp:inline xmlns:a="http://schemas.openxmlformats.org/drawingml/2006/main" xmlns:pic="http://schemas.openxmlformats.org/drawingml/2006/picture">
            <wp:extent cx="3063240" cy="1914525"/>
            <wp:docPr id="7" name="Picture 7"/>
            <wp:cNvGraphicFramePr>
              <a:graphicFrameLocks noChangeAspect="1"/>
            </wp:cNvGraphicFramePr>
            <a:graphic>
              <a:graphicData uri="http://schemas.openxmlformats.org/drawingml/2006/picture">
                <pic:pic>
                  <pic:nvPicPr>
                    <pic:cNvPr id="0" name="06-version-compare.png"/>
                    <pic:cNvPicPr/>
                  </pic:nvPicPr>
                  <pic:blipFill>
                    <a:blip r:embed="rId15"/>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6. Comparing a past version with the current page.</w:t>
      </w:r>
    </w:p>
    <w:p>
      <w:pPr>
        <w:keepNext/>
        <w:spacing w:before="80" w:after="40"/>
        <w:jc w:val="center"/>
      </w:pPr>
      <w:r>
        <w:drawing>
          <wp:inline xmlns:a="http://schemas.openxmlformats.org/drawingml/2006/main" xmlns:pic="http://schemas.openxmlformats.org/drawingml/2006/picture">
            <wp:extent cx="3063240" cy="1914525"/>
            <wp:docPr id="8" name="Picture 8"/>
            <wp:cNvGraphicFramePr>
              <a:graphicFrameLocks noChangeAspect="1"/>
            </wp:cNvGraphicFramePr>
            <a:graphic>
              <a:graphicData uri="http://schemas.openxmlformats.org/drawingml/2006/picture">
                <pic:pic>
                  <pic:nvPicPr>
                    <pic:cNvPr id="0" name="12-integrity.png"/>
                    <pic:cNvPicPr/>
                  </pic:nvPicPr>
                  <pic:blipFill>
                    <a:blip r:embed="rId16"/>
                    <a:stretch>
                      <a:fillRect/>
                    </a:stretch>
                  </pic:blipFill>
                  <pic:spPr>
                    <a:xfrm>
                      <a:off x="0" y="0"/>
                      <a:ext cx="3063240" cy="1914525"/>
                    </a:xfrm>
                    <a:prstGeom prst="rect"/>
                  </pic:spPr>
                </pic:pic>
              </a:graphicData>
            </a:graphic>
          </wp:inline>
        </w:drawing>
      </w:r>
    </w:p>
    <w:p>
      <w:pPr>
        <w:keepNext w:val="0"/>
        <w:spacing w:before="0" w:after="160"/>
        <w:jc w:val="center"/>
      </w:pPr>
      <w:r>
        <w:rPr>
          <w:rFonts w:ascii="Times New Roman" w:hAnsi="Times New Roman" w:cs="Times New Roman" w:eastAsia="Times New Roman"/>
          <w:b w:val="0"/>
          <w:i w:val="0"/>
          <w:sz w:val="16"/>
        </w:rPr>
        <w:t>Fig. 7. Integrity report: share and effort per person, pastes and style-mismatch flags.</w:t>
      </w:r>
    </w:p>
    <w:p>
      <w:pPr>
        <w:keepNext/>
        <w:spacing w:before="200" w:after="80"/>
        <w:jc w:val="center"/>
      </w:pPr>
      <w:r>
        <w:rPr>
          <w:rFonts w:ascii="Times New Roman" w:hAnsi="Times New Roman" w:cs="Times New Roman" w:eastAsia="Times New Roman"/>
          <w:b w:val="0"/>
          <w:i w:val="0"/>
          <w:sz w:val="20"/>
        </w:rPr>
        <w:t>VIII. RESULTS</w:t>
      </w:r>
    </w:p>
    <w:p>
      <w:pPr>
        <w:keepNext w:val="0"/>
        <w:spacing w:before="0" w:after="120"/>
        <w:jc w:val="both"/>
      </w:pPr>
      <w:r>
        <w:rPr>
          <w:rFonts w:ascii="Times New Roman" w:hAnsi="Times New Roman" w:cs="Times New Roman" w:eastAsia="Times New Roman"/>
          <w:b w:val="0"/>
          <w:i w:val="0"/>
          <w:sz w:val="20"/>
        </w:rPr>
        <w:t>Measured on the authors' development machine with the in-memory broadcaster and SQLite. They are not cloud benchmarks.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r>
              <w:rPr>
                <w:rFonts w:ascii="Times New Roman" w:hAnsi="Times New Roman" w:cs="Times New Roman" w:eastAsia="Times New Roman"/>
                <w:b/>
                <w:sz w:val="17"/>
              </w:rPr>
              <w:t>Measure</w:t>
            </w:r>
          </w:p>
        </w:tc>
        <w:tc>
          <w:tcPr>
            <w:tcW w:type="dxa" w:w="5220"/>
          </w:tcPr>
          <w:p>
            <w:r>
              <w:rPr>
                <w:rFonts w:ascii="Times New Roman" w:hAnsi="Times New Roman" w:cs="Times New Roman" w:eastAsia="Times New Roman"/>
                <w:b/>
                <w:sz w:val="17"/>
              </w:rPr>
              <w:t>Result</w:t>
            </w:r>
          </w:p>
        </w:tc>
      </w:tr>
      <w:tr>
        <w:tc>
          <w:tcPr>
            <w:tcW w:type="dxa" w:w="5220"/>
          </w:tcPr>
          <w:p>
            <w:pPr>
              <w:spacing w:after="0"/>
            </w:pPr>
            <w:r>
              <w:rPr>
                <w:rFonts w:ascii="Times New Roman" w:hAnsi="Times New Roman" w:cs="Times New Roman" w:eastAsia="Times New Roman"/>
                <w:sz w:val="17"/>
              </w:rPr>
              <w:t>Edit round trip (8 operations, demo script)</w:t>
            </w:r>
          </w:p>
        </w:tc>
        <w:tc>
          <w:tcPr>
            <w:tcW w:type="dxa" w:w="5220"/>
          </w:tcPr>
          <w:p>
            <w:pPr>
              <w:spacing w:after="0"/>
            </w:pPr>
            <w:r>
              <w:rPr>
                <w:rFonts w:ascii="Times New Roman" w:hAnsi="Times New Roman" w:cs="Times New Roman" w:eastAsia="Times New Roman"/>
                <w:sz w:val="17"/>
              </w:rPr>
              <w:t>2.3 ms median, 3.9 ms p95 (budget 200 ms)</w:t>
            </w:r>
          </w:p>
        </w:tc>
      </w:tr>
      <w:tr>
        <w:tc>
          <w:tcPr>
            <w:tcW w:type="dxa" w:w="5220"/>
          </w:tcPr>
          <w:p>
            <w:pPr>
              <w:spacing w:after="0"/>
            </w:pPr>
            <w:r>
              <w:rPr>
                <w:rFonts w:ascii="Times New Roman" w:hAnsi="Times New Roman" w:cs="Times New Roman" w:eastAsia="Times New Roman"/>
                <w:sz w:val="17"/>
              </w:rPr>
              <w:t>Random concurrent edit pairs, convergence</w:t>
            </w:r>
          </w:p>
        </w:tc>
        <w:tc>
          <w:tcPr>
            <w:tcW w:type="dxa" w:w="5220"/>
          </w:tcPr>
          <w:p>
            <w:pPr>
              <w:spacing w:after="0"/>
            </w:pPr>
            <w:r>
              <w:rPr>
                <w:rFonts w:ascii="Times New Roman" w:hAnsi="Times New Roman" w:cs="Times New Roman" w:eastAsia="Times New Roman"/>
                <w:sz w:val="17"/>
              </w:rPr>
              <w:t>2000 / 2000</w:t>
            </w:r>
          </w:p>
        </w:tc>
      </w:tr>
      <w:tr>
        <w:tc>
          <w:tcPr>
            <w:tcW w:type="dxa" w:w="5220"/>
          </w:tcPr>
          <w:p>
            <w:pPr>
              <w:spacing w:after="0"/>
            </w:pPr>
            <w:r>
              <w:rPr>
                <w:rFonts w:ascii="Times New Roman" w:hAnsi="Times New Roman" w:cs="Times New Roman" w:eastAsia="Times New Roman"/>
                <w:sz w:val="17"/>
              </w:rPr>
              <w:t>Random compose and invert cases</w:t>
            </w:r>
          </w:p>
        </w:tc>
        <w:tc>
          <w:tcPr>
            <w:tcW w:type="dxa" w:w="5220"/>
          </w:tcPr>
          <w:p>
            <w:pPr>
              <w:spacing w:after="0"/>
            </w:pPr>
            <w:r>
              <w:rPr>
                <w:rFonts w:ascii="Times New Roman" w:hAnsi="Times New Roman" w:cs="Times New Roman" w:eastAsia="Times New Roman"/>
                <w:sz w:val="17"/>
              </w:rPr>
              <w:t>1000 / 1000</w:t>
            </w:r>
          </w:p>
        </w:tc>
      </w:tr>
      <w:tr>
        <w:tc>
          <w:tcPr>
            <w:tcW w:type="dxa" w:w="5220"/>
          </w:tcPr>
          <w:p>
            <w:pPr>
              <w:spacing w:after="0"/>
            </w:pPr>
            <w:r>
              <w:rPr>
                <w:rFonts w:ascii="Times New Roman" w:hAnsi="Times New Roman" w:cs="Times New Roman" w:eastAsia="Times New Roman"/>
                <w:sz w:val="17"/>
              </w:rPr>
              <w:t>Python vs. browser OT engine parity</w:t>
            </w:r>
          </w:p>
        </w:tc>
        <w:tc>
          <w:tcPr>
            <w:tcW w:type="dxa" w:w="5220"/>
          </w:tcPr>
          <w:p>
            <w:pPr>
              <w:spacing w:after="0"/>
            </w:pPr>
            <w:r>
              <w:rPr>
                <w:rFonts w:ascii="Times New Roman" w:hAnsi="Times New Roman" w:cs="Times New Roman" w:eastAsia="Times New Roman"/>
                <w:sz w:val="17"/>
              </w:rPr>
              <w:t>Equal on all random cases</w:t>
            </w:r>
          </w:p>
        </w:tc>
      </w:tr>
      <w:tr>
        <w:tc>
          <w:tcPr>
            <w:tcW w:type="dxa" w:w="5220"/>
          </w:tcPr>
          <w:p>
            <w:pPr>
              <w:spacing w:after="0"/>
            </w:pPr>
            <w:r>
              <w:rPr>
                <w:rFonts w:ascii="Times New Roman" w:hAnsi="Times New Roman" w:cs="Times New Roman" w:eastAsia="Times New Roman"/>
                <w:sz w:val="17"/>
              </w:rPr>
              <w:t>Held-out accuracy on synthetic corpora, 2 and 3 authors</w:t>
            </w:r>
          </w:p>
        </w:tc>
        <w:tc>
          <w:tcPr>
            <w:tcW w:type="dxa" w:w="5220"/>
          </w:tcPr>
          <w:p>
            <w:pPr>
              <w:spacing w:after="0"/>
            </w:pPr>
            <w:r>
              <w:rPr>
                <w:rFonts w:ascii="Times New Roman" w:hAnsi="Times New Roman" w:cs="Times New Roman" w:eastAsia="Times New Roman"/>
                <w:sz w:val="17"/>
              </w:rPr>
              <w:t>100% (floor 85%)</w:t>
            </w:r>
          </w:p>
        </w:tc>
      </w:tr>
      <w:tr>
        <w:tc>
          <w:tcPr>
            <w:tcW w:type="dxa" w:w="5220"/>
          </w:tcPr>
          <w:p>
            <w:pPr>
              <w:spacing w:after="0"/>
            </w:pPr>
            <w:r>
              <w:rPr>
                <w:rFonts w:ascii="Times New Roman" w:hAnsi="Times New Roman" w:cs="Times New Roman" w:eastAsia="Times New Roman"/>
                <w:sz w:val="17"/>
              </w:rPr>
              <w:t>Stylometry vs. keystroke ledger agreement in demo</w:t>
            </w:r>
          </w:p>
        </w:tc>
        <w:tc>
          <w:tcPr>
            <w:tcW w:type="dxa" w:w="5220"/>
          </w:tcPr>
          <w:p>
            <w:pPr>
              <w:spacing w:after="0"/>
            </w:pPr>
            <w:r>
              <w:rPr>
                <w:rFonts w:ascii="Times New Roman" w:hAnsi="Times New Roman" w:cs="Times New Roman" w:eastAsia="Times New Roman"/>
                <w:sz w:val="17"/>
              </w:rPr>
              <w:t>100% over 6 blocks</w:t>
            </w:r>
          </w:p>
        </w:tc>
      </w:tr>
      <w:tr>
        <w:tc>
          <w:tcPr>
            <w:tcW w:type="dxa" w:w="5220"/>
          </w:tcPr>
          <w:p>
            <w:pPr>
              <w:spacing w:after="0"/>
            </w:pPr>
            <w:r>
              <w:rPr>
                <w:rFonts w:ascii="Times New Roman" w:hAnsi="Times New Roman" w:cs="Times New Roman" w:eastAsia="Times New Roman"/>
                <w:sz w:val="17"/>
              </w:rPr>
              <w:t>Automated tests collected (pytest)</w:t>
            </w:r>
          </w:p>
        </w:tc>
        <w:tc>
          <w:tcPr>
            <w:tcW w:type="dxa" w:w="5220"/>
          </w:tcPr>
          <w:p>
            <w:pPr>
              <w:spacing w:after="0"/>
            </w:pPr>
            <w:r>
              <w:rPr>
                <w:rFonts w:ascii="Times New Roman" w:hAnsi="Times New Roman" w:cs="Times New Roman" w:eastAsia="Times New Roman"/>
                <w:sz w:val="17"/>
              </w:rPr>
              <w:t>205</w:t>
            </w:r>
          </w:p>
        </w:tc>
      </w:tr>
      <w:tr>
        <w:tc>
          <w:tcPr>
            <w:tcW w:type="dxa" w:w="5220"/>
          </w:tcPr>
          <w:p>
            <w:pPr>
              <w:spacing w:after="0"/>
            </w:pPr>
            <w:r>
              <w:rPr>
                <w:rFonts w:ascii="Times New Roman" w:hAnsi="Times New Roman" w:cs="Times New Roman" w:eastAsia="Times New Roman"/>
                <w:sz w:val="17"/>
              </w:rPr>
              <w:t>Real-browser end-to-end checks</w:t>
            </w:r>
          </w:p>
        </w:tc>
        <w:tc>
          <w:tcPr>
            <w:tcW w:type="dxa" w:w="5220"/>
          </w:tcPr>
          <w:p>
            <w:pPr>
              <w:spacing w:after="0"/>
            </w:pPr>
            <w:r>
              <w:rPr>
                <w:rFonts w:ascii="Times New Roman" w:hAnsi="Times New Roman" w:cs="Times New Roman" w:eastAsia="Times New Roman"/>
                <w:sz w:val="17"/>
              </w:rPr>
              <w:t>55</w:t>
            </w:r>
          </w:p>
        </w:tc>
      </w:tr>
      <w:tr>
        <w:tc>
          <w:tcPr>
            <w:tcW w:type="dxa" w:w="5220"/>
          </w:tcPr>
          <w:p>
            <w:pPr>
              <w:spacing w:after="0"/>
            </w:pPr>
            <w:r>
              <w:rPr>
                <w:rFonts w:ascii="Times New Roman" w:hAnsi="Times New Roman" w:cs="Times New Roman" w:eastAsia="Times New Roman"/>
                <w:sz w:val="17"/>
              </w:rPr>
              <w:t>Deployment cost while running / while stopped</w:t>
            </w:r>
          </w:p>
        </w:tc>
        <w:tc>
          <w:tcPr>
            <w:tcW w:type="dxa" w:w="5220"/>
          </w:tcPr>
          <w:p>
            <w:pPr>
              <w:spacing w:after="0"/>
            </w:pPr>
            <w:r>
              <w:rPr>
                <w:rFonts w:ascii="Times New Roman" w:hAnsi="Times New Roman" w:cs="Times New Roman" w:eastAsia="Times New Roman"/>
                <w:sz w:val="17"/>
              </w:rPr>
              <w:t>about US$2.5 / US$0.25 per day</w:t>
            </w:r>
          </w:p>
        </w:tc>
      </w:tr>
    </w:tbl>
    <w:p>
      <w:pPr>
        <w:keepNext w:val="0"/>
        <w:spacing w:before="60" w:after="120"/>
        <w:jc w:val="center"/>
      </w:pPr>
      <w:r>
        <w:rPr>
          <w:rFonts w:ascii="Times New Roman" w:hAnsi="Times New Roman" w:cs="Times New Roman" w:eastAsia="Times New Roman"/>
          <w:b w:val="0"/>
          <w:i w:val="0"/>
          <w:sz w:val="16"/>
        </w:rPr>
        <w:t>Table II. Measured results.</w:t>
      </w:r>
    </w:p>
    <w:p>
      <w:pPr>
        <w:keepNext w:val="0"/>
        <w:spacing w:before="0" w:after="120"/>
        <w:jc w:val="both"/>
      </w:pPr>
      <w:r>
        <w:rPr>
          <w:rFonts w:ascii="Times New Roman" w:hAnsi="Times New Roman" w:cs="Times New Roman" w:eastAsia="Times New Roman"/>
          <w:b w:val="0"/>
          <w:i w:val="0"/>
          <w:sz w:val="20"/>
        </w:rPr>
        <w:t>The latency sample is small (eight operations) and excludes network distance, so it shows that the server adds little delay rather than characterising wide-area behaviour. The 100% accuracy is on deliberately separable synthetic text and should not be read as real-world accuracy; the honest runtime measure is the agreement rate between stylometry and the ledger. A multi-client load script exists, but its results are not reported here. Browser testing found defects the unit tests could not, including a hidden attribute overridden by CSS, a silent parse error, and a race in which two simultaneous openers could reset a room to version 0.</w:t>
      </w:r>
    </w:p>
    <w:p>
      <w:pPr>
        <w:keepNext/>
        <w:spacing w:before="200" w:after="80"/>
        <w:jc w:val="center"/>
      </w:pPr>
      <w:r>
        <w:rPr>
          <w:rFonts w:ascii="Times New Roman" w:hAnsi="Times New Roman" w:cs="Times New Roman" w:eastAsia="Times New Roman"/>
          <w:b w:val="0"/>
          <w:i w:val="0"/>
          <w:sz w:val="20"/>
        </w:rPr>
        <w:t>IX. INDIVIDUAL CONTRIBUTIONS</w:t>
      </w:r>
    </w:p>
    <w:p>
      <w:pPr>
        <w:keepNext w:val="0"/>
        <w:spacing w:before="0" w:after="80"/>
        <w:jc w:val="both"/>
      </w:pPr>
      <w:r>
        <w:rPr>
          <w:rFonts w:ascii="Times New Roman" w:hAnsi="Times New Roman" w:cs="Times New Roman" w:eastAsia="Times New Roman"/>
          <w:b w:val="0"/>
          <w:i w:val="0"/>
          <w:sz w:val="20"/>
        </w:rPr>
        <w:t>The work was divided by area. Both members reviewed the whole system and the report.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5220"/>
          </w:tcPr>
          <w:p>
            <w:r>
              <w:rPr>
                <w:rFonts w:ascii="Times New Roman" w:hAnsi="Times New Roman" w:cs="Times New Roman" w:eastAsia="Times New Roman"/>
                <w:b/>
                <w:sz w:val="17"/>
              </w:rPr>
              <w:t>Member</w:t>
            </w:r>
          </w:p>
        </w:tc>
        <w:tc>
          <w:tcPr>
            <w:tcW w:type="dxa" w:w="5220"/>
          </w:tcPr>
          <w:p>
            <w:r>
              <w:rPr>
                <w:rFonts w:ascii="Times New Roman" w:hAnsi="Times New Roman" w:cs="Times New Roman" w:eastAsia="Times New Roman"/>
                <w:b/>
                <w:sz w:val="17"/>
              </w:rPr>
              <w:t>Contribution</w:t>
            </w:r>
          </w:p>
        </w:tc>
      </w:tr>
      <w:tr>
        <w:tc>
          <w:tcPr>
            <w:tcW w:type="dxa" w:w="5220"/>
          </w:tcPr>
          <w:p>
            <w:pPr>
              <w:spacing w:after="0"/>
            </w:pPr>
            <w:r>
              <w:rPr>
                <w:rFonts w:ascii="Times New Roman" w:hAnsi="Times New Roman" w:cs="Times New Roman" w:eastAsia="Times New Roman"/>
                <w:sz w:val="17"/>
              </w:rPr>
              <w:t>Nitish Kumar (24BCE1520)</w:t>
            </w:r>
          </w:p>
        </w:tc>
        <w:tc>
          <w:tcPr>
            <w:tcW w:type="dxa" w:w="5220"/>
          </w:tcPr>
          <w:p>
            <w:pPr>
              <w:spacing w:after="0"/>
            </w:pPr>
            <w:r>
              <w:rPr>
                <w:rFonts w:ascii="Times New Roman" w:hAnsi="Times New Roman" w:cs="Times New Roman" w:eastAsia="Times New Roman"/>
                <w:sz w:val="17"/>
              </w:rPr>
              <w:t>Application core: OT engine (Python server and JavaScript browser port) and its parity tests; WebSocket protocol, sessions, rooms and the broadcaster; keystroke ledger, stylometric classifier, blending and integrity report; REST API, authentication and role-based access; automated test suite; GitHub repository.</w:t>
            </w:r>
          </w:p>
        </w:tc>
      </w:tr>
      <w:tr>
        <w:tc>
          <w:tcPr>
            <w:tcW w:type="dxa" w:w="5220"/>
          </w:tcPr>
          <w:p>
            <w:pPr>
              <w:spacing w:after="0"/>
            </w:pPr>
            <w:r>
              <w:rPr>
                <w:rFonts w:ascii="Times New Roman" w:hAnsi="Times New Roman" w:cs="Times New Roman" w:eastAsia="Times New Roman"/>
                <w:sz w:val="17"/>
              </w:rPr>
              <w:t>Balan N (24BCE1594)</w:t>
            </w:r>
          </w:p>
        </w:tc>
        <w:tc>
          <w:tcPr>
            <w:tcW w:type="dxa" w:w="5220"/>
          </w:tcPr>
          <w:p>
            <w:pPr>
              <w:spacing w:after="0"/>
            </w:pPr>
            <w:r>
              <w:rPr>
                <w:rFonts w:ascii="Times New Roman" w:hAnsi="Times New Roman" w:cs="Times New Roman" w:eastAsia="Times New Roman"/>
                <w:sz w:val="17"/>
              </w:rPr>
              <w:t>Cloud architecture: AWS design and Terraform (EC2, RDS in private subnets, S3, ECR, IAM, security groups); k3s cluster, StatefulSet and Kubernetes manifests; Caddy document-aware router, Kafka fan-out; deployment, start/stop and monitoring scripts, CloudWatch alarms and budget; routing and failover checks; cost analysis; report and diagrams.</w:t>
            </w:r>
          </w:p>
        </w:tc>
      </w:tr>
    </w:tbl>
    <w:p>
      <w:pPr>
        <w:keepNext w:val="0"/>
        <w:spacing w:before="60" w:after="120"/>
        <w:jc w:val="center"/>
      </w:pPr>
      <w:r>
        <w:rPr>
          <w:rFonts w:ascii="Times New Roman" w:hAnsi="Times New Roman" w:cs="Times New Roman" w:eastAsia="Times New Roman"/>
          <w:b w:val="0"/>
          <w:i w:val="0"/>
          <w:sz w:val="16"/>
        </w:rPr>
        <w:t>Table III. Division of work.</w:t>
      </w:r>
    </w:p>
    <w:p>
      <w:pPr>
        <w:keepNext/>
        <w:spacing w:before="200" w:after="80"/>
        <w:jc w:val="center"/>
      </w:pPr>
      <w:r>
        <w:rPr>
          <w:rFonts w:ascii="Times New Roman" w:hAnsi="Times New Roman" w:cs="Times New Roman" w:eastAsia="Times New Roman"/>
          <w:b w:val="0"/>
          <w:i w:val="0"/>
          <w:sz w:val="20"/>
        </w:rPr>
        <w:t>X. CONCLUSION</w:t>
      </w:r>
    </w:p>
    <w:p>
      <w:pPr>
        <w:keepNext w:val="0"/>
        <w:spacing w:before="0" w:after="120"/>
        <w:jc w:val="both"/>
      </w:pPr>
      <w:r>
        <w:rPr>
          <w:rFonts w:ascii="Times New Roman" w:hAnsi="Times New Roman" w:cs="Times New Roman" w:eastAsia="Times New Roman"/>
          <w:b w:val="0"/>
          <w:i w:val="0"/>
          <w:sz w:val="20"/>
        </w:rPr>
        <w:t>CollabDoc shows that one source of truth, the OT operation log, can serve editing, version history and authorship evidence together, and that the cloud design follows from one constraint: a document's live state belongs to exactly one process. Routing by document id, a broadcaster used on every path, managed PostgreSQL and S3 for state, and scripted start/stop for cost give a deployment that is small enough to run on free-plan credits and still exercises real multi-pod behaviour. Limits remain: rich text is markup over plain text, fail-over needs a per-document lease, the operation log has no compaction, and attribution has been measured only on synthetic text. Future work is a study with real collaborators, a lease-based fail-over, and log compaction.</w:t>
      </w:r>
    </w:p>
    <w:p>
      <w:pPr>
        <w:keepNext/>
        <w:spacing w:before="200" w:after="80"/>
        <w:jc w:val="center"/>
      </w:pPr>
      <w:r>
        <w:rPr>
          <w:rFonts w:ascii="Times New Roman" w:hAnsi="Times New Roman" w:cs="Times New Roman" w:eastAsia="Times New Roman"/>
          <w:b w:val="0"/>
          <w:i w:val="0"/>
          <w:sz w:val="20"/>
        </w:rPr>
        <w:t>REFERENCES</w:t>
      </w:r>
    </w:p>
    <w:p>
      <w:pPr>
        <w:keepNext w:val="0"/>
        <w:spacing w:before="0" w:after="40"/>
        <w:ind w:left="432" w:hanging="432"/>
        <w:jc w:val="both"/>
      </w:pPr>
      <w:r>
        <w:rPr>
          <w:rFonts w:ascii="Times New Roman" w:hAnsi="Times New Roman" w:cs="Times New Roman" w:eastAsia="Times New Roman"/>
          <w:b w:val="0"/>
          <w:i w:val="0"/>
          <w:sz w:val="16"/>
        </w:rPr>
        <w:t>[1] C. A. Ellis and S. J. Gibbs, “Concurrency control in groupware systems,” in Proc. ACM SIGMOD, 1989, pp. 399–407. doi:10.1145/67544.66963. https://doi.org/10.1145/67544.66963</w:t>
      </w:r>
    </w:p>
    <w:p>
      <w:pPr>
        <w:keepNext w:val="0"/>
        <w:spacing w:before="0" w:after="40"/>
        <w:ind w:left="432" w:hanging="432"/>
        <w:jc w:val="both"/>
      </w:pPr>
      <w:r>
        <w:rPr>
          <w:rFonts w:ascii="Times New Roman" w:hAnsi="Times New Roman" w:cs="Times New Roman" w:eastAsia="Times New Roman"/>
          <w:b w:val="0"/>
          <w:i w:val="0"/>
          <w:sz w:val="16"/>
        </w:rPr>
        <w:t>[2] C. Sun, X. Jia, Y. Zhang, Y. Yang, and D. Chen, “Achieving convergence, causality preservation, and intention preservation in real-time cooperative editing systems,” ACM Trans. Comput.-Hum. Interact., vol. 5, no. 1, pp. 63–108, 1998. https://doi.org/10.1145/274444.274447</w:t>
      </w:r>
    </w:p>
    <w:p>
      <w:pPr>
        <w:keepNext w:val="0"/>
        <w:spacing w:before="0" w:after="40"/>
        <w:ind w:left="432" w:hanging="432"/>
        <w:jc w:val="both"/>
      </w:pPr>
      <w:r>
        <w:rPr>
          <w:rFonts w:ascii="Times New Roman" w:hAnsi="Times New Roman" w:cs="Times New Roman" w:eastAsia="Times New Roman"/>
          <w:b w:val="0"/>
          <w:i w:val="0"/>
          <w:sz w:val="16"/>
        </w:rPr>
        <w:t>[3] C. Sun and C. Ellis, “Operational transformation in real-time group editors: issues, algorithms, and achievements,” in Proc. ACM CSCW, 1998, pp. 59–68. https://doi.org/10.1145/289444.289469</w:t>
      </w:r>
    </w:p>
    <w:p>
      <w:pPr>
        <w:keepNext w:val="0"/>
        <w:spacing w:before="0" w:after="40"/>
        <w:ind w:left="432" w:hanging="432"/>
        <w:jc w:val="both"/>
      </w:pPr>
      <w:r>
        <w:rPr>
          <w:rFonts w:ascii="Times New Roman" w:hAnsi="Times New Roman" w:cs="Times New Roman" w:eastAsia="Times New Roman"/>
          <w:b w:val="0"/>
          <w:i w:val="0"/>
          <w:sz w:val="16"/>
        </w:rPr>
        <w:t>[4] D. A. Nichols, P. Curtis, M. Dixon, and J. Lamping, “High-latency, low-bandwidth windowing in the Jupiter collaboration system,” in Proc. ACM UIST, 1995, pp. 111–120. https://doi.org/10.1145/215585.215706</w:t>
      </w:r>
    </w:p>
    <w:p>
      <w:pPr>
        <w:keepNext w:val="0"/>
        <w:spacing w:before="0" w:after="40"/>
        <w:ind w:left="432" w:hanging="432"/>
        <w:jc w:val="both"/>
      </w:pPr>
      <w:r>
        <w:rPr>
          <w:rFonts w:ascii="Times New Roman" w:hAnsi="Times New Roman" w:cs="Times New Roman" w:eastAsia="Times New Roman"/>
          <w:b w:val="0"/>
          <w:i w:val="0"/>
          <w:sz w:val="16"/>
        </w:rPr>
        <w:t>[5] M. Ressel, D. Nitsche-Ruhland, and R. Gunzenhäuser, “An integrating, transformation-oriented approach to concurrency control and undo in group editors,” in Proc. ACM CSCW, 1996, pp. 288–297. https://doi.org/10.1145/240080.240305</w:t>
      </w:r>
    </w:p>
    <w:p>
      <w:pPr>
        <w:keepNext w:val="0"/>
        <w:spacing w:before="0" w:after="40"/>
        <w:ind w:left="432" w:hanging="432"/>
        <w:jc w:val="both"/>
      </w:pPr>
      <w:r>
        <w:rPr>
          <w:rFonts w:ascii="Times New Roman" w:hAnsi="Times New Roman" w:cs="Times New Roman" w:eastAsia="Times New Roman"/>
          <w:b w:val="0"/>
          <w:i w:val="0"/>
          <w:sz w:val="16"/>
        </w:rPr>
        <w:t>[6] G. Oster, P. Urso, P. Molli, and A. Imine, “Data consistency for P2P collaborative editing,” in Proc. ACM CSCW, 2006, pp. 259–268. https://doi.org/10.1145/1180875.1180916</w:t>
      </w:r>
    </w:p>
    <w:p>
      <w:pPr>
        <w:keepNext w:val="0"/>
        <w:spacing w:before="0" w:after="40"/>
        <w:ind w:left="432" w:hanging="432"/>
        <w:jc w:val="both"/>
      </w:pPr>
      <w:r>
        <w:rPr>
          <w:rFonts w:ascii="Times New Roman" w:hAnsi="Times New Roman" w:cs="Times New Roman" w:eastAsia="Times New Roman"/>
          <w:b w:val="0"/>
          <w:i w:val="0"/>
          <w:sz w:val="16"/>
        </w:rPr>
        <w:t>[7] M. Shapiro, N. Preguiça, C. Baquero, and M. Zawirski, “Conflict-free replicated data types,” in Proc. SSS, LNCS vol. 6976, 2011, pp. 386–400. https://doi.org/10.1007/978-3-642-24550-3_29</w:t>
      </w:r>
    </w:p>
    <w:p>
      <w:pPr>
        <w:keepNext w:val="0"/>
        <w:spacing w:before="0" w:after="40"/>
        <w:ind w:left="432" w:hanging="432"/>
        <w:jc w:val="both"/>
      </w:pPr>
      <w:r>
        <w:rPr>
          <w:rFonts w:ascii="Times New Roman" w:hAnsi="Times New Roman" w:cs="Times New Roman" w:eastAsia="Times New Roman"/>
          <w:b w:val="0"/>
          <w:i w:val="0"/>
          <w:sz w:val="16"/>
        </w:rPr>
        <w:t>[8] M. Kleppmann and A. R. Beresford, “A conflict-free replicated JSON datatype,” IEEE Trans. Parallel Distrib. Syst., vol. 28, no. 10, pp. 2733–2746, 2017. https://doi.org/10.1109/TPDS.2017.2697382</w:t>
      </w:r>
    </w:p>
    <w:p>
      <w:pPr>
        <w:keepNext w:val="0"/>
        <w:spacing w:before="0" w:after="40"/>
        <w:ind w:left="432" w:hanging="432"/>
        <w:jc w:val="both"/>
      </w:pPr>
      <w:r>
        <w:rPr>
          <w:rFonts w:ascii="Times New Roman" w:hAnsi="Times New Roman" w:cs="Times New Roman" w:eastAsia="Times New Roman"/>
          <w:b w:val="0"/>
          <w:i w:val="0"/>
          <w:sz w:val="16"/>
        </w:rPr>
        <w:t>[9] S. Weiss, P. Urso, and P. Molli, “Logoot: a scalable optimistic replication algorithm for collaborative editing on P2P networks,” in Proc. IEEE ICDCS, 2009, pp. 404–412. https://doi.org/10.1109/ICDCS.2009.75</w:t>
      </w:r>
    </w:p>
    <w:p>
      <w:pPr>
        <w:keepNext w:val="0"/>
        <w:spacing w:before="0" w:after="40"/>
        <w:ind w:left="432" w:hanging="432"/>
        <w:jc w:val="both"/>
      </w:pPr>
      <w:r>
        <w:rPr>
          <w:rFonts w:ascii="Times New Roman" w:hAnsi="Times New Roman" w:cs="Times New Roman" w:eastAsia="Times New Roman"/>
          <w:b w:val="0"/>
          <w:i w:val="0"/>
          <w:sz w:val="16"/>
        </w:rPr>
        <w:t>[10] H.-G. Roh, M. Jeon, J.-S. Kim, and J. Lee, “Replicated abstract data types: building blocks for collaborative applications,” J. Parallel Distrib. Comput., vol. 71, no. 3, pp. 354–368, 2011. https://doi.org/10.1016/j.jpdc.2010.12.006</w:t>
      </w:r>
    </w:p>
    <w:p>
      <w:pPr>
        <w:keepNext w:val="0"/>
        <w:spacing w:before="0" w:after="40"/>
        <w:ind w:left="432" w:hanging="432"/>
        <w:jc w:val="both"/>
      </w:pPr>
      <w:r>
        <w:rPr>
          <w:rFonts w:ascii="Times New Roman" w:hAnsi="Times New Roman" w:cs="Times New Roman" w:eastAsia="Times New Roman"/>
          <w:b w:val="0"/>
          <w:i w:val="0"/>
          <w:sz w:val="16"/>
        </w:rPr>
        <w:t>[11] P. Nicolaescu, K. Jahns, M. Derntl, and R. Klamma, “Near real-time peer-to-peer shared editing on extensible data types,” in Proc. ACM GROUP, 2016, pp. 39–49. https://doi.org/10.1145/2957276.2957310</w:t>
      </w:r>
    </w:p>
    <w:p>
      <w:pPr>
        <w:keepNext w:val="0"/>
        <w:spacing w:before="0" w:after="40"/>
        <w:ind w:left="432" w:hanging="432"/>
        <w:jc w:val="both"/>
      </w:pPr>
      <w:r>
        <w:rPr>
          <w:rFonts w:ascii="Times New Roman" w:hAnsi="Times New Roman" w:cs="Times New Roman" w:eastAsia="Times New Roman"/>
          <w:b w:val="0"/>
          <w:i w:val="0"/>
          <w:sz w:val="16"/>
        </w:rPr>
        <w:t>[12] M. Kleppmann, A. Wiggins, P. van Hardenberg, and M. McGranaghan, “Local-first software: you own your data, in spite of the cloud,” in Proc. ACM Onward!, 2019, pp. 154–178. https://doi.org/10.1145/3359591.3359737</w:t>
      </w:r>
    </w:p>
    <w:p>
      <w:pPr>
        <w:keepNext w:val="0"/>
        <w:spacing w:before="0" w:after="40"/>
        <w:ind w:left="432" w:hanging="432"/>
        <w:jc w:val="both"/>
      </w:pPr>
      <w:r>
        <w:rPr>
          <w:rFonts w:ascii="Times New Roman" w:hAnsi="Times New Roman" w:cs="Times New Roman" w:eastAsia="Times New Roman"/>
          <w:b w:val="0"/>
          <w:i w:val="0"/>
          <w:sz w:val="16"/>
        </w:rPr>
        <w:t>[13] H. Attiya, S. Burckhardt, A. Gotsman, A. Morrison, H. Yang, and M. Zawirski, “Specification and complexity of collaborative text editing,” in Proc. ACM PODC, 2016, pp. 259–268. https://doi.org/10.1145/2933057.2933090</w:t>
      </w:r>
    </w:p>
    <w:p>
      <w:pPr>
        <w:keepNext w:val="0"/>
        <w:spacing w:before="0" w:after="40"/>
        <w:ind w:left="432" w:hanging="432"/>
        <w:jc w:val="both"/>
      </w:pPr>
      <w:r>
        <w:rPr>
          <w:rFonts w:ascii="Times New Roman" w:hAnsi="Times New Roman" w:cs="Times New Roman" w:eastAsia="Times New Roman"/>
          <w:b w:val="0"/>
          <w:i w:val="0"/>
          <w:sz w:val="16"/>
        </w:rPr>
        <w:t>[14] N. Fraser, “Differential synchronization,” in Proc. ACM DocEng, 2009. https://neil.fraser.name/writing/sync/</w:t>
      </w:r>
    </w:p>
    <w:p>
      <w:pPr>
        <w:keepNext w:val="0"/>
        <w:spacing w:before="0" w:after="40"/>
        <w:ind w:left="432" w:hanging="432"/>
        <w:jc w:val="both"/>
      </w:pPr>
      <w:r>
        <w:rPr>
          <w:rFonts w:ascii="Times New Roman" w:hAnsi="Times New Roman" w:cs="Times New Roman" w:eastAsia="Times New Roman"/>
          <w:b w:val="0"/>
          <w:i w:val="0"/>
          <w:sz w:val="16"/>
        </w:rPr>
        <w:t>[15] F. Mosteller and D. L. Wallace, “Inference in an authorship problem,” J. Amer. Statist. Assoc., vol. 58, no. 302, pp. 275–309, 1963. https://doi.org/10.1080/01621459.1963.10500849</w:t>
      </w:r>
    </w:p>
    <w:p>
      <w:pPr>
        <w:keepNext w:val="0"/>
        <w:spacing w:before="0" w:after="40"/>
        <w:ind w:left="432" w:hanging="432"/>
        <w:jc w:val="both"/>
      </w:pPr>
      <w:r>
        <w:rPr>
          <w:rFonts w:ascii="Times New Roman" w:hAnsi="Times New Roman" w:cs="Times New Roman" w:eastAsia="Times New Roman"/>
          <w:b w:val="0"/>
          <w:i w:val="0"/>
          <w:sz w:val="16"/>
        </w:rPr>
        <w:t>[16] E. Stamatatos, “A survey of modern authorship attribution methods,” J. Amer. Soc. Inf. Sci. Technol., vol. 60, no. 3, pp. 538–556, 2009. https://doi.org/10.1002/asi.21001</w:t>
      </w:r>
    </w:p>
    <w:p>
      <w:pPr>
        <w:keepNext w:val="0"/>
        <w:spacing w:before="0" w:after="40"/>
        <w:ind w:left="432" w:hanging="432"/>
        <w:jc w:val="both"/>
      </w:pPr>
      <w:r>
        <w:rPr>
          <w:rFonts w:ascii="Times New Roman" w:hAnsi="Times New Roman" w:cs="Times New Roman" w:eastAsia="Times New Roman"/>
          <w:b w:val="0"/>
          <w:i w:val="0"/>
          <w:sz w:val="16"/>
        </w:rPr>
        <w:t>[17] M. Koppel, J. Schler, and S. Argamon, “Computational methods in authorship attribution,” J. Amer. Soc. Inf. Sci. Technol., vol. 60, no. 1, pp. 9–26, 2009. https://doi.org/10.1002/asi.20961</w:t>
      </w:r>
    </w:p>
    <w:p>
      <w:pPr>
        <w:keepNext w:val="0"/>
        <w:spacing w:before="0" w:after="40"/>
        <w:ind w:left="432" w:hanging="432"/>
        <w:jc w:val="both"/>
      </w:pPr>
      <w:r>
        <w:rPr>
          <w:rFonts w:ascii="Times New Roman" w:hAnsi="Times New Roman" w:cs="Times New Roman" w:eastAsia="Times New Roman"/>
          <w:b w:val="0"/>
          <w:i w:val="0"/>
          <w:sz w:val="16"/>
        </w:rPr>
        <w:t>[18] P. Juola, “Authorship attribution,” Found. Trends Inf. Retr., vol. 1, no. 3, pp. 233–334, 2006. https://doi.org/10.1561/1500000005</w:t>
      </w:r>
    </w:p>
    <w:p>
      <w:pPr>
        <w:keepNext w:val="0"/>
        <w:spacing w:before="0" w:after="40"/>
        <w:ind w:left="432" w:hanging="432"/>
        <w:jc w:val="both"/>
      </w:pPr>
      <w:r>
        <w:rPr>
          <w:rFonts w:ascii="Times New Roman" w:hAnsi="Times New Roman" w:cs="Times New Roman" w:eastAsia="Times New Roman"/>
          <w:b w:val="0"/>
          <w:i w:val="0"/>
          <w:sz w:val="16"/>
        </w:rPr>
        <w:t>[19] J. Burrows, “‘Delta’: a measure of stylistic difference and a guide to likely authorship,” Lit. Linguist. Comput., vol. 17, no. 3, pp. 267–287, 2002. https://doi.org/10.1093/llc/17.3.267</w:t>
      </w:r>
    </w:p>
    <w:p>
      <w:pPr>
        <w:keepNext w:val="0"/>
        <w:spacing w:before="0" w:after="40"/>
        <w:ind w:left="432" w:hanging="432"/>
        <w:jc w:val="both"/>
      </w:pPr>
      <w:r>
        <w:rPr>
          <w:rFonts w:ascii="Times New Roman" w:hAnsi="Times New Roman" w:cs="Times New Roman" w:eastAsia="Times New Roman"/>
          <w:b w:val="0"/>
          <w:i w:val="0"/>
          <w:sz w:val="16"/>
        </w:rPr>
        <w:t>[20] S. Evert et al., “Understanding and explaining Delta measures for authorship attribution,” Digit. Scholarsh. Humanit., vol. 32, suppl. 2, pp. ii4–ii16, 2017. https://doi.org/10.1093/llc/fqx023</w:t>
      </w:r>
    </w:p>
    <w:p>
      <w:pPr>
        <w:keepNext w:val="0"/>
        <w:spacing w:before="0" w:after="40"/>
        <w:ind w:left="432" w:hanging="432"/>
        <w:jc w:val="both"/>
      </w:pPr>
      <w:r>
        <w:rPr>
          <w:rFonts w:ascii="Times New Roman" w:hAnsi="Times New Roman" w:cs="Times New Roman" w:eastAsia="Times New Roman"/>
          <w:b w:val="0"/>
          <w:i w:val="0"/>
          <w:sz w:val="16"/>
        </w:rPr>
        <w:t>[21] A. Narayanan et al., “On the feasibility of internet-scale author identification,” in Proc. IEEE Symp. Security and Privacy, 2012, pp. 300–314. https://doi.org/10.1109/SP.2012.46</w:t>
      </w:r>
    </w:p>
    <w:p>
      <w:pPr>
        <w:keepNext w:val="0"/>
        <w:spacing w:before="0" w:after="40"/>
        <w:ind w:left="432" w:hanging="432"/>
        <w:jc w:val="both"/>
      </w:pPr>
      <w:r>
        <w:rPr>
          <w:rFonts w:ascii="Times New Roman" w:hAnsi="Times New Roman" w:cs="Times New Roman" w:eastAsia="Times New Roman"/>
          <w:b w:val="0"/>
          <w:i w:val="0"/>
          <w:sz w:val="16"/>
        </w:rPr>
        <w:t>[22] F. Monrose and A. D. Rubin, “Keystroke dynamics as a biometric for authentication,” Future Gener. Comput. Syst., vol. 16, no. 4, pp. 351–359, 2000. https://doi.org/10.1016/S0167-739X(99)00059-X</w:t>
      </w:r>
    </w:p>
    <w:p>
      <w:pPr>
        <w:keepNext w:val="0"/>
        <w:spacing w:before="0" w:after="40"/>
        <w:ind w:left="432" w:hanging="432"/>
        <w:jc w:val="both"/>
      </w:pPr>
      <w:r>
        <w:rPr>
          <w:rFonts w:ascii="Times New Roman" w:hAnsi="Times New Roman" w:cs="Times New Roman" w:eastAsia="Times New Roman"/>
          <w:b w:val="0"/>
          <w:i w:val="0"/>
          <w:sz w:val="16"/>
        </w:rPr>
        <w:t>[23] K. S. Killourhy and R. A. Maxion, “Comparing anomaly-detection algorithms for keystroke dynamics,” in Proc. IEEE/IFIP DSN, 2009, pp. 125–134. https://doi.org/10.1109/DSN.2009.5270346</w:t>
      </w:r>
    </w:p>
    <w:p>
      <w:pPr>
        <w:keepNext w:val="0"/>
        <w:spacing w:before="0" w:after="40"/>
        <w:ind w:left="432" w:hanging="432"/>
        <w:jc w:val="both"/>
      </w:pPr>
      <w:r>
        <w:rPr>
          <w:rFonts w:ascii="Times New Roman" w:hAnsi="Times New Roman" w:cs="Times New Roman" w:eastAsia="Times New Roman"/>
          <w:b w:val="0"/>
          <w:i w:val="0"/>
          <w:sz w:val="16"/>
        </w:rPr>
        <w:t>[24] S. P. Banerjee and D. L. Woodard, “Biometric authentication and identification using keystroke dynamics: a survey,” J. Pattern Recognit. Res., vol. 7, no. 1, pp. 116–139, 2012. https://doi.org/10.13176/11.427</w:t>
      </w:r>
    </w:p>
    <w:p>
      <w:pPr>
        <w:keepNext w:val="0"/>
        <w:spacing w:before="0" w:after="40"/>
        <w:ind w:left="432" w:hanging="432"/>
        <w:jc w:val="both"/>
      </w:pPr>
      <w:r>
        <w:rPr>
          <w:rFonts w:ascii="Times New Roman" w:hAnsi="Times New Roman" w:cs="Times New Roman" w:eastAsia="Times New Roman"/>
          <w:b w:val="0"/>
          <w:i w:val="0"/>
          <w:sz w:val="16"/>
        </w:rPr>
        <w:t>[25] L. Lamport, “Time, clocks, and the ordering of events in a distributed system,” Commun. ACM, vol. 21, no. 7, pp. 558–565, 1978. https://doi.org/10.1145/359545.359563</w:t>
      </w:r>
    </w:p>
    <w:p>
      <w:pPr>
        <w:keepNext w:val="0"/>
        <w:spacing w:before="0" w:after="40"/>
        <w:ind w:left="432" w:hanging="432"/>
        <w:jc w:val="both"/>
      </w:pPr>
      <w:r>
        <w:rPr>
          <w:rFonts w:ascii="Times New Roman" w:hAnsi="Times New Roman" w:cs="Times New Roman" w:eastAsia="Times New Roman"/>
          <w:b w:val="0"/>
          <w:i w:val="0"/>
          <w:sz w:val="16"/>
        </w:rPr>
        <w:t>[26] S. Gilbert and N. Lynch, “Brewer’s conjecture and the feasibility of consistent, available, partition-tolerant web services,” ACM SIGACT News, vol. 33, no. 2, pp. 51–59, 2002. https://doi.org/10.1145/564585.564601</w:t>
      </w:r>
    </w:p>
    <w:p>
      <w:pPr>
        <w:keepNext w:val="0"/>
        <w:spacing w:before="0" w:after="40"/>
        <w:ind w:left="432" w:hanging="432"/>
        <w:jc w:val="both"/>
      </w:pPr>
      <w:r>
        <w:rPr>
          <w:rFonts w:ascii="Times New Roman" w:hAnsi="Times New Roman" w:cs="Times New Roman" w:eastAsia="Times New Roman"/>
          <w:b w:val="0"/>
          <w:i w:val="0"/>
          <w:sz w:val="16"/>
        </w:rPr>
        <w:t>[27] E. A. Brewer, “Towards robust distributed systems,” keynote, ACM PODC, 2000. https://people.eecs.berkeley.edu/~brewer/cs262b-2004/PODC-keynote.pdf</w:t>
      </w:r>
    </w:p>
    <w:p>
      <w:pPr>
        <w:keepNext w:val="0"/>
        <w:spacing w:before="0" w:after="40"/>
        <w:ind w:left="432" w:hanging="432"/>
        <w:jc w:val="both"/>
      </w:pPr>
      <w:r>
        <w:rPr>
          <w:rFonts w:ascii="Times New Roman" w:hAnsi="Times New Roman" w:cs="Times New Roman" w:eastAsia="Times New Roman"/>
          <w:b w:val="0"/>
          <w:i w:val="0"/>
          <w:sz w:val="16"/>
        </w:rPr>
        <w:t>[28] D. Karger et al., “Consistent hashing and random trees,” in Proc. ACM STOC, 1997, pp. 654–663. https://doi.org/10.1145/258533.258660</w:t>
      </w:r>
    </w:p>
    <w:p>
      <w:pPr>
        <w:keepNext w:val="0"/>
        <w:spacing w:before="0" w:after="40"/>
        <w:ind w:left="432" w:hanging="432"/>
        <w:jc w:val="both"/>
      </w:pPr>
      <w:r>
        <w:rPr>
          <w:rFonts w:ascii="Times New Roman" w:hAnsi="Times New Roman" w:cs="Times New Roman" w:eastAsia="Times New Roman"/>
          <w:b w:val="0"/>
          <w:i w:val="0"/>
          <w:sz w:val="16"/>
        </w:rPr>
        <w:t>[29] D. G. Thaler and C. V. Ravishankar, “Using name-based mappings to increase hit rates,” IEEE/ACM Trans. Netw., vol. 6, no. 1, pp. 1–14, 1998. https://doi.org/10.1109/90.663936</w:t>
      </w:r>
    </w:p>
    <w:p>
      <w:pPr>
        <w:keepNext w:val="0"/>
        <w:spacing w:before="0" w:after="40"/>
        <w:ind w:left="432" w:hanging="432"/>
        <w:jc w:val="both"/>
      </w:pPr>
      <w:r>
        <w:rPr>
          <w:rFonts w:ascii="Times New Roman" w:hAnsi="Times New Roman" w:cs="Times New Roman" w:eastAsia="Times New Roman"/>
          <w:b w:val="0"/>
          <w:i w:val="0"/>
          <w:sz w:val="16"/>
        </w:rPr>
        <w:t>[30] I. Fette and A. Melnikov, “The WebSocket protocol,” RFC 6455, IETF, 2011. https://doi.org/10.17487/RFC6455</w:t>
      </w:r>
    </w:p>
    <w:p>
      <w:pPr>
        <w:keepNext w:val="0"/>
        <w:spacing w:before="0" w:after="40"/>
        <w:ind w:left="432" w:hanging="432"/>
        <w:jc w:val="both"/>
      </w:pPr>
      <w:r>
        <w:rPr>
          <w:rFonts w:ascii="Times New Roman" w:hAnsi="Times New Roman" w:cs="Times New Roman" w:eastAsia="Times New Roman"/>
          <w:b w:val="0"/>
          <w:i w:val="0"/>
          <w:sz w:val="16"/>
        </w:rPr>
        <w:t>[31] J. Kreps, N. Narkhede, and J. Rao, “Kafka: a distributed messaging system for log processing,” in Proc. NetDB, 2011. https://www.microsoft.com/en-us/research/wp-content/uploads/2017/09/Kafka.pdf</w:t>
      </w:r>
    </w:p>
    <w:p>
      <w:pPr>
        <w:keepNext w:val="0"/>
        <w:spacing w:before="0" w:after="40"/>
        <w:ind w:left="432" w:hanging="432"/>
        <w:jc w:val="both"/>
      </w:pPr>
      <w:r>
        <w:rPr>
          <w:rFonts w:ascii="Times New Roman" w:hAnsi="Times New Roman" w:cs="Times New Roman" w:eastAsia="Times New Roman"/>
          <w:b w:val="0"/>
          <w:i w:val="0"/>
          <w:sz w:val="16"/>
        </w:rPr>
        <w:t>[32] B. Burns, B. Grant, D. Oppenheimer, E. Brewer, and J. Wilkes, “Borg, Omega, and Kubernetes,” Commun. ACM, vol. 59, no. 5, pp. 50–57, 2016. https://doi.org/10.1145/2890784</w:t>
      </w:r>
    </w:p>
    <w:p>
      <w:pPr>
        <w:keepNext w:val="0"/>
        <w:spacing w:before="0" w:after="40"/>
        <w:ind w:left="432" w:hanging="432"/>
        <w:jc w:val="both"/>
      </w:pPr>
      <w:r>
        <w:rPr>
          <w:rFonts w:ascii="Times New Roman" w:hAnsi="Times New Roman" w:cs="Times New Roman" w:eastAsia="Times New Roman"/>
          <w:b w:val="0"/>
          <w:i w:val="0"/>
          <w:sz w:val="16"/>
        </w:rPr>
        <w:t>[33] K. Moriarty, B. Kaliski, and A. Rusch, “PKCS #5: password-based cryptography specification version 2.1,” RFC 8018, IETF, 2017. https://doi.org/10.17487/RFC8018</w:t>
      </w:r>
    </w:p>
    <w:p>
      <w:pPr>
        <w:keepNext w:val="0"/>
        <w:spacing w:before="0" w:after="40"/>
        <w:ind w:left="432" w:hanging="432"/>
        <w:jc w:val="both"/>
      </w:pPr>
      <w:r>
        <w:rPr>
          <w:rFonts w:ascii="Times New Roman" w:hAnsi="Times New Roman" w:cs="Times New Roman" w:eastAsia="Times New Roman"/>
          <w:b w:val="0"/>
          <w:i w:val="0"/>
          <w:sz w:val="16"/>
        </w:rPr>
        <w:t>[34] M. Jones, J. Bradley, and N. Sakimura, “JSON Web Token (JWT),” RFC 7519, IETF, 2015. https://doi.org/10.17487/RFC7519</w:t>
      </w:r>
    </w:p>
    <w:p>
      <w:pPr>
        <w:keepNext w:val="0"/>
        <w:spacing w:before="0" w:after="40"/>
        <w:ind w:left="432" w:hanging="432"/>
        <w:jc w:val="both"/>
      </w:pPr>
      <w:r>
        <w:rPr>
          <w:rFonts w:ascii="Times New Roman" w:hAnsi="Times New Roman" w:cs="Times New Roman" w:eastAsia="Times New Roman"/>
          <w:b w:val="0"/>
          <w:i w:val="0"/>
          <w:sz w:val="16"/>
        </w:rPr>
        <w:t>[35] F. Pedregosa et al., “Scikit-learn: machine learning in Python,” J. Mach. Learn. Res., vol. 12, pp. 2825–2830, 2011. https://jmlr.org/papers/v12/pedregosa11a.html</w:t>
      </w:r>
    </w:p>
    <w:p>
      <w:pPr>
        <w:keepNext w:val="0"/>
        <w:spacing w:before="0" w:after="40"/>
        <w:ind w:left="432" w:hanging="432"/>
        <w:jc w:val="both"/>
      </w:pPr>
      <w:r>
        <w:rPr>
          <w:rFonts w:ascii="Times New Roman" w:hAnsi="Times New Roman" w:cs="Times New Roman" w:eastAsia="Times New Roman"/>
          <w:b w:val="0"/>
          <w:i w:val="0"/>
          <w:sz w:val="16"/>
        </w:rPr>
        <w:t>[36] S. Ramírez, “FastAPI documentation.” https://fastapi.tiangolo.com</w:t>
      </w:r>
    </w:p>
    <w:p>
      <w:pPr>
        <w:keepNext w:val="0"/>
        <w:spacing w:before="0" w:after="40"/>
        <w:ind w:left="432" w:hanging="432"/>
        <w:jc w:val="both"/>
      </w:pPr>
      <w:r>
        <w:rPr>
          <w:rFonts w:ascii="Times New Roman" w:hAnsi="Times New Roman" w:cs="Times New Roman" w:eastAsia="Times New Roman"/>
          <w:b w:val="0"/>
          <w:i w:val="0"/>
          <w:sz w:val="16"/>
        </w:rPr>
        <w:t>[37] M. Kleppmann, Designing Data-Intensive Applications. O’Reilly Media, 2017. https://dataintensive.net</w:t>
      </w:r>
    </w:p>
    <w:p>
      <w:pPr>
        <w:keepNext w:val="0"/>
        <w:spacing w:before="0" w:after="40"/>
        <w:ind w:left="432" w:hanging="432"/>
        <w:jc w:val="both"/>
      </w:pPr>
      <w:r>
        <w:rPr>
          <w:rFonts w:ascii="Times New Roman" w:hAnsi="Times New Roman" w:cs="Times New Roman" w:eastAsia="Times New Roman"/>
          <w:b w:val="0"/>
          <w:i w:val="0"/>
          <w:sz w:val="16"/>
        </w:rPr>
        <w:t>[38] D. Ongaro and J. Ousterhout, “In search of an understandable consensus algorithm,” in Proc. USENIX ATC, 2014, pp. 305–319. https://www.usenix.org/conference/atc14/technical-sessions/presentation/ongaro</w:t>
      </w:r>
    </w:p>
    <w:p>
      <w:pPr>
        <w:keepNext/>
        <w:spacing w:before="200" w:after="80"/>
        <w:jc w:val="center"/>
      </w:pPr>
      <w:r>
        <w:rPr>
          <w:rFonts w:ascii="Times New Roman" w:hAnsi="Times New Roman" w:cs="Times New Roman" w:eastAsia="Times New Roman"/>
          <w:b w:val="0"/>
          <w:i w:val="0"/>
          <w:sz w:val="20"/>
        </w:rPr>
        <w:t>APPENDIX</w:t>
      </w:r>
    </w:p>
    <w:p>
      <w:pPr>
        <w:keepNext w:val="0"/>
        <w:spacing w:before="0" w:after="80"/>
        <w:jc w:val="both"/>
      </w:pPr>
      <w:r>
        <w:rPr>
          <w:rFonts w:ascii="Times New Roman" w:hAnsi="Times New Roman" w:cs="Times New Roman" w:eastAsia="Times New Roman"/>
          <w:b/>
          <w:sz w:val="20"/>
        </w:rPr>
        <w:t xml:space="preserve">Research paper in IEEE conference format (Word): </w:t>
      </w:r>
      <w:r>
        <w:rPr>
          <w:rFonts w:ascii="Times New Roman" w:hAnsi="Times New Roman" w:cs="Times New Roman" w:eastAsia="Times New Roman"/>
          <w:sz w:val="20"/>
        </w:rPr>
        <w:t>https://github.com/Zerko-sd/CollabDoc/blob/main/paper/collabdoc.docx</w:t>
      </w:r>
    </w:p>
    <w:p>
      <w:pPr>
        <w:keepNext w:val="0"/>
        <w:spacing w:before="0" w:after="80"/>
        <w:jc w:val="both"/>
      </w:pPr>
      <w:r>
        <w:rPr>
          <w:rFonts w:ascii="Times New Roman" w:hAnsi="Times New Roman" w:cs="Times New Roman" w:eastAsia="Times New Roman"/>
          <w:b/>
          <w:sz w:val="20"/>
        </w:rPr>
        <w:t xml:space="preserve">Research paper (PDF): </w:t>
      </w:r>
      <w:r>
        <w:rPr>
          <w:rFonts w:ascii="Times New Roman" w:hAnsi="Times New Roman" w:cs="Times New Roman" w:eastAsia="Times New Roman"/>
          <w:sz w:val="20"/>
        </w:rPr>
        <w:t>https://github.com/Zerko-sd/CollabDoc/blob/main/paper/collabdoc.pdf</w:t>
      </w:r>
    </w:p>
    <w:sectPr>
      <w:type w:val="continuous"/>
      <w:pgSz w:w="12240" w:h="15840"/>
      <w:pgMar w:top="1080" w:right="900" w:bottom="1300" w:left="900" w:header="720" w:footer="720" w:gutter="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Paper - CollabDoc (BCSE355L DA III)</dc:title>
  <dc:subject/>
  <dc:creator>Nitish Kumar, Balan N</dc:creator>
  <cp:keywords/>
  <dc:description>generated by python-docx</dc:description>
  <cp:lastModifiedBy/>
  <cp:revision>1</cp:revision>
  <dcterms:created xsi:type="dcterms:W3CDTF">2013-12-23T23:15:00Z</dcterms:created>
  <dcterms:modified xsi:type="dcterms:W3CDTF">2013-12-23T23:15:00Z</dcterms:modified>
  <cp:category/>
</cp:coreProperties>
</file>