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sample-data.csv" ContentType="application/vnd.openxmlformats-officedocument.spreadsheetml.shee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文档转换助手示例文档</w:t>
      </w:r>
    </w:p>
    <w:p>
      <w:r>
        <w:t>本文档用于演示 doc-converter 对 DOCX 的处理能力，涵盖标题、列表、表格、超链接、图片、流程图与嵌入附件。</w:t>
      </w:r>
    </w:p>
    <w:p>
      <w:pPr>
        <w:pStyle w:val="Heading1"/>
      </w:pPr>
      <w:r>
        <w:t>功能特性</w:t>
      </w:r>
    </w:p>
    <w:p>
      <w:pPr>
        <w:pStyle w:val="ListBullet"/>
      </w:pPr>
      <w:r>
        <w:t>支持 PDF、DOCX、HTML、Markdown 任意互转</w:t>
      </w:r>
    </w:p>
    <w:p>
      <w:pPr>
        <w:pStyle w:val="ListBullet"/>
      </w:pPr>
      <w:r>
        <w:t>保留标题、段落、列表、表格等结构</w:t>
      </w:r>
    </w:p>
    <w:p>
      <w:pPr>
        <w:pStyle w:val="ListBullet"/>
      </w:pPr>
      <w:r>
        <w:t>正确处理图片、流程图与嵌入附件</w:t>
      </w:r>
    </w:p>
    <w:p>
      <w:pPr>
        <w:pStyle w:val="Heading1"/>
      </w:pPr>
      <w:r>
        <w:t>结构对比表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格式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结构保留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图片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附件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启发式重建</w:t>
            </w:r>
          </w:p>
        </w:tc>
        <w:tc>
          <w:tcPr>
            <w:tcW w:type="dxa" w:w="2160"/>
          </w:tcPr>
          <w:p>
            <w:r>
              <w:t>裁剪导出</w:t>
            </w:r>
          </w:p>
        </w:tc>
        <w:tc>
          <w:tcPr>
            <w:tcW w:type="dxa" w:w="2160"/>
          </w:tcPr>
          <w:p>
            <w:r>
              <w:t>EmbeddedFile</w:t>
            </w:r>
          </w:p>
        </w:tc>
      </w:tr>
      <w:tr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嵌入</w:t>
            </w:r>
          </w:p>
        </w:tc>
        <w:tc>
          <w:tcPr>
            <w:tcW w:type="dxa" w:w="2160"/>
          </w:tcPr>
          <w:p>
            <w:r>
              <w:t>OLE 对象</w:t>
            </w:r>
          </w:p>
        </w:tc>
      </w:tr>
      <w:tr>
        <w:tc>
          <w:tcPr>
            <w:tcW w:type="dxa" w:w="2160"/>
          </w:tcPr>
          <w:p>
            <w:r>
              <w:t>HTML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文件引用</w:t>
            </w:r>
          </w:p>
        </w:tc>
        <w:tc>
          <w:tcPr>
            <w:tcW w:type="dxa" w:w="2160"/>
          </w:tcPr>
          <w:p>
            <w:r>
              <w:t>链接引用</w:t>
            </w:r>
          </w:p>
        </w:tc>
      </w:tr>
      <w:tr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文件引用</w:t>
            </w:r>
          </w:p>
        </w:tc>
        <w:tc>
          <w:tcPr>
            <w:tcW w:type="dxa" w:w="2160"/>
          </w:tcPr>
          <w:p>
            <w:r>
              <w:t>链接引用</w:t>
            </w:r>
          </w:p>
        </w:tc>
      </w:tr>
    </w:tbl>
    <w:p>
      <w:pPr>
        <w:pStyle w:val="Heading1"/>
      </w:pPr>
      <w:r>
        <w:t>图片与链接</w:t>
      </w:r>
    </w:p>
    <w:p>
      <w:r>
        <w:t>项目地址：</w:t>
      </w:r>
      <w:hyperlink r:id="rId9">
        <w:r>
          <w:rPr>
            <w:color w:val="0563C1"/>
          </w:rPr>
          <w:t>https://github.com/example/doc-converter</w:t>
        </w:r>
      </w:hyperlink>
    </w:p>
    <w:p>
      <w:r>
        <w:t>下面是行内图片：</w:t>
      </w:r>
      <w:r>
        <w:drawing>
          <wp:inline xmlns:a="http://schemas.openxmlformats.org/drawingml/2006/main" xmlns:pic="http://schemas.openxmlformats.org/drawingml/2006/picture">
            <wp:extent cx="3657600" cy="170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下面是块级图片：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流程图</w:t>
      </w:r>
    </w:p>
    <w:p>
      <w:r xmlns:a="http://schemas.openxmlformats.org/drawingml/2006/main">
        <mc:AlternateContent>
          <mc:Choice Requires="wps">
            <w:drawing>
              <wp:inline distT="0" distB="0" distL="0" distR="0">
                <wp:extent cx="4600000" cy="2600000"/>
                <wp:effectExtent l="0" t="0" r="0" b="0"/>
                <wp:docPr id="90" name="FlowChartGroup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000" cy="2600000"/>
                          <a:chOff x="0" y="0"/>
                          <a:chExt cx="4600000" cy="2600000"/>
                        </a:xfrm>
                      </wpg:grpSpPr>
                      <wps:wsp>
                        <wps:cNvPr id="10" name="Node10"/>
                        <wps:cNvSpPr/>
                        <wps:spPr>
                          <a:xfrm>
                            <a:off x="100000" y="100000"/>
                            <a:ext cx="1600000" cy="600000"/>
                          </a:xfrm>
                          <a:prstGeom prst="roundRect">
                            <a:avLst/>
                          </a:prstGeom>
                        </wps:spPr>
                        <wps:txbx>
                          <w:txbxContent>
                            <w:p>
                              <w:r>
                                <w:t>读取源文档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1" name="Node11"/>
                        <wps:cNvSpPr/>
                        <wps:spPr>
                          <a:xfrm>
                            <a:off x="1500000" y="100000"/>
                            <a:ext cx="1600000" cy="600000"/>
                          </a:xfrm>
                          <a:prstGeom prst="roundRect">
                            <a:avLst/>
                          </a:prstGeom>
                        </wps:spPr>
                        <wps:txbx>
                          <w:txbxContent>
                            <w:p>
                              <w:r>
                                <w:t>解析为统一 IR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2" name="Node12"/>
                        <wps:cNvSpPr/>
                        <wps:spPr>
                          <a:xfrm>
                            <a:off x="2900000" y="100000"/>
                            <a:ext cx="1600000" cy="600000"/>
                          </a:xfrm>
                          <a:prstGeom prst="roundRect">
                            <a:avLst/>
                          </a:prstGeom>
                        </wps:spPr>
                        <wps:txbx>
                          <w:txbxContent>
                            <w:p>
                              <w:r>
                                <w:t>写入目标格式</w:t>
                              </w:r>
                            </w:p>
                          </w:txbxContent>
                        </wps:txbx>
                        <wps:bodyPr/>
                      </wps:wsp>
                      <wps:cxnSp>
                        <wps:cNvPr id="90" name="Connector1"/>
                        <wps:cNvCxnSpPr/>
                        <wps:spPr>
                          <a:xfrm>
                            <a:off x="1150000" y="800000"/>
                            <a:ext cx="0" cy="700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/>
                        </wps:style>
                      </wps:cxnSp>
                    </wpg:wgp>
                  </a:graphicData>
                </a:graphic>
              </wp:inline>
            </w:drawing>
          </mc:Choice>
        </mc:AlternateContent>
      </w:r>
    </w:p>
    <w:p>
      <w:pPr>
        <w:pStyle w:val="Heading1"/>
      </w:pPr>
      <w:r>
        <w:t>代码示例</w:t>
      </w:r>
    </w:p>
    <w:p>
      <w:r>
        <w:rPr>
          <w:rFonts w:ascii="Consolas" w:hAnsi="Consolas"/>
        </w:rPr>
        <w:t>from doc_converter import convert</w:t>
        <w:br/>
        <w:t>result = convert("sample.docx", target="md")</w:t>
        <w:br/>
        <w:t>print(result.output_path)</w:t>
      </w:r>
    </w:p>
    <w:p>
      <w:r>
        <w:t>上面嵌入了一个 CSV 附件（sample-data.csv）。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xample/doc-converter" TargetMode="External"/><Relationship Id="rId10" Type="http://schemas.openxmlformats.org/officeDocument/2006/relationships/image" Target="media/image1.png"/><Relationship Id="rId11" Type="http://schemas.openxmlformats.org/officeDocument/2006/relationships/package" Target="embeddings/sample-data.csv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文档转换助手示例文档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