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COURSE DESCRIPTION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2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THE GIFT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INSTITUTION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6" w:val="single"/>
        </w:pBd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BS Computer Science </w:t>
      </w:r>
    </w:p>
    <w:p w:rsidR="00000000" w:rsidDel="00000000" w:rsidP="00000000" w:rsidRDefault="00000000" w:rsidRPr="00000000" w14:paraId="00000006">
      <w:pPr>
        <w:pageBreakBefore w:val="0"/>
        <w:spacing w:after="120"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PROGRAM (S)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20" w:before="12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EVALUATED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-288"/>
          <w:tab w:val="left" w:pos="360"/>
        </w:tabs>
        <w:spacing w:after="6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-288"/>
          <w:tab w:val="left" w:pos="360"/>
        </w:tabs>
        <w:spacing w:after="6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tabs>
          <w:tab w:val="left" w:pos="-288"/>
          <w:tab w:val="left" w:pos="360"/>
        </w:tabs>
        <w:spacing w:after="60" w:lineRule="auto"/>
        <w:ind w:left="360" w:hanging="36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Course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(Fill out the following table for each course in your computer science curriculum. A filled out form should not be more than 2-3 pages.)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60"/>
        <w:gridCol w:w="1238"/>
        <w:gridCol w:w="1260"/>
        <w:gridCol w:w="1530"/>
        <w:gridCol w:w="2413"/>
        <w:tblGridChange w:id="0">
          <w:tblGrid>
            <w:gridCol w:w="3460"/>
            <w:gridCol w:w="1238"/>
            <w:gridCol w:w="1260"/>
            <w:gridCol w:w="1530"/>
            <w:gridCol w:w="241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PHY-106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Applied Physics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Prerequisites by Course(s) and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Nill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Assessment Instruments with Weights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(Assignments, quizzes+ homeworks, Presentations, Viva, midterms(CP-1), final (CP-2), etc.)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(Assignment 10 %), (quizzes+ homeworks: 20%), (Presentations: 15%), (Viva: 25%) and (CP-1 and 2: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%) (Mid 20 %)  (Final 20%)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Dr. Nmeeqa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URL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Current Catalog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Textbook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29" w:lineRule="auto"/>
              <w:ind w:right="798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Fundamentals of Physics (Extended), 10th edition, Resnick and Walker,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Narciso Garcia, Arthur Damask, Steven Schwarz., “Physics for Computer Science Students”, Springer Verlag, 1998University Physics, Freedman. Young. 10th and higher editions.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Course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Gain deeper understanding of Electricity and Magnetism</w:t>
            </w:r>
          </w:p>
          <w:p w:rsidR="00000000" w:rsidDel="00000000" w:rsidP="00000000" w:rsidRDefault="00000000" w:rsidRPr="00000000" w14:paraId="00000043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Advance skills and capability for formulating and solving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Topics Covered in the Course, with Number of Lectures on Each Topic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(Lecture Time: 1 hr and 30 min)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031"/>
              <w:gridCol w:w="3184"/>
              <w:tblGridChange w:id="0">
                <w:tblGrid>
                  <w:gridCol w:w="3031"/>
                  <w:gridCol w:w="318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260" w:lineRule="auto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Introduction ,Electric Charge, Particles, Atoms,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Removal of electrons, Conductors, semiconductors, insulators, Superconductors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1" w:line="242" w:lineRule="auto"/>
                    <w:ind w:left="133" w:right="1338" w:firstLine="0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Conservation of charge and Examples Charge quantization Examples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Coulombs Law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261" w:lineRule="auto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Electric fields ,Different charge configurations , Superposition principle </w:t>
                  </w:r>
                </w:p>
                <w:p w:rsidR="00000000" w:rsidDel="00000000" w:rsidP="00000000" w:rsidRDefault="00000000" w:rsidRPr="00000000" w14:paraId="00000055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7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1" w:lineRule="auto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Point charge and lines of force. </w:t>
                  </w:r>
                </w:p>
                <w:p w:rsidR="00000000" w:rsidDel="00000000" w:rsidP="00000000" w:rsidRDefault="00000000" w:rsidRPr="00000000" w14:paraId="00000058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Ring of charge and related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1" w:lineRule="auto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Disk of charge and related examples </w:t>
                  </w:r>
                </w:p>
                <w:p w:rsidR="00000000" w:rsidDel="00000000" w:rsidP="00000000" w:rsidRDefault="00000000" w:rsidRPr="00000000" w14:paraId="0000005B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A point charge in an electric field, Dipole in a n electric field and related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F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261" w:lineRule="auto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The flux of electric field, Gauss’Law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1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Applications of Gauss’s Law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Applications of Gauss’s Law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7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260" w:lineRule="auto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Electric potential energy ,Electric potentials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3" w:line="244" w:lineRule="auto"/>
                    <w:ind w:left="133" w:right="1151" w:firstLine="0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Calculating the potential from the field Field due to point and continuous charge distribution,Potential due to dipole, equipotential surfaces </w:t>
                  </w:r>
                </w:p>
                <w:p w:rsidR="00000000" w:rsidDel="00000000" w:rsidP="00000000" w:rsidRDefault="00000000" w:rsidRPr="00000000" w14:paraId="0000006A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 Calculating the field from the, 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1" w:lineRule="auto"/>
                    <w:ind w:left="133" w:firstLine="0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Current and Current density, </w:t>
                  </w: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Drift velocity </w:t>
                  </w:r>
                </w:p>
                <w:p w:rsidR="00000000" w:rsidDel="00000000" w:rsidP="00000000" w:rsidRDefault="00000000" w:rsidRPr="00000000" w14:paraId="0000006D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Relationship with Electric field and Current density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133" w:firstLine="0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Introduction to Resistance and Resistivity </w:t>
                  </w:r>
                </w:p>
                <w:p w:rsidR="00000000" w:rsidDel="00000000" w:rsidP="00000000" w:rsidRDefault="00000000" w:rsidRPr="00000000" w14:paraId="00000070">
                  <w:pPr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13" w:lineRule="auto"/>
                    <w:ind w:left="133" w:firstLine="0"/>
                    <w:rPr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Conductivity and related examples </w:t>
                  </w:r>
                </w:p>
                <w:p w:rsidR="00000000" w:rsidDel="00000000" w:rsidP="00000000" w:rsidRDefault="00000000" w:rsidRPr="00000000" w14:paraId="00000071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Ohm’s law and its applications with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Introduction to Magnetic Field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The Hall effect and related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The Biot- Savart law and related examples, Line of 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Amperes’ s Law and related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Faraday’s experiments, Faraday’s Law of Induction and related 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C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Faraday’s experiments, Faraday’s Law of Induction and related 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Lenz’s law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1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vertAlign w:val="baseline"/>
                      <w:rtl w:val="0"/>
                    </w:rPr>
                    <w:t xml:space="preserve">Lenz’s law and examples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3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Problems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Induced Electric Field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Displacement Current, Maxwell Equations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rPr>
                      <w:rFonts w:ascii="inherit" w:cs="inherit" w:eastAsia="inherit" w:hAnsi="inherit"/>
                      <w:color w:val="00519c"/>
                      <w:sz w:val="17"/>
                      <w:szCs w:val="17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Ineterference, Reflection and Rarefaction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Laboratory Projects/Experiments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Nill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Programming Assignments Done in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 Programming Assignment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Class Time Spent on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(in credit hours)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Theory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Problem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Solution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Social and Ethical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80minute’s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50minute’s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 minute’s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after="40" w:before="4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Oral and Written 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 student is required to submit at least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one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written report of typically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pages and to make _____ oral presentations of typically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minute’s duration.  Include only material that is graded for grammar, spelling, style, and so forth, as well as for technical content, completeness, and accuracy.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ind w:left="288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Instructor Name __Awais Ahmad___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Instructor Signature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120" w:before="12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      Date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80" w:before="2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5840" w:w="12240" w:orient="portrait"/>
      <w:pgMar w:bottom="1080" w:top="990" w:left="1440" w:right="1440" w:header="720" w:footer="7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A1-3-11/18/98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36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NCEAC.FORM.001.D </w: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3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114425" cy="567055"/>
          <wp:effectExtent b="0" l="0" r="0" t="0"/>
          <wp:docPr id="103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704850" cy="685800"/>
          <wp:effectExtent b="0" l="0" r="0" t="0"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NCEAC.FORM.001-D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10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6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National Computing Education Accreditation Council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NCEAC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345" cy="574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10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10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roid Sans Mono" w:cs="Droid Sans Mono" w:eastAsia="Droid Sans Mono" w:hAnsi="Droid Sans Mon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0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4.png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Hz0Xgp0wf+Oii8bdCWr1K8GeA==">AMUW2mUWC59O/sh5MImtQfNBIJOwHJtNFcAqD2rG/mMabQvb+EPM8uQw5qLIo/lNGqFcCUliT0p2i4VV28+3/otWhRM4qdLCvpOb9TDGKKNkdIqvXkNwOQ0=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2021-03-31T06:58:00Z</dcterms:created>
  <dc:creator>Aftab</dc:creator>
</cp:coreProperties>
</file>