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</w:pPr>
      <w:r>
        <w:rPr>
          <w:rFonts w:ascii="Arial" w:hAnsi="Arial"/>
          <w:b/>
          <w:color w:val="000000"/>
          <w:sz w:val="44"/>
        </w:rPr>
        <w:t>Cronograma da versão piloto do MVP</w:t>
      </w:r>
    </w:p>
    <w:p>
      <w:pPr>
        <w:spacing w:after="280" w:before="0" w:line="240" w:lineRule="auto"/>
      </w:pPr>
      <w:r>
        <w:rPr>
          <w:rFonts w:ascii="Arial" w:hAnsi="Arial"/>
          <w:b w:val="0"/>
          <w:color w:val="4F5D66"/>
          <w:sz w:val="24"/>
        </w:rPr>
        <w:t>Conselheiro documental para síndicos</w:t>
      </w:r>
    </w:p>
    <w:p>
      <w:pPr>
        <w:spacing w:before="0" w:after="140" w:line="276" w:lineRule="auto"/>
      </w:pPr>
      <w:r>
        <w:rPr>
          <w:rFonts w:ascii="Arial" w:hAnsi="Arial"/>
          <w:b/>
          <w:color w:val="000000"/>
          <w:sz w:val="22"/>
        </w:rPr>
        <w:t xml:space="preserve">Situação atual: </w:t>
      </w:r>
      <w:r>
        <w:rPr>
          <w:rFonts w:ascii="Arial" w:hAnsi="Arial"/>
          <w:b w:val="0"/>
          <w:color w:val="000000"/>
          <w:sz w:val="22"/>
        </w:rPr>
        <w:t>os blocos B1 a B6 estão concluídos e o B7 começou em 10 de setembro de 2026.</w:t>
      </w:r>
    </w:p>
    <w:p>
      <w:pPr>
        <w:spacing w:after="140" w:before="0" w:line="276" w:lineRule="auto"/>
      </w:pPr>
      <w:r>
        <w:rPr>
          <w:rFonts w:ascii="Arial" w:hAnsi="Arial"/>
          <w:b/>
          <w:color w:val="000000"/>
          <w:sz w:val="22"/>
        </w:rPr>
        <w:t xml:space="preserve">Previsão: </w:t>
      </w:r>
      <w:r>
        <w:rPr>
          <w:rFonts w:ascii="Arial" w:hAnsi="Arial"/>
          <w:b w:val="0"/>
          <w:color w:val="000000"/>
          <w:sz w:val="22"/>
        </w:rPr>
        <w:t>versão piloto pronta para apresentação e uso inicial em 28 de setembro de 2026.</w:t>
      </w:r>
    </w:p>
    <w:p>
      <w:pPr>
        <w:pStyle w:val="Heading1"/>
        <w:keepNext/>
        <w:spacing w:before="280" w:after="120" w:line="240" w:lineRule="auto"/>
      </w:pPr>
      <w:r>
        <w:rPr>
          <w:rFonts w:ascii="Arial" w:hAnsi="Arial"/>
          <w:b/>
          <w:color w:val="000000"/>
          <w:sz w:val="28"/>
        </w:rPr>
        <w:t>Etapas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608"/>
            <w:vAlign w:val="center"/>
            <w:shd w:fill="34495E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2438"/>
            <w:vAlign w:val="center"/>
            <w:shd w:fill="34495E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Prazo</w:t>
            </w:r>
          </w:p>
        </w:tc>
        <w:tc>
          <w:tcPr>
            <w:tcW w:type="dxa" w:w="4592"/>
            <w:vAlign w:val="center"/>
            <w:shd w:fill="34495E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/>
                <w:color w:val="000000"/>
                <w:sz w:val="19"/>
              </w:rPr>
              <w:t>Concluir o B7</w:t>
            </w:r>
          </w:p>
        </w:tc>
        <w:tc>
          <w:tcPr>
            <w:tcW w:type="dxa" w:w="243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 w:val="0"/>
                <w:color w:val="000000"/>
                <w:sz w:val="19"/>
              </w:rPr>
              <w:t>Até 18 set</w:t>
            </w:r>
          </w:p>
        </w:tc>
        <w:tc>
          <w:tcPr>
            <w:tcW w:type="dxa" w:w="4592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 w:val="0"/>
                <w:color w:val="000000"/>
                <w:sz w:val="19"/>
              </w:rPr>
              <w:t>Implementação da versão piloto concluída.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EEF4F7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/>
                <w:color w:val="000000"/>
                <w:sz w:val="19"/>
              </w:rPr>
              <w:t>Testes e correções</w:t>
            </w:r>
          </w:p>
        </w:tc>
        <w:tc>
          <w:tcPr>
            <w:tcW w:type="dxa" w:w="2438"/>
            <w:vAlign w:val="center"/>
            <w:shd w:fill="EEF4F7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 w:val="0"/>
                <w:color w:val="000000"/>
                <w:sz w:val="19"/>
              </w:rPr>
              <w:t>21 a 25 set</w:t>
            </w:r>
          </w:p>
        </w:tc>
        <w:tc>
          <w:tcPr>
            <w:tcW w:type="dxa" w:w="4592"/>
            <w:vAlign w:val="center"/>
            <w:shd w:fill="EEF4F7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 w:val="0"/>
                <w:color w:val="000000"/>
                <w:sz w:val="19"/>
              </w:rPr>
              <w:t>Segurança, fluxos e funcionamento da primeira versão validados.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/>
                <w:color w:val="000000"/>
                <w:sz w:val="19"/>
              </w:rPr>
              <w:t>Disponibilizar a versão piloto</w:t>
            </w:r>
          </w:p>
        </w:tc>
        <w:tc>
          <w:tcPr>
            <w:tcW w:type="dxa" w:w="243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 w:val="0"/>
                <w:color w:val="000000"/>
                <w:sz w:val="19"/>
              </w:rPr>
              <w:t>A partir de 28 set</w:t>
            </w:r>
          </w:p>
        </w:tc>
        <w:tc>
          <w:tcPr>
            <w:tcW w:type="dxa" w:w="4592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 w:val="0"/>
                <w:color w:val="000000"/>
                <w:sz w:val="19"/>
              </w:rPr>
              <w:t>Primeira versão funcional pronta para apresentação e uso inicial.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EEF4F7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/>
                <w:color w:val="000000"/>
                <w:sz w:val="19"/>
              </w:rPr>
              <w:t>Validar com usuários</w:t>
            </w:r>
          </w:p>
        </w:tc>
        <w:tc>
          <w:tcPr>
            <w:tcW w:type="dxa" w:w="2438"/>
            <w:vAlign w:val="center"/>
            <w:shd w:fill="EEF4F7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 w:val="0"/>
                <w:color w:val="000000"/>
                <w:sz w:val="19"/>
              </w:rPr>
              <w:t>Após o lançamento</w:t>
            </w:r>
          </w:p>
        </w:tc>
        <w:tc>
          <w:tcPr>
            <w:tcW w:type="dxa" w:w="4592"/>
            <w:vAlign w:val="center"/>
            <w:shd w:fill="EEF4F7"/>
            <w:tcMar>
              <w:top w:w="145" w:type="dxa"/>
              <w:start w:w="150" w:type="dxa"/>
              <w:bottom w:w="145" w:type="dxa"/>
              <w:end w:w="150" w:type="dxa"/>
            </w:tcMar>
          </w:tcPr>
          <w:p>
            <w:pPr>
              <w:spacing w:after="0" w:line="259" w:lineRule="auto" w:before="0"/>
            </w:pPr>
            <w:r>
              <w:rPr>
                <w:rFonts w:ascii="Arial" w:hAnsi="Arial"/>
                <w:b w:val="0"/>
                <w:color w:val="000000"/>
                <w:sz w:val="19"/>
              </w:rPr>
              <w:t>Coletar feedback e decidir as próximas melhorias do produto.</w:t>
            </w:r>
          </w:p>
        </w:tc>
      </w:tr>
    </w:tbl>
    <w:p>
      <w:pPr>
        <w:pStyle w:val="Heading1"/>
        <w:keepNext/>
        <w:spacing w:before="280" w:after="120" w:line="240" w:lineRule="auto"/>
      </w:pPr>
      <w:r>
        <w:rPr>
          <w:rFonts w:ascii="Arial" w:hAnsi="Arial"/>
          <w:b/>
          <w:color w:val="000000"/>
          <w:sz w:val="28"/>
        </w:rPr>
        <w:t>Validação após o lançamento</w:t>
      </w:r>
    </w:p>
    <w:p>
      <w:pPr>
        <w:pStyle w:val="ListBullet"/>
        <w:spacing w:after="60" w:before="0" w:line="269" w:lineRule="auto"/>
      </w:pPr>
      <w:r>
        <w:rPr>
          <w:rFonts w:ascii="Arial" w:hAnsi="Arial"/>
          <w:b w:val="0"/>
          <w:color w:val="000000"/>
          <w:sz w:val="21"/>
        </w:rPr>
        <w:t>se os síndicos confiam nas respostas e nas fontes;</w:t>
      </w:r>
    </w:p>
    <w:p>
      <w:pPr>
        <w:pStyle w:val="ListBullet"/>
        <w:spacing w:after="60" w:before="0" w:line="269" w:lineRule="auto"/>
      </w:pPr>
      <w:r>
        <w:rPr>
          <w:rFonts w:ascii="Arial" w:hAnsi="Arial"/>
          <w:b w:val="0"/>
          <w:color w:val="000000"/>
          <w:sz w:val="21"/>
        </w:rPr>
        <w:t>se o produto reduz o tempo gasto para encontrar informações;</w:t>
      </w:r>
    </w:p>
    <w:p>
      <w:pPr>
        <w:pStyle w:val="ListBullet"/>
        <w:spacing w:after="60" w:before="0" w:line="269" w:lineRule="auto"/>
      </w:pPr>
      <w:r>
        <w:rPr>
          <w:rFonts w:ascii="Arial" w:hAnsi="Arial"/>
          <w:b w:val="0"/>
          <w:color w:val="000000"/>
          <w:sz w:val="21"/>
        </w:rPr>
        <w:t>se os usuários voltam a utilizar o sistema;</w:t>
      </w:r>
    </w:p>
    <w:p>
      <w:pPr>
        <w:pStyle w:val="ListBullet"/>
        <w:spacing w:after="60" w:before="0" w:line="269" w:lineRule="auto"/>
      </w:pPr>
      <w:r>
        <w:rPr>
          <w:rFonts w:ascii="Arial" w:hAnsi="Arial"/>
          <w:b w:val="0"/>
          <w:color w:val="000000"/>
          <w:sz w:val="21"/>
        </w:rPr>
        <w:t>se existe disposição de pagar pelo serviço;</w:t>
      </w:r>
    </w:p>
    <w:p>
      <w:pPr>
        <w:pStyle w:val="ListBullet"/>
        <w:spacing w:after="60" w:before="0" w:line="269" w:lineRule="auto"/>
      </w:pPr>
      <w:r>
        <w:rPr>
          <w:rFonts w:ascii="Arial" w:hAnsi="Arial"/>
          <w:b w:val="0"/>
          <w:color w:val="000000"/>
          <w:sz w:val="21"/>
        </w:rPr>
        <w:t>se o custo por condomínio é sustentável.</w:t>
      </w:r>
    </w:p>
    <w:p>
      <w:pPr>
        <w:pStyle w:val="Heading1"/>
        <w:keepNext/>
        <w:spacing w:before="280" w:after="120" w:line="240" w:lineRule="auto"/>
      </w:pPr>
      <w:r>
        <w:rPr>
          <w:rFonts w:ascii="Arial" w:hAnsi="Arial"/>
          <w:b/>
          <w:color w:val="000000"/>
          <w:sz w:val="28"/>
        </w:rPr>
        <w:t>Escopo da versão piloto</w:t>
      </w:r>
    </w:p>
    <w:p>
      <w:pPr>
        <w:spacing w:before="0" w:after="140" w:line="276" w:lineRule="auto"/>
      </w:pPr>
      <w:r>
        <w:rPr>
          <w:rFonts w:ascii="Arial" w:hAnsi="Arial"/>
          <w:b/>
          <w:color w:val="000000"/>
          <w:sz w:val="22"/>
        </w:rPr>
        <w:t xml:space="preserve">Incluído: </w:t>
      </w:r>
      <w:r>
        <w:rPr>
          <w:rFonts w:ascii="Arial" w:hAnsi="Arial"/>
          <w:b w:val="0"/>
          <w:color w:val="000000"/>
          <w:sz w:val="22"/>
        </w:rPr>
        <w:t>documentos separados por condomínio, perguntas, respostas com citações, conflitos, abstenção e feedback.</w:t>
      </w:r>
    </w:p>
    <w:p>
      <w:pPr>
        <w:spacing w:before="0" w:after="140" w:line="276" w:lineRule="auto"/>
      </w:pPr>
      <w:r>
        <w:rPr>
          <w:rFonts w:ascii="Arial" w:hAnsi="Arial"/>
          <w:b/>
          <w:color w:val="000000"/>
          <w:sz w:val="22"/>
        </w:rPr>
        <w:t xml:space="preserve">Depois da versão piloto: </w:t>
      </w:r>
      <w:r>
        <w:rPr>
          <w:rFonts w:ascii="Arial" w:hAnsi="Arial"/>
          <w:b w:val="0"/>
          <w:color w:val="000000"/>
          <w:sz w:val="22"/>
        </w:rPr>
        <w:t>resumos, comunicados, obrigações, integrações e pesquisa estratégica com dados agregados.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b w:val="0"/>
        <w:color w:val="000000"/>
        <w:sz w:val="16"/>
      </w:rPr>
      <w:t>Versão piloto do MVP | Zermatt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 w:before="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69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da versão piloto do MVP</dc:title>
  <dc:subject>Conselheiro documental para síndicos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