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A7630" w14:textId="77777777" w:rsidR="00E66264" w:rsidRDefault="00AC28CB">
      <w:pPr>
        <w:pStyle w:val="Title"/>
      </w:pPr>
      <w:r>
        <w:t>The Icelandic Flag</w:t>
      </w:r>
    </w:p>
    <w:p w14:paraId="00F4E097" w14:textId="77777777" w:rsidR="00E66264" w:rsidRDefault="00E66264">
      <w:pPr>
        <w:pStyle w:val="BodyText"/>
        <w:jc w:val="both"/>
      </w:pPr>
    </w:p>
    <w:p w14:paraId="4D58A977" w14:textId="77777777" w:rsidR="00E66264" w:rsidRDefault="00AC28CB">
      <w:pPr>
        <w:pStyle w:val="BodyText"/>
        <w:jc w:val="both"/>
      </w:pPr>
      <w:r>
        <w:t xml:space="preserve">The </w:t>
      </w:r>
      <w:r>
        <w:rPr>
          <w:b/>
        </w:rPr>
        <w:t>flag of Iceland</w:t>
      </w:r>
      <w:r>
        <w:t xml:space="preserve"> (</w:t>
      </w:r>
      <w:r>
        <w:t>Icelandic</w:t>
      </w:r>
      <w:r>
        <w:t xml:space="preserve">: </w:t>
      </w:r>
      <w:r>
        <w:rPr>
          <w:i/>
          <w:lang w:val="is-IS"/>
        </w:rPr>
        <w:t>íslenski fáninn</w:t>
      </w:r>
      <w:r>
        <w:t xml:space="preserve">) was officially described in Law No. 34, set out on 17 June 1944, the day </w:t>
      </w:r>
      <w:hyperlink r:id="rId5">
        <w:r>
          <w:rPr>
            <w:rStyle w:val="Hyperlink"/>
            <w:color w:val="auto"/>
            <w:u w:val="none"/>
            <w:lang w:val="en-US" w:eastAsia="zh-CN" w:bidi="hi-IN"/>
          </w:rPr>
          <w:t>Iceland</w:t>
        </w:r>
      </w:hyperlink>
      <w:r>
        <w:t xml:space="preserve"> became a </w:t>
      </w:r>
      <w:hyperlink r:id="rId6">
        <w:r>
          <w:rPr>
            <w:rStyle w:val="Hyperlink"/>
            <w:color w:val="auto"/>
            <w:u w:val="none"/>
            <w:lang w:val="en-US" w:eastAsia="zh-CN" w:bidi="hi-IN"/>
          </w:rPr>
          <w:t>republic</w:t>
        </w:r>
      </w:hyperlink>
      <w:r>
        <w:t xml:space="preserve">. The law is entitled "The Law of the National Flag of Icelanders and the State Arms" and describes the Icelandic flag as follows: </w:t>
      </w:r>
    </w:p>
    <w:p w14:paraId="5D6A254D" w14:textId="77777777" w:rsidR="00E66264" w:rsidRDefault="00AC28CB">
      <w:pPr>
        <w:pStyle w:val="Quotations"/>
        <w:jc w:val="both"/>
      </w:pPr>
      <w:r>
        <w:t>The civil national flag of Icelanders is blue as the sky wit</w:t>
      </w:r>
      <w:r>
        <w:t>h a snow-white cross, and a fiery-red cross inside the white cross. The arms of the cross extend to the edge of the flag, and their combined width is ​</w:t>
      </w:r>
      <w:r>
        <w:rPr>
          <w:position w:val="8"/>
          <w:sz w:val="19"/>
        </w:rPr>
        <w:t>2</w:t>
      </w:r>
      <w:r>
        <w:t>⁄</w:t>
      </w:r>
      <w:r>
        <w:rPr>
          <w:position w:val="-2"/>
          <w:sz w:val="19"/>
        </w:rPr>
        <w:t>9</w:t>
      </w:r>
      <w:r>
        <w:t>, but the red cross ​</w:t>
      </w:r>
      <w:r>
        <w:rPr>
          <w:position w:val="8"/>
          <w:sz w:val="19"/>
        </w:rPr>
        <w:t>1</w:t>
      </w:r>
      <w:r>
        <w:t>⁄</w:t>
      </w:r>
      <w:r>
        <w:rPr>
          <w:position w:val="-2"/>
          <w:sz w:val="19"/>
        </w:rPr>
        <w:t>9</w:t>
      </w:r>
      <w:r>
        <w:t xml:space="preserve"> of the combined width of the flag. The blue areas are right angled rectangles</w:t>
      </w:r>
      <w:r>
        <w:t>, the rectilinear surfaces are parallel and the outer rectilinear surfaces as wide as them, but twice the length. The dimensions between the width and length are 18:25.</w:t>
      </w:r>
    </w:p>
    <w:p w14:paraId="4C25F5EE" w14:textId="77777777" w:rsidR="00E66264" w:rsidRDefault="00AC28CB">
      <w:pPr>
        <w:pStyle w:val="BodyText"/>
        <w:jc w:val="both"/>
      </w:pPr>
      <w:r>
        <w:t>Iceland's first national flag was a white cross on a deep blue background. It was first</w:t>
      </w:r>
      <w:r>
        <w:t xml:space="preserve"> shown in parade in 1897. The modern flag dates from 1915, when a red cross was inserted into the white cross of the original flag. This cross represents </w:t>
      </w:r>
      <w:r>
        <w:t>Christianity</w:t>
      </w:r>
      <w:r>
        <w:t>. It was adopted and became the national flag when Iceland gained independence from Denmar</w:t>
      </w:r>
      <w:r>
        <w:t xml:space="preserve">k in 1918. For the Icelandic </w:t>
      </w:r>
      <w:proofErr w:type="gramStart"/>
      <w:r>
        <w:t>people</w:t>
      </w:r>
      <w:proofErr w:type="gramEnd"/>
      <w:r>
        <w:t xml:space="preserve"> the flag's </w:t>
      </w:r>
      <w:proofErr w:type="spellStart"/>
      <w:r>
        <w:t>colouring</w:t>
      </w:r>
      <w:proofErr w:type="spellEnd"/>
      <w:r>
        <w:t xml:space="preserve"> represents a vision of their country's landscape. The </w:t>
      </w:r>
      <w:proofErr w:type="spellStart"/>
      <w:r>
        <w:t>colours</w:t>
      </w:r>
      <w:proofErr w:type="spellEnd"/>
      <w:r>
        <w:t xml:space="preserve"> stand for 3 of the elements that make up the island. Red is the fire produced by the island's volcanoes, white recalls the ice and snow t</w:t>
      </w:r>
      <w:r>
        <w:t>hat covers Iceland, and blue is for the mountains of the island.</w:t>
      </w:r>
    </w:p>
    <w:p w14:paraId="67588812" w14:textId="77777777" w:rsidR="00E66264" w:rsidRDefault="00AC28CB">
      <w:pPr>
        <w:pStyle w:val="Heading2"/>
        <w:jc w:val="both"/>
      </w:pPr>
      <w:bookmarkStart w:id="0" w:name="History"/>
      <w:bookmarkEnd w:id="0"/>
      <w:r>
        <w:t>History</w:t>
      </w:r>
    </w:p>
    <w:p w14:paraId="4A6907DC" w14:textId="77777777" w:rsidR="00E66264" w:rsidRDefault="00AC28CB">
      <w:pPr>
        <w:pStyle w:val="BodyText"/>
        <w:spacing w:after="0"/>
        <w:jc w:val="both"/>
      </w:pPr>
      <w:r>
        <w:t xml:space="preserve"> </w:t>
      </w:r>
    </w:p>
    <w:p w14:paraId="3A5F5D49" w14:textId="77777777" w:rsidR="00E66264" w:rsidRDefault="00AC28CB">
      <w:pPr>
        <w:pStyle w:val="BodyText"/>
        <w:jc w:val="both"/>
      </w:pPr>
      <w:r>
        <w:rPr>
          <w:noProof/>
        </w:rPr>
        <w:drawing>
          <wp:anchor distT="0" distB="0" distL="0" distR="0" simplePos="0" relativeHeight="5" behindDoc="0" locked="0" layoutInCell="0" allowOverlap="1" wp14:anchorId="04B5C91E" wp14:editId="4CF13799">
            <wp:simplePos x="0" y="0"/>
            <wp:positionH relativeFrom="column">
              <wp:posOffset>4215130</wp:posOffset>
            </wp:positionH>
            <wp:positionV relativeFrom="paragraph">
              <wp:posOffset>4445</wp:posOffset>
            </wp:positionV>
            <wp:extent cx="2114550" cy="2809875"/>
            <wp:effectExtent l="0" t="0" r="0" b="0"/>
            <wp:wrapSquare wrapText="largest"/>
            <wp:docPr id="1" name="Image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a:hlinkClick r:id="rId7"/>
                    </pic:cNvPr>
                    <pic:cNvPicPr>
                      <a:picLocks noChangeAspect="1" noChangeArrowheads="1"/>
                    </pic:cNvPicPr>
                  </pic:nvPicPr>
                  <pic:blipFill>
                    <a:blip r:embed="rId8"/>
                    <a:srcRect l="-2491"/>
                    <a:stretch>
                      <a:fillRect/>
                    </a:stretch>
                  </pic:blipFill>
                  <pic:spPr bwMode="auto">
                    <a:xfrm>
                      <a:off x="0" y="0"/>
                      <a:ext cx="2114550" cy="2809875"/>
                    </a:xfrm>
                    <a:prstGeom prst="rect">
                      <a:avLst/>
                    </a:prstGeom>
                  </pic:spPr>
                </pic:pic>
              </a:graphicData>
            </a:graphic>
          </wp:anchor>
        </w:drawing>
      </w:r>
      <w:r>
        <w:t>Old Icelandic flag (which was never an official flag) in the National Museum of Iceland, in Reykjavik, Iceland.</w:t>
      </w:r>
    </w:p>
    <w:p w14:paraId="778A959A" w14:textId="77777777" w:rsidR="00E66264" w:rsidRDefault="00AC28CB">
      <w:pPr>
        <w:pStyle w:val="BodyText"/>
        <w:jc w:val="both"/>
      </w:pPr>
      <w:r>
        <w:t xml:space="preserve">According to a legend described in Andrew Evans' </w:t>
      </w:r>
      <w:r>
        <w:rPr>
          <w:i/>
        </w:rPr>
        <w:t>Iceland</w:t>
      </w:r>
      <w:r>
        <w:t>, a red cloth with a white cross fell from the heavens, ensuring Danish victory at the Battle of Valdemar in the 13th century. Denmark then used the cross on its flag throughout its Nordic territories as a sign of divine right. Upon Iceland's independence,</w:t>
      </w:r>
      <w:r>
        <w:t xml:space="preserve"> they continued to use the Christian symbol. </w:t>
      </w:r>
    </w:p>
    <w:p w14:paraId="1A9A3E37" w14:textId="77777777" w:rsidR="00E66264" w:rsidRDefault="00AC28CB">
      <w:pPr>
        <w:pStyle w:val="BodyText"/>
        <w:jc w:val="both"/>
      </w:pPr>
      <w:r>
        <w:t>The civil flag of Iceland had been used as an unofficial symbol since 1913. It was officially adopted on 19 June 1915, to represent Iceland, and has been in use at sea since 1 December 1918, when Iceland became</w:t>
      </w:r>
      <w:r>
        <w:t xml:space="preserve"> a separate Kingdom in union with Denmark. Other symbolic meanings refer to the natural features of Iceland itself. Blue is the </w:t>
      </w:r>
      <w:proofErr w:type="spellStart"/>
      <w:r>
        <w:t>colour</w:t>
      </w:r>
      <w:proofErr w:type="spellEnd"/>
      <w:r>
        <w:t xml:space="preserve"> of the mountains when looked at from the coast, white represents the snow and ice covering the island for most of the yea</w:t>
      </w:r>
      <w:r>
        <w:t>r, and red the volcanoes on the island.</w:t>
      </w:r>
    </w:p>
    <w:p w14:paraId="2A5194D4" w14:textId="77777777" w:rsidR="00E66264" w:rsidRDefault="00AC28CB">
      <w:pPr>
        <w:pStyle w:val="BodyText"/>
        <w:spacing w:before="270" w:after="270"/>
        <w:ind w:left="270" w:right="270"/>
        <w:jc w:val="center"/>
      </w:pPr>
      <w:r>
        <w:rPr>
          <w:noProof/>
        </w:rPr>
        <w:lastRenderedPageBreak/>
        <w:drawing>
          <wp:inline distT="0" distB="0" distL="0" distR="0" wp14:anchorId="5CEECF28" wp14:editId="508E24EC">
            <wp:extent cx="1924050" cy="1390650"/>
            <wp:effectExtent l="0" t="0" r="0" b="0"/>
            <wp:docPr id="2" name="Image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a:hlinkClick r:id="rId9"/>
                    </pic:cNvPr>
                    <pic:cNvPicPr>
                      <a:picLocks noChangeAspect="1" noChangeArrowheads="1"/>
                    </pic:cNvPicPr>
                  </pic:nvPicPr>
                  <pic:blipFill>
                    <a:blip r:embed="rId10"/>
                    <a:stretch>
                      <a:fillRect/>
                    </a:stretch>
                  </pic:blipFill>
                  <pic:spPr bwMode="auto">
                    <a:xfrm>
                      <a:off x="0" y="0"/>
                      <a:ext cx="1924050" cy="1390650"/>
                    </a:xfrm>
                    <a:prstGeom prst="rect">
                      <a:avLst/>
                    </a:prstGeom>
                  </pic:spPr>
                </pic:pic>
              </a:graphicData>
            </a:graphic>
          </wp:inline>
        </w:drawing>
      </w:r>
    </w:p>
    <w:p w14:paraId="16C7627C" w14:textId="77777777" w:rsidR="00E66264" w:rsidRDefault="00AC28CB">
      <w:pPr>
        <w:pStyle w:val="BodyText"/>
        <w:jc w:val="center"/>
      </w:pPr>
      <w:r>
        <w:t xml:space="preserve">The civil flag as it appeared between 1918 and 1944, when the blue </w:t>
      </w:r>
      <w:proofErr w:type="spellStart"/>
      <w:r>
        <w:t>colour</w:t>
      </w:r>
      <w:proofErr w:type="spellEnd"/>
      <w:r>
        <w:t xml:space="preserve"> was classified as "ultramarine blue". It has an aspect ratio of 18:25. </w:t>
      </w:r>
    </w:p>
    <w:p w14:paraId="7A19DDE0" w14:textId="77777777" w:rsidR="00E66264" w:rsidRDefault="00AC28CB">
      <w:pPr>
        <w:pStyle w:val="BodyText"/>
        <w:spacing w:before="270" w:after="270"/>
        <w:ind w:left="270" w:right="270"/>
        <w:jc w:val="center"/>
      </w:pPr>
      <w:r>
        <w:rPr>
          <w:noProof/>
        </w:rPr>
        <w:drawing>
          <wp:inline distT="0" distB="0" distL="0" distR="0" wp14:anchorId="782B4115" wp14:editId="2E6CAA2E">
            <wp:extent cx="1924050" cy="1390650"/>
            <wp:effectExtent l="0" t="0" r="0" b="0"/>
            <wp:docPr id="3" name="Image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a:hlinkClick r:id="rId11"/>
                    </pic:cNvPr>
                    <pic:cNvPicPr>
                      <a:picLocks noChangeAspect="1" noChangeArrowheads="1"/>
                    </pic:cNvPicPr>
                  </pic:nvPicPr>
                  <pic:blipFill>
                    <a:blip r:embed="rId12"/>
                    <a:stretch>
                      <a:fillRect/>
                    </a:stretch>
                  </pic:blipFill>
                  <pic:spPr bwMode="auto">
                    <a:xfrm>
                      <a:off x="0" y="0"/>
                      <a:ext cx="1924050" cy="1390650"/>
                    </a:xfrm>
                    <a:prstGeom prst="rect">
                      <a:avLst/>
                    </a:prstGeom>
                  </pic:spPr>
                </pic:pic>
              </a:graphicData>
            </a:graphic>
          </wp:inline>
        </w:drawing>
      </w:r>
    </w:p>
    <w:p w14:paraId="4D61C85F" w14:textId="77777777" w:rsidR="00E66264" w:rsidRDefault="00AC28CB">
      <w:pPr>
        <w:pStyle w:val="BodyText"/>
        <w:ind w:left="707"/>
        <w:jc w:val="center"/>
      </w:pPr>
      <w:r>
        <w:t xml:space="preserve">A former flag which never became official, known as </w:t>
      </w:r>
      <w:proofErr w:type="spellStart"/>
      <w:r>
        <w:rPr>
          <w:i/>
        </w:rPr>
        <w:t>Hvítbláinn</w:t>
      </w:r>
      <w:proofErr w:type="spellEnd"/>
      <w:r>
        <w:t xml:space="preserve"> ("t</w:t>
      </w:r>
      <w:r>
        <w:t xml:space="preserve">he white-blue"), in use by Icelandic republicans around 1900. A very similar design has subsequently been adopted as the flag of Shetland. </w:t>
      </w:r>
    </w:p>
    <w:p w14:paraId="3B50B0DD" w14:textId="77777777" w:rsidR="00E66264" w:rsidRDefault="00AC28CB">
      <w:pPr>
        <w:pStyle w:val="Heading2"/>
        <w:jc w:val="both"/>
      </w:pPr>
      <w:bookmarkStart w:id="1" w:name="Laws_regarding_the_flag"/>
      <w:bookmarkEnd w:id="1"/>
      <w:r>
        <w:t>Laws regarding the flag</w:t>
      </w:r>
    </w:p>
    <w:p w14:paraId="219DEBA6" w14:textId="77777777" w:rsidR="00E66264" w:rsidRDefault="00AC28CB">
      <w:pPr>
        <w:pStyle w:val="BodyText"/>
        <w:jc w:val="both"/>
      </w:pPr>
      <w:r>
        <w:t>On 17 June 1944, the day Iceland became a republic, a law was issued that dealt with the nat</w:t>
      </w:r>
      <w:r>
        <w:t>ional flag and the coat of arms. To date, this is the only major law to have been made about the flag and coat of arms, aside from two laws made in 1991: one that defines official flag days as well as the time of day the flag can be drawn, and another that</w:t>
      </w:r>
      <w:r>
        <w:t xml:space="preserve"> defines the specific </w:t>
      </w:r>
      <w:proofErr w:type="spellStart"/>
      <w:r>
        <w:t>colours</w:t>
      </w:r>
      <w:proofErr w:type="spellEnd"/>
      <w:r>
        <w:t xml:space="preserve"> that the Icelandic flag is composed of (until then, the </w:t>
      </w:r>
      <w:proofErr w:type="spellStart"/>
      <w:r>
        <w:t>colouring</w:t>
      </w:r>
      <w:proofErr w:type="spellEnd"/>
      <w:r>
        <w:t xml:space="preserve"> had followed by convention; the new law set the common custom in stone). </w:t>
      </w:r>
    </w:p>
    <w:p w14:paraId="4265FF38" w14:textId="77777777" w:rsidR="00E66264" w:rsidRDefault="00AC28CB">
      <w:pPr>
        <w:pStyle w:val="BodyText"/>
        <w:jc w:val="both"/>
      </w:pPr>
      <w:r>
        <w:t>The law describes the dimensions of both the common flag and special governmental flag</w:t>
      </w:r>
      <w:r>
        <w:t xml:space="preserve">s used by embassies and the Ministry of Foreign Affairs. It also goes into details of usage, such as how the flag should be attached in different situations such as on a flagpole, a house and on different kinds of ships. </w:t>
      </w:r>
    </w:p>
    <w:p w14:paraId="5DFCDEDC" w14:textId="77777777" w:rsidR="00E66264" w:rsidRDefault="00AC28CB">
      <w:pPr>
        <w:pStyle w:val="BodyText"/>
        <w:jc w:val="both"/>
      </w:pPr>
      <w:r>
        <w:t>According to the law, using the fl</w:t>
      </w:r>
      <w:r>
        <w:t xml:space="preserve">ag is a privilege and not a right. The owner must follow instructions on its usage and make sure that his or her flag is in mint condition regarding </w:t>
      </w:r>
      <w:proofErr w:type="spellStart"/>
      <w:r>
        <w:t>colouring</w:t>
      </w:r>
      <w:proofErr w:type="spellEnd"/>
      <w:r>
        <w:t>, wear and tear. It also states that no-one shall disrespect the flag in act or word, subject to a</w:t>
      </w:r>
      <w:r>
        <w:t xml:space="preserve"> fine or imprisonment of up to one year. </w:t>
      </w:r>
    </w:p>
    <w:p w14:paraId="48FE7DC1" w14:textId="77777777" w:rsidR="00E66264" w:rsidRDefault="00AC28CB">
      <w:pPr>
        <w:pStyle w:val="BodyText"/>
        <w:jc w:val="both"/>
      </w:pPr>
      <w:r>
        <w:t>The original law stated in its seventh article that another law would be set regarding official flag days and the time of day that the flag may be flown, but such a law was not put into effect until almost 50 years</w:t>
      </w:r>
      <w:r>
        <w:t xml:space="preserve"> later in 1991. This law states that the flag shall not be flown until 7 o'clock in the morning, that it should preferably not be flown beyond sunset but that it must not be flown beyond midnight. However, </w:t>
      </w:r>
      <w:r>
        <w:lastRenderedPageBreak/>
        <w:t>if the flag is raised at an outdoor assembly, an o</w:t>
      </w:r>
      <w:r>
        <w:t xml:space="preserve">fficial gathering, </w:t>
      </w:r>
      <w:proofErr w:type="gramStart"/>
      <w:r>
        <w:t>funeral</w:t>
      </w:r>
      <w:proofErr w:type="gramEnd"/>
      <w:r>
        <w:t xml:space="preserve"> or a memorial the flag may be flown as long as the event lasts, though never beyond midnight. </w:t>
      </w:r>
    </w:p>
    <w:p w14:paraId="662B3B2A" w14:textId="77777777" w:rsidR="00E66264" w:rsidRDefault="00AC28CB">
      <w:pPr>
        <w:pStyle w:val="Heading2"/>
        <w:jc w:val="both"/>
      </w:pPr>
      <w:bookmarkStart w:id="2" w:name="Official_flag_days"/>
      <w:bookmarkEnd w:id="2"/>
      <w:r>
        <w:t>Official flag days</w:t>
      </w:r>
    </w:p>
    <w:p w14:paraId="2389A33C" w14:textId="77777777" w:rsidR="00E66264" w:rsidRDefault="00AC28CB">
      <w:pPr>
        <w:pStyle w:val="BodyText"/>
        <w:spacing w:after="0"/>
        <w:jc w:val="both"/>
      </w:pPr>
      <w:r>
        <w:rPr>
          <w:noProof/>
        </w:rPr>
        <w:drawing>
          <wp:anchor distT="0" distB="0" distL="0" distR="0" simplePos="0" relativeHeight="6" behindDoc="0" locked="0" layoutInCell="0" allowOverlap="1" wp14:anchorId="19C981C0" wp14:editId="628370D3">
            <wp:simplePos x="0" y="0"/>
            <wp:positionH relativeFrom="column">
              <wp:posOffset>4485640</wp:posOffset>
            </wp:positionH>
            <wp:positionV relativeFrom="paragraph">
              <wp:posOffset>69215</wp:posOffset>
            </wp:positionV>
            <wp:extent cx="1819275" cy="1368425"/>
            <wp:effectExtent l="0" t="0" r="0" b="0"/>
            <wp:wrapSquare wrapText="largest"/>
            <wp:docPr id="4" name="Image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a:hlinkClick r:id="rId13"/>
                    </pic:cNvPr>
                    <pic:cNvPicPr>
                      <a:picLocks noChangeAspect="1" noChangeArrowheads="1"/>
                    </pic:cNvPicPr>
                  </pic:nvPicPr>
                  <pic:blipFill>
                    <a:blip r:embed="rId14"/>
                    <a:srcRect l="-4671"/>
                    <a:stretch>
                      <a:fillRect/>
                    </a:stretch>
                  </pic:blipFill>
                  <pic:spPr bwMode="auto">
                    <a:xfrm>
                      <a:off x="0" y="0"/>
                      <a:ext cx="1819275" cy="1368425"/>
                    </a:xfrm>
                    <a:prstGeom prst="rect">
                      <a:avLst/>
                    </a:prstGeom>
                  </pic:spPr>
                </pic:pic>
              </a:graphicData>
            </a:graphic>
          </wp:anchor>
        </w:drawing>
      </w:r>
    </w:p>
    <w:p w14:paraId="7247FAA1" w14:textId="77777777" w:rsidR="00E66264" w:rsidRDefault="00AC28CB">
      <w:pPr>
        <w:pStyle w:val="BodyText"/>
        <w:jc w:val="both"/>
      </w:pPr>
      <w:r>
        <w:t xml:space="preserve">According to Law No. 5 of 23 January 1991, the following are nationally sanctioned flag days. On these </w:t>
      </w:r>
      <w:proofErr w:type="gramStart"/>
      <w:r>
        <w:t>days</w:t>
      </w:r>
      <w:proofErr w:type="gramEnd"/>
      <w:r>
        <w:t xml:space="preserve"> the f</w:t>
      </w:r>
      <w:r>
        <w:t xml:space="preserve">lag must be raised at official buildings, and those under the supervision of officials and special representatives of the state. Any additions to the list below can be decided each year by the Prime Minister's Office. On these days, the flag must be fully </w:t>
      </w:r>
      <w:r>
        <w:t xml:space="preserve">drawn, except on Good Friday where it must be drawn at half-mast. </w:t>
      </w:r>
    </w:p>
    <w:p w14:paraId="4E66D76B" w14:textId="77777777" w:rsidR="00E66264" w:rsidRDefault="00AC28CB">
      <w:pPr>
        <w:pStyle w:val="BodyText"/>
        <w:numPr>
          <w:ilvl w:val="0"/>
          <w:numId w:val="2"/>
        </w:numPr>
        <w:tabs>
          <w:tab w:val="clear" w:pos="707"/>
          <w:tab w:val="left" w:pos="0"/>
        </w:tabs>
        <w:spacing w:after="0"/>
        <w:jc w:val="both"/>
      </w:pPr>
      <w:r>
        <w:t xml:space="preserve">The birthday of the President of Iceland, currently the 26th of June </w:t>
      </w:r>
    </w:p>
    <w:p w14:paraId="5A62F11F" w14:textId="77777777" w:rsidR="00E66264" w:rsidRDefault="00AC28CB">
      <w:pPr>
        <w:pStyle w:val="BodyText"/>
        <w:numPr>
          <w:ilvl w:val="0"/>
          <w:numId w:val="2"/>
        </w:numPr>
        <w:tabs>
          <w:tab w:val="clear" w:pos="707"/>
          <w:tab w:val="left" w:pos="0"/>
        </w:tabs>
        <w:spacing w:after="0"/>
        <w:jc w:val="both"/>
      </w:pPr>
      <w:r>
        <w:t xml:space="preserve">New Year's Day </w:t>
      </w:r>
    </w:p>
    <w:p w14:paraId="20C91685" w14:textId="77777777" w:rsidR="00E66264" w:rsidRDefault="00AC28CB">
      <w:pPr>
        <w:pStyle w:val="BodyText"/>
        <w:numPr>
          <w:ilvl w:val="0"/>
          <w:numId w:val="2"/>
        </w:numPr>
        <w:tabs>
          <w:tab w:val="clear" w:pos="707"/>
          <w:tab w:val="left" w:pos="0"/>
        </w:tabs>
        <w:spacing w:after="0"/>
        <w:jc w:val="both"/>
      </w:pPr>
      <w:r>
        <w:t xml:space="preserve">Good Friday </w:t>
      </w:r>
    </w:p>
    <w:p w14:paraId="5D71A124" w14:textId="77777777" w:rsidR="00E66264" w:rsidRDefault="00AC28CB">
      <w:pPr>
        <w:pStyle w:val="BodyText"/>
        <w:numPr>
          <w:ilvl w:val="0"/>
          <w:numId w:val="2"/>
        </w:numPr>
        <w:tabs>
          <w:tab w:val="clear" w:pos="707"/>
          <w:tab w:val="left" w:pos="0"/>
        </w:tabs>
        <w:spacing w:after="0"/>
        <w:jc w:val="both"/>
      </w:pPr>
      <w:r>
        <w:t xml:space="preserve">Easter </w:t>
      </w:r>
    </w:p>
    <w:p w14:paraId="6B3FBE16" w14:textId="77777777" w:rsidR="00E66264" w:rsidRDefault="00AC28CB">
      <w:pPr>
        <w:pStyle w:val="BodyText"/>
        <w:numPr>
          <w:ilvl w:val="0"/>
          <w:numId w:val="2"/>
        </w:numPr>
        <w:tabs>
          <w:tab w:val="clear" w:pos="707"/>
          <w:tab w:val="left" w:pos="0"/>
        </w:tabs>
        <w:spacing w:after="0"/>
        <w:jc w:val="both"/>
      </w:pPr>
      <w:r>
        <w:t xml:space="preserve">First Day of Summer </w:t>
      </w:r>
    </w:p>
    <w:p w14:paraId="076C544C" w14:textId="77777777" w:rsidR="00E66264" w:rsidRDefault="00AC28CB">
      <w:pPr>
        <w:pStyle w:val="BodyText"/>
        <w:numPr>
          <w:ilvl w:val="0"/>
          <w:numId w:val="2"/>
        </w:numPr>
        <w:tabs>
          <w:tab w:val="clear" w:pos="707"/>
          <w:tab w:val="left" w:pos="0"/>
        </w:tabs>
        <w:spacing w:after="0"/>
        <w:jc w:val="both"/>
      </w:pPr>
      <w:r>
        <w:t xml:space="preserve">1 May </w:t>
      </w:r>
    </w:p>
    <w:p w14:paraId="61EA964A" w14:textId="77777777" w:rsidR="00E66264" w:rsidRDefault="00AC28CB">
      <w:pPr>
        <w:pStyle w:val="BodyText"/>
        <w:numPr>
          <w:ilvl w:val="0"/>
          <w:numId w:val="2"/>
        </w:numPr>
        <w:tabs>
          <w:tab w:val="clear" w:pos="707"/>
          <w:tab w:val="left" w:pos="0"/>
        </w:tabs>
        <w:spacing w:after="0"/>
        <w:jc w:val="both"/>
      </w:pPr>
      <w:r>
        <w:t xml:space="preserve">Pentecost </w:t>
      </w:r>
    </w:p>
    <w:p w14:paraId="7F9474F0" w14:textId="77777777" w:rsidR="00E66264" w:rsidRDefault="00AC28CB">
      <w:pPr>
        <w:pStyle w:val="BodyText"/>
        <w:numPr>
          <w:ilvl w:val="0"/>
          <w:numId w:val="2"/>
        </w:numPr>
        <w:tabs>
          <w:tab w:val="clear" w:pos="707"/>
          <w:tab w:val="left" w:pos="0"/>
        </w:tabs>
        <w:spacing w:after="0"/>
        <w:jc w:val="both"/>
      </w:pPr>
      <w:r>
        <w:t xml:space="preserve">Sailors Day </w:t>
      </w:r>
    </w:p>
    <w:p w14:paraId="7D571624" w14:textId="77777777" w:rsidR="00E66264" w:rsidRDefault="00AC28CB">
      <w:pPr>
        <w:pStyle w:val="BodyText"/>
        <w:numPr>
          <w:ilvl w:val="0"/>
          <w:numId w:val="2"/>
        </w:numPr>
        <w:tabs>
          <w:tab w:val="clear" w:pos="707"/>
          <w:tab w:val="left" w:pos="0"/>
        </w:tabs>
        <w:spacing w:after="0"/>
        <w:jc w:val="both"/>
      </w:pPr>
      <w:r>
        <w:t xml:space="preserve">Icelandic National Day </w:t>
      </w:r>
    </w:p>
    <w:p w14:paraId="10F96622" w14:textId="77777777" w:rsidR="00E66264" w:rsidRDefault="00AC28CB">
      <w:pPr>
        <w:pStyle w:val="BodyText"/>
        <w:numPr>
          <w:ilvl w:val="0"/>
          <w:numId w:val="2"/>
        </w:numPr>
        <w:tabs>
          <w:tab w:val="clear" w:pos="707"/>
          <w:tab w:val="left" w:pos="0"/>
        </w:tabs>
        <w:spacing w:after="0"/>
        <w:jc w:val="both"/>
      </w:pPr>
      <w:r>
        <w:t xml:space="preserve">Icelandic Language Day </w:t>
      </w:r>
    </w:p>
    <w:p w14:paraId="4ACFCDFD" w14:textId="77777777" w:rsidR="00E66264" w:rsidRDefault="00AC28CB">
      <w:pPr>
        <w:pStyle w:val="BodyText"/>
        <w:numPr>
          <w:ilvl w:val="0"/>
          <w:numId w:val="2"/>
        </w:numPr>
        <w:tabs>
          <w:tab w:val="clear" w:pos="707"/>
          <w:tab w:val="left" w:pos="0"/>
        </w:tabs>
        <w:spacing w:after="0"/>
        <w:jc w:val="both"/>
      </w:pPr>
      <w:r>
        <w:t xml:space="preserve">1 December, Self-governance Day </w:t>
      </w:r>
    </w:p>
    <w:p w14:paraId="211E4020" w14:textId="77777777" w:rsidR="00E66264" w:rsidRDefault="00AC28CB">
      <w:pPr>
        <w:pStyle w:val="BodyText"/>
        <w:numPr>
          <w:ilvl w:val="0"/>
          <w:numId w:val="2"/>
        </w:numPr>
        <w:tabs>
          <w:tab w:val="clear" w:pos="707"/>
          <w:tab w:val="left" w:pos="0"/>
        </w:tabs>
        <w:jc w:val="both"/>
      </w:pPr>
      <w:r>
        <w:t>Christmas day</w:t>
      </w:r>
    </w:p>
    <w:p w14:paraId="208EBD9B" w14:textId="77777777" w:rsidR="00E66264" w:rsidRDefault="00AC28CB">
      <w:pPr>
        <w:pStyle w:val="Heading2"/>
        <w:jc w:val="both"/>
      </w:pPr>
      <w:bookmarkStart w:id="3" w:name="The_state_flag"/>
      <w:bookmarkEnd w:id="3"/>
      <w:r>
        <w:t xml:space="preserve">The state </w:t>
      </w:r>
      <w:proofErr w:type="gramStart"/>
      <w:r>
        <w:t>flag</w:t>
      </w:r>
      <w:proofErr w:type="gramEnd"/>
    </w:p>
    <w:p w14:paraId="1F0C9CB5" w14:textId="77777777" w:rsidR="00E66264" w:rsidRDefault="00AC28CB">
      <w:pPr>
        <w:pStyle w:val="BodyText"/>
        <w:spacing w:after="0"/>
        <w:jc w:val="both"/>
      </w:pPr>
      <w:r>
        <w:t xml:space="preserve"> </w:t>
      </w:r>
    </w:p>
    <w:p w14:paraId="41E4847A" w14:textId="77777777" w:rsidR="00E66264" w:rsidRDefault="00AC28CB">
      <w:pPr>
        <w:pStyle w:val="BodyText"/>
        <w:jc w:val="both"/>
      </w:pPr>
      <w:r>
        <w:rPr>
          <w:noProof/>
        </w:rPr>
        <w:drawing>
          <wp:anchor distT="0" distB="0" distL="0" distR="0" simplePos="0" relativeHeight="4" behindDoc="0" locked="0" layoutInCell="0" allowOverlap="1" wp14:anchorId="678C32D4" wp14:editId="0886E99A">
            <wp:simplePos x="0" y="0"/>
            <wp:positionH relativeFrom="column">
              <wp:posOffset>4632960</wp:posOffset>
            </wp:positionH>
            <wp:positionV relativeFrom="paragraph">
              <wp:posOffset>64135</wp:posOffset>
            </wp:positionV>
            <wp:extent cx="1638300" cy="2181225"/>
            <wp:effectExtent l="0" t="0" r="0" b="0"/>
            <wp:wrapSquare wrapText="largest"/>
            <wp:docPr id="5" name="Image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a:hlinkClick r:id="rId15"/>
                    </pic:cNvPr>
                    <pic:cNvPicPr>
                      <a:picLocks noChangeAspect="1" noChangeArrowheads="1"/>
                    </pic:cNvPicPr>
                  </pic:nvPicPr>
                  <pic:blipFill>
                    <a:blip r:embed="rId16"/>
                    <a:srcRect l="-6044"/>
                    <a:stretch>
                      <a:fillRect/>
                    </a:stretch>
                  </pic:blipFill>
                  <pic:spPr bwMode="auto">
                    <a:xfrm>
                      <a:off x="0" y="0"/>
                      <a:ext cx="1638300" cy="2181225"/>
                    </a:xfrm>
                    <a:prstGeom prst="rect">
                      <a:avLst/>
                    </a:prstGeom>
                  </pic:spPr>
                </pic:pic>
              </a:graphicData>
            </a:graphic>
          </wp:anchor>
        </w:drawing>
      </w:r>
      <w:r>
        <w:t>The Icelandic state flag (</w:t>
      </w:r>
      <w:proofErr w:type="spellStart"/>
      <w:r>
        <w:rPr>
          <w:i/>
        </w:rPr>
        <w:t>Ríkisfáni</w:t>
      </w:r>
      <w:proofErr w:type="spellEnd"/>
      <w:r>
        <w:t xml:space="preserve">), known as the </w:t>
      </w:r>
      <w:proofErr w:type="spellStart"/>
      <w:r>
        <w:rPr>
          <w:i/>
        </w:rPr>
        <w:t>Tjúgufáni</w:t>
      </w:r>
      <w:proofErr w:type="spellEnd"/>
      <w:r>
        <w:t>, was first flown on 1 December 1918 from the house of ministry offices, although l</w:t>
      </w:r>
      <w:r>
        <w:t xml:space="preserve">aws regarding its uses had not been finished. It </w:t>
      </w:r>
      <w:proofErr w:type="gramStart"/>
      <w:r>
        <w:t>wasn't</w:t>
      </w:r>
      <w:proofErr w:type="gramEnd"/>
      <w:r>
        <w:t xml:space="preserve"> until 12 February 1919 that such a law was enacted. </w:t>
      </w:r>
    </w:p>
    <w:p w14:paraId="76BB030D" w14:textId="77777777" w:rsidR="00E66264" w:rsidRDefault="00AC28CB">
      <w:pPr>
        <w:pStyle w:val="BodyText"/>
        <w:jc w:val="both"/>
      </w:pPr>
      <w:r>
        <w:t xml:space="preserve">The State flag is used on governmental buildings and embassies. It is also permitted to use the flag on other </w:t>
      </w:r>
      <w:proofErr w:type="gramStart"/>
      <w:r>
        <w:t>buildings, if</w:t>
      </w:r>
      <w:proofErr w:type="gramEnd"/>
      <w:r>
        <w:t xml:space="preserve"> they are being used by </w:t>
      </w:r>
      <w:r>
        <w:t xml:space="preserve">the government in some fashion. The </w:t>
      </w:r>
      <w:proofErr w:type="spellStart"/>
      <w:r>
        <w:rPr>
          <w:i/>
        </w:rPr>
        <w:t>Tjúgufáni</w:t>
      </w:r>
      <w:proofErr w:type="spellEnd"/>
      <w:r>
        <w:t xml:space="preserve"> is the Naval Ensign of the Icelandic Coast Guard as well, and state ships and other ships put to official uses are permitted to use it. </w:t>
      </w:r>
    </w:p>
    <w:p w14:paraId="7F70F58A" w14:textId="77777777" w:rsidR="00E66264" w:rsidRDefault="00AC28CB">
      <w:pPr>
        <w:pStyle w:val="BodyText"/>
        <w:jc w:val="both"/>
      </w:pPr>
      <w:r>
        <w:t>The Customs service flag is used on buildings used by the Icelandic Custo</w:t>
      </w:r>
      <w:r>
        <w:t xml:space="preserve">ms service and Customs checkpoints, as well as ships used by the Icelandic Customs service. </w:t>
      </w:r>
    </w:p>
    <w:p w14:paraId="2B88BE06" w14:textId="77777777" w:rsidR="00E66264" w:rsidRDefault="00AC28CB">
      <w:pPr>
        <w:pStyle w:val="BodyText"/>
        <w:jc w:val="both"/>
      </w:pPr>
      <w:r>
        <w:lastRenderedPageBreak/>
        <w:t xml:space="preserve">The Icelandic Presidential flag is used on the dwellings of the President as well as any vehicles that are used to transport him or her. </w:t>
      </w:r>
    </w:p>
    <w:p w14:paraId="37EEAEA4" w14:textId="77777777" w:rsidR="00E66264" w:rsidRDefault="00AC28CB">
      <w:pPr>
        <w:pStyle w:val="Heading2"/>
        <w:jc w:val="both"/>
      </w:pPr>
      <w:bookmarkStart w:id="4" w:name="Colours_of_the_flag"/>
      <w:bookmarkEnd w:id="4"/>
      <w:proofErr w:type="spellStart"/>
      <w:r>
        <w:t>Colours</w:t>
      </w:r>
      <w:proofErr w:type="spellEnd"/>
      <w:r>
        <w:t xml:space="preserve"> of the flag</w:t>
      </w:r>
    </w:p>
    <w:p w14:paraId="5AAEA7D6" w14:textId="77777777" w:rsidR="00E66264" w:rsidRDefault="00AC28CB">
      <w:pPr>
        <w:pStyle w:val="BodyText"/>
        <w:jc w:val="both"/>
      </w:pPr>
      <w:r>
        <w:t>Offic</w:t>
      </w:r>
      <w:r>
        <w:t xml:space="preserve">ially, the </w:t>
      </w:r>
      <w:proofErr w:type="spellStart"/>
      <w:r>
        <w:t>colours</w:t>
      </w:r>
      <w:proofErr w:type="spellEnd"/>
      <w:r>
        <w:t xml:space="preserve"> of the Icelandic flag follow a law set in 1991 which states that the </w:t>
      </w:r>
      <w:proofErr w:type="spellStart"/>
      <w:r>
        <w:t>colours</w:t>
      </w:r>
      <w:proofErr w:type="spellEnd"/>
      <w:r>
        <w:t xml:space="preserve"> must be the following Standard </w:t>
      </w:r>
      <w:proofErr w:type="spellStart"/>
      <w:r>
        <w:t>Colour</w:t>
      </w:r>
      <w:proofErr w:type="spellEnd"/>
      <w:r>
        <w:t xml:space="preserve"> of Textile (</w:t>
      </w:r>
      <w:proofErr w:type="spellStart"/>
      <w:r>
        <w:rPr>
          <w:i/>
        </w:rPr>
        <w:t>Dictionnaire</w:t>
      </w:r>
      <w:proofErr w:type="spellEnd"/>
      <w:r>
        <w:rPr>
          <w:i/>
        </w:rPr>
        <w:t xml:space="preserve"> </w:t>
      </w:r>
      <w:proofErr w:type="spellStart"/>
      <w:r>
        <w:rPr>
          <w:i/>
        </w:rPr>
        <w:t>Internationale</w:t>
      </w:r>
      <w:proofErr w:type="spellEnd"/>
      <w:r>
        <w:rPr>
          <w:i/>
        </w:rPr>
        <w:t xml:space="preserve"> de la Couleur</w:t>
      </w:r>
      <w:r>
        <w:t xml:space="preserve">) hues: </w:t>
      </w:r>
    </w:p>
    <w:tbl>
      <w:tblPr>
        <w:tblW w:w="3000" w:type="pct"/>
        <w:jc w:val="center"/>
        <w:tblLayout w:type="fixed"/>
        <w:tblCellMar>
          <w:top w:w="29" w:type="dxa"/>
          <w:left w:w="29" w:type="dxa"/>
          <w:bottom w:w="29" w:type="dxa"/>
          <w:right w:w="29" w:type="dxa"/>
        </w:tblCellMar>
        <w:tblLook w:val="04A0" w:firstRow="1" w:lastRow="0" w:firstColumn="1" w:lastColumn="0" w:noHBand="0" w:noVBand="1"/>
      </w:tblPr>
      <w:tblGrid>
        <w:gridCol w:w="1345"/>
        <w:gridCol w:w="980"/>
        <w:gridCol w:w="870"/>
        <w:gridCol w:w="2788"/>
      </w:tblGrid>
      <w:tr w:rsidR="00E66264" w14:paraId="7E573E8B" w14:textId="77777777">
        <w:trPr>
          <w:jc w:val="center"/>
        </w:trPr>
        <w:tc>
          <w:tcPr>
            <w:tcW w:w="1344" w:type="dxa"/>
            <w:shd w:val="clear" w:color="auto" w:fill="EEEEEE"/>
            <w:vAlign w:val="center"/>
          </w:tcPr>
          <w:p w14:paraId="7969A9E9" w14:textId="77777777" w:rsidR="00E66264" w:rsidRDefault="00AC28CB">
            <w:pPr>
              <w:pStyle w:val="TableHeading"/>
              <w:jc w:val="both"/>
            </w:pPr>
            <w:r>
              <w:t xml:space="preserve">Scheme </w:t>
            </w:r>
          </w:p>
        </w:tc>
        <w:tc>
          <w:tcPr>
            <w:tcW w:w="980" w:type="dxa"/>
            <w:shd w:val="clear" w:color="auto" w:fill="02529C"/>
            <w:vAlign w:val="center"/>
          </w:tcPr>
          <w:p w14:paraId="65A8426F" w14:textId="77777777" w:rsidR="00E66264" w:rsidRDefault="00AC28CB">
            <w:pPr>
              <w:pStyle w:val="TableHeading"/>
              <w:jc w:val="both"/>
              <w:rPr>
                <w:color w:val="FFFFFF"/>
              </w:rPr>
            </w:pPr>
            <w:r>
              <w:rPr>
                <w:color w:val="FFFFFF"/>
              </w:rPr>
              <w:t xml:space="preserve">Blue </w:t>
            </w:r>
          </w:p>
        </w:tc>
        <w:tc>
          <w:tcPr>
            <w:tcW w:w="870" w:type="dxa"/>
            <w:shd w:val="clear" w:color="auto" w:fill="FFFFFF"/>
            <w:vAlign w:val="center"/>
          </w:tcPr>
          <w:p w14:paraId="030980A8" w14:textId="77777777" w:rsidR="00E66264" w:rsidRDefault="00AC28CB">
            <w:pPr>
              <w:pStyle w:val="TableHeading"/>
              <w:jc w:val="both"/>
            </w:pPr>
            <w:r>
              <w:t xml:space="preserve">White </w:t>
            </w:r>
          </w:p>
        </w:tc>
        <w:tc>
          <w:tcPr>
            <w:tcW w:w="2788" w:type="dxa"/>
            <w:shd w:val="clear" w:color="auto" w:fill="DC0E00"/>
            <w:vAlign w:val="center"/>
          </w:tcPr>
          <w:p w14:paraId="1E9968D4" w14:textId="77777777" w:rsidR="00E66264" w:rsidRDefault="00AC28CB">
            <w:pPr>
              <w:pStyle w:val="TableHeading"/>
              <w:jc w:val="both"/>
              <w:rPr>
                <w:color w:val="FFFFFF"/>
              </w:rPr>
            </w:pPr>
            <w:r>
              <w:rPr>
                <w:color w:val="FFFFFF"/>
              </w:rPr>
              <w:t xml:space="preserve">Red </w:t>
            </w:r>
          </w:p>
        </w:tc>
      </w:tr>
      <w:tr w:rsidR="00E66264" w14:paraId="4535669C" w14:textId="77777777">
        <w:trPr>
          <w:jc w:val="center"/>
        </w:trPr>
        <w:tc>
          <w:tcPr>
            <w:tcW w:w="1344" w:type="dxa"/>
            <w:shd w:val="clear" w:color="auto" w:fill="F9F9F9"/>
            <w:vAlign w:val="center"/>
          </w:tcPr>
          <w:p w14:paraId="74074DCF" w14:textId="77777777" w:rsidR="00E66264" w:rsidRDefault="00AC28CB">
            <w:pPr>
              <w:pStyle w:val="TableContents"/>
              <w:jc w:val="both"/>
            </w:pPr>
            <w:r>
              <w:t xml:space="preserve">SCOTDIC </w:t>
            </w:r>
          </w:p>
        </w:tc>
        <w:tc>
          <w:tcPr>
            <w:tcW w:w="980" w:type="dxa"/>
            <w:shd w:val="clear" w:color="auto" w:fill="F9F9F9"/>
            <w:vAlign w:val="center"/>
          </w:tcPr>
          <w:p w14:paraId="5740ED04" w14:textId="77777777" w:rsidR="00E66264" w:rsidRDefault="00AC28CB">
            <w:pPr>
              <w:pStyle w:val="TableContents"/>
              <w:jc w:val="both"/>
            </w:pPr>
            <w:r>
              <w:t xml:space="preserve">693009 </w:t>
            </w:r>
          </w:p>
        </w:tc>
        <w:tc>
          <w:tcPr>
            <w:tcW w:w="870" w:type="dxa"/>
            <w:shd w:val="clear" w:color="auto" w:fill="F9F9F9"/>
            <w:vAlign w:val="center"/>
          </w:tcPr>
          <w:p w14:paraId="70D1A52A" w14:textId="77777777" w:rsidR="00E66264" w:rsidRDefault="00AC28CB">
            <w:pPr>
              <w:pStyle w:val="TableContents"/>
              <w:jc w:val="both"/>
            </w:pPr>
            <w:r>
              <w:t xml:space="preserve">95 </w:t>
            </w:r>
          </w:p>
        </w:tc>
        <w:tc>
          <w:tcPr>
            <w:tcW w:w="2788" w:type="dxa"/>
            <w:shd w:val="clear" w:color="auto" w:fill="F9F9F9"/>
            <w:vAlign w:val="center"/>
          </w:tcPr>
          <w:p w14:paraId="35BA3FFC" w14:textId="77777777" w:rsidR="00E66264" w:rsidRDefault="00AC28CB">
            <w:pPr>
              <w:pStyle w:val="TableContents"/>
              <w:jc w:val="both"/>
            </w:pPr>
            <w:r>
              <w:t xml:space="preserve">ICELAND FLAG RED </w:t>
            </w:r>
          </w:p>
        </w:tc>
      </w:tr>
    </w:tbl>
    <w:p w14:paraId="2CAE5420" w14:textId="77777777" w:rsidR="00E66264" w:rsidRDefault="00E66264">
      <w:pPr>
        <w:pStyle w:val="BodyText"/>
        <w:jc w:val="both"/>
      </w:pPr>
    </w:p>
    <w:p w14:paraId="36DE2738" w14:textId="77777777" w:rsidR="00E66264" w:rsidRDefault="00AC28CB">
      <w:pPr>
        <w:pStyle w:val="BodyText"/>
        <w:jc w:val="both"/>
      </w:pPr>
      <w:r>
        <w:t xml:space="preserve">The government of Iceland has issued </w:t>
      </w:r>
      <w:proofErr w:type="spellStart"/>
      <w:r>
        <w:t>colour</w:t>
      </w:r>
      <w:proofErr w:type="spellEnd"/>
      <w:r>
        <w:t xml:space="preserve"> specifications in the </w:t>
      </w:r>
      <w:proofErr w:type="gramStart"/>
      <w:r>
        <w:t>better known</w:t>
      </w:r>
      <w:proofErr w:type="gramEnd"/>
      <w:r>
        <w:t xml:space="preserve"> Pantone, CMYK, RGB, hex triplet and Avery systems. </w:t>
      </w:r>
    </w:p>
    <w:tbl>
      <w:tblPr>
        <w:tblW w:w="3000" w:type="pct"/>
        <w:jc w:val="center"/>
        <w:tblLayout w:type="fixed"/>
        <w:tblCellMar>
          <w:top w:w="29" w:type="dxa"/>
          <w:left w:w="29" w:type="dxa"/>
          <w:bottom w:w="29" w:type="dxa"/>
          <w:right w:w="29" w:type="dxa"/>
        </w:tblCellMar>
        <w:tblLook w:val="04A0" w:firstRow="1" w:lastRow="0" w:firstColumn="1" w:lastColumn="0" w:noHBand="0" w:noVBand="1"/>
      </w:tblPr>
      <w:tblGrid>
        <w:gridCol w:w="1076"/>
        <w:gridCol w:w="1676"/>
        <w:gridCol w:w="1676"/>
        <w:gridCol w:w="1555"/>
      </w:tblGrid>
      <w:tr w:rsidR="00E66264" w14:paraId="3961E4FB" w14:textId="77777777">
        <w:trPr>
          <w:jc w:val="center"/>
        </w:trPr>
        <w:tc>
          <w:tcPr>
            <w:tcW w:w="1075" w:type="dxa"/>
            <w:shd w:val="clear" w:color="auto" w:fill="EEEEEE"/>
            <w:vAlign w:val="center"/>
          </w:tcPr>
          <w:p w14:paraId="03934FC9" w14:textId="77777777" w:rsidR="00E66264" w:rsidRDefault="00AC28CB">
            <w:pPr>
              <w:pStyle w:val="TableHeading"/>
              <w:jc w:val="both"/>
            </w:pPr>
            <w:r>
              <w:t xml:space="preserve">Scheme </w:t>
            </w:r>
          </w:p>
        </w:tc>
        <w:tc>
          <w:tcPr>
            <w:tcW w:w="1676" w:type="dxa"/>
            <w:shd w:val="clear" w:color="auto" w:fill="02529C"/>
            <w:vAlign w:val="center"/>
          </w:tcPr>
          <w:p w14:paraId="45688D96" w14:textId="77777777" w:rsidR="00E66264" w:rsidRDefault="00AC28CB">
            <w:pPr>
              <w:pStyle w:val="TableHeading"/>
              <w:jc w:val="both"/>
              <w:rPr>
                <w:color w:val="FFFFFF"/>
              </w:rPr>
            </w:pPr>
            <w:r>
              <w:rPr>
                <w:color w:val="FFFFFF"/>
              </w:rPr>
              <w:t xml:space="preserve">Blue </w:t>
            </w:r>
          </w:p>
        </w:tc>
        <w:tc>
          <w:tcPr>
            <w:tcW w:w="1676" w:type="dxa"/>
            <w:shd w:val="clear" w:color="auto" w:fill="FFFFFF"/>
            <w:vAlign w:val="center"/>
          </w:tcPr>
          <w:p w14:paraId="570C9CD7" w14:textId="77777777" w:rsidR="00E66264" w:rsidRDefault="00AC28CB">
            <w:pPr>
              <w:pStyle w:val="TableHeading"/>
              <w:jc w:val="both"/>
            </w:pPr>
            <w:r>
              <w:t xml:space="preserve">White </w:t>
            </w:r>
          </w:p>
        </w:tc>
        <w:tc>
          <w:tcPr>
            <w:tcW w:w="1555" w:type="dxa"/>
            <w:shd w:val="clear" w:color="auto" w:fill="DC0E00"/>
            <w:vAlign w:val="center"/>
          </w:tcPr>
          <w:p w14:paraId="19E9CCC8" w14:textId="77777777" w:rsidR="00E66264" w:rsidRDefault="00AC28CB">
            <w:pPr>
              <w:pStyle w:val="TableHeading"/>
              <w:jc w:val="both"/>
              <w:rPr>
                <w:color w:val="FFFFFF"/>
              </w:rPr>
            </w:pPr>
            <w:r>
              <w:rPr>
                <w:color w:val="FFFFFF"/>
              </w:rPr>
              <w:t xml:space="preserve">Red </w:t>
            </w:r>
          </w:p>
        </w:tc>
      </w:tr>
      <w:tr w:rsidR="00E66264" w14:paraId="334EA73E" w14:textId="77777777">
        <w:trPr>
          <w:jc w:val="center"/>
        </w:trPr>
        <w:tc>
          <w:tcPr>
            <w:tcW w:w="1075" w:type="dxa"/>
            <w:shd w:val="clear" w:color="auto" w:fill="F9F9F9"/>
            <w:vAlign w:val="center"/>
          </w:tcPr>
          <w:p w14:paraId="7B9A403B" w14:textId="77777777" w:rsidR="00E66264" w:rsidRDefault="00AC28CB">
            <w:pPr>
              <w:pStyle w:val="TableContents"/>
              <w:jc w:val="both"/>
            </w:pPr>
            <w:hyperlink r:id="rId17">
              <w:r>
                <w:rPr>
                  <w:rStyle w:val="Hyperlink"/>
                </w:rPr>
                <w:t>Hex</w:t>
              </w:r>
            </w:hyperlink>
            <w:r>
              <w:t xml:space="preserve"> </w:t>
            </w:r>
          </w:p>
        </w:tc>
        <w:tc>
          <w:tcPr>
            <w:tcW w:w="1676" w:type="dxa"/>
            <w:shd w:val="clear" w:color="auto" w:fill="F9F9F9"/>
            <w:vAlign w:val="center"/>
          </w:tcPr>
          <w:p w14:paraId="679F0979" w14:textId="77777777" w:rsidR="00E66264" w:rsidRDefault="00AC28CB">
            <w:pPr>
              <w:pStyle w:val="TableContents"/>
              <w:jc w:val="both"/>
            </w:pPr>
            <w:r>
              <w:t xml:space="preserve">#02529C </w:t>
            </w:r>
          </w:p>
        </w:tc>
        <w:tc>
          <w:tcPr>
            <w:tcW w:w="1676" w:type="dxa"/>
            <w:shd w:val="clear" w:color="auto" w:fill="F9F9F9"/>
            <w:vAlign w:val="center"/>
          </w:tcPr>
          <w:p w14:paraId="5B3B527A" w14:textId="77777777" w:rsidR="00E66264" w:rsidRDefault="00AC28CB">
            <w:pPr>
              <w:pStyle w:val="TableContents"/>
              <w:jc w:val="both"/>
            </w:pPr>
            <w:r>
              <w:t xml:space="preserve">#FFFFFF </w:t>
            </w:r>
          </w:p>
        </w:tc>
        <w:tc>
          <w:tcPr>
            <w:tcW w:w="1555" w:type="dxa"/>
            <w:shd w:val="clear" w:color="auto" w:fill="F9F9F9"/>
            <w:vAlign w:val="center"/>
          </w:tcPr>
          <w:p w14:paraId="0DD80544" w14:textId="77777777" w:rsidR="00E66264" w:rsidRDefault="00AC28CB">
            <w:pPr>
              <w:pStyle w:val="TableContents"/>
              <w:jc w:val="both"/>
            </w:pPr>
            <w:r>
              <w:t xml:space="preserve">#DC1E35 </w:t>
            </w:r>
          </w:p>
        </w:tc>
      </w:tr>
      <w:tr w:rsidR="00E66264" w14:paraId="51854608" w14:textId="77777777">
        <w:trPr>
          <w:jc w:val="center"/>
        </w:trPr>
        <w:tc>
          <w:tcPr>
            <w:tcW w:w="1075" w:type="dxa"/>
            <w:shd w:val="clear" w:color="auto" w:fill="F9F9F9"/>
            <w:vAlign w:val="center"/>
          </w:tcPr>
          <w:p w14:paraId="6B72CF6F" w14:textId="77777777" w:rsidR="00E66264" w:rsidRDefault="00AC28CB">
            <w:pPr>
              <w:pStyle w:val="TableContents"/>
              <w:jc w:val="both"/>
            </w:pPr>
            <w:hyperlink r:id="rId18">
              <w:r>
                <w:rPr>
                  <w:rStyle w:val="Hyperlink"/>
                </w:rPr>
                <w:t>RGB</w:t>
              </w:r>
            </w:hyperlink>
            <w:r>
              <w:t xml:space="preserve"> </w:t>
            </w:r>
          </w:p>
        </w:tc>
        <w:tc>
          <w:tcPr>
            <w:tcW w:w="1676" w:type="dxa"/>
            <w:shd w:val="clear" w:color="auto" w:fill="F9F9F9"/>
            <w:vAlign w:val="center"/>
          </w:tcPr>
          <w:p w14:paraId="2E8CD454" w14:textId="77777777" w:rsidR="00E66264" w:rsidRDefault="00AC28CB">
            <w:pPr>
              <w:pStyle w:val="TableContents"/>
              <w:jc w:val="both"/>
            </w:pPr>
            <w:r>
              <w:t xml:space="preserve">2, 82, 156 </w:t>
            </w:r>
          </w:p>
        </w:tc>
        <w:tc>
          <w:tcPr>
            <w:tcW w:w="1676" w:type="dxa"/>
            <w:shd w:val="clear" w:color="auto" w:fill="F9F9F9"/>
            <w:vAlign w:val="center"/>
          </w:tcPr>
          <w:p w14:paraId="6BBA6FDB" w14:textId="77777777" w:rsidR="00E66264" w:rsidRDefault="00AC28CB">
            <w:pPr>
              <w:pStyle w:val="TableContents"/>
              <w:jc w:val="both"/>
            </w:pPr>
            <w:r>
              <w:t xml:space="preserve">255, 255, 255 </w:t>
            </w:r>
          </w:p>
        </w:tc>
        <w:tc>
          <w:tcPr>
            <w:tcW w:w="1555" w:type="dxa"/>
            <w:shd w:val="clear" w:color="auto" w:fill="F9F9F9"/>
            <w:vAlign w:val="center"/>
          </w:tcPr>
          <w:p w14:paraId="6A62207D" w14:textId="77777777" w:rsidR="00E66264" w:rsidRDefault="00AC28CB">
            <w:pPr>
              <w:pStyle w:val="TableContents"/>
              <w:jc w:val="both"/>
            </w:pPr>
            <w:r>
              <w:t xml:space="preserve">220, 30, 53 </w:t>
            </w:r>
          </w:p>
        </w:tc>
      </w:tr>
      <w:tr w:rsidR="00E66264" w14:paraId="757D087B" w14:textId="77777777">
        <w:trPr>
          <w:jc w:val="center"/>
        </w:trPr>
        <w:tc>
          <w:tcPr>
            <w:tcW w:w="1075" w:type="dxa"/>
            <w:shd w:val="clear" w:color="auto" w:fill="F9F9F9"/>
            <w:vAlign w:val="center"/>
          </w:tcPr>
          <w:p w14:paraId="00DC8CF5" w14:textId="77777777" w:rsidR="00E66264" w:rsidRDefault="00AC28CB">
            <w:pPr>
              <w:pStyle w:val="TableContents"/>
              <w:jc w:val="both"/>
            </w:pPr>
            <w:hyperlink r:id="rId19">
              <w:r>
                <w:rPr>
                  <w:rStyle w:val="Hyperlink"/>
                </w:rPr>
                <w:t>Pantone</w:t>
              </w:r>
            </w:hyperlink>
            <w:r>
              <w:t xml:space="preserve"> </w:t>
            </w:r>
          </w:p>
        </w:tc>
        <w:tc>
          <w:tcPr>
            <w:tcW w:w="1676" w:type="dxa"/>
            <w:shd w:val="clear" w:color="auto" w:fill="F9F9F9"/>
            <w:vAlign w:val="center"/>
          </w:tcPr>
          <w:p w14:paraId="281843A2" w14:textId="77777777" w:rsidR="00E66264" w:rsidRDefault="00AC28CB">
            <w:pPr>
              <w:pStyle w:val="TableContents"/>
              <w:jc w:val="both"/>
            </w:pPr>
            <w:r>
              <w:t xml:space="preserve">287 </w:t>
            </w:r>
          </w:p>
        </w:tc>
        <w:tc>
          <w:tcPr>
            <w:tcW w:w="1676" w:type="dxa"/>
            <w:shd w:val="clear" w:color="auto" w:fill="F9F9F9"/>
            <w:vAlign w:val="center"/>
          </w:tcPr>
          <w:p w14:paraId="45E77345" w14:textId="77777777" w:rsidR="00E66264" w:rsidRDefault="00AC28CB">
            <w:pPr>
              <w:pStyle w:val="TableContents"/>
              <w:jc w:val="both"/>
            </w:pPr>
            <w:r>
              <w:t xml:space="preserve">1c </w:t>
            </w:r>
          </w:p>
        </w:tc>
        <w:tc>
          <w:tcPr>
            <w:tcW w:w="1555" w:type="dxa"/>
            <w:shd w:val="clear" w:color="auto" w:fill="F9F9F9"/>
            <w:vAlign w:val="center"/>
          </w:tcPr>
          <w:p w14:paraId="5B3E061A" w14:textId="77777777" w:rsidR="00E66264" w:rsidRDefault="00AC28CB">
            <w:pPr>
              <w:pStyle w:val="TableContents"/>
              <w:jc w:val="both"/>
            </w:pPr>
            <w:r>
              <w:t xml:space="preserve">199 </w:t>
            </w:r>
          </w:p>
        </w:tc>
      </w:tr>
      <w:tr w:rsidR="00E66264" w14:paraId="5D306CD3" w14:textId="77777777">
        <w:trPr>
          <w:jc w:val="center"/>
        </w:trPr>
        <w:tc>
          <w:tcPr>
            <w:tcW w:w="1075" w:type="dxa"/>
            <w:shd w:val="clear" w:color="auto" w:fill="F9F9F9"/>
            <w:vAlign w:val="center"/>
          </w:tcPr>
          <w:p w14:paraId="58BB4C3F" w14:textId="77777777" w:rsidR="00E66264" w:rsidRDefault="00AC28CB">
            <w:pPr>
              <w:pStyle w:val="TableContents"/>
              <w:jc w:val="both"/>
            </w:pPr>
            <w:hyperlink r:id="rId20">
              <w:r>
                <w:rPr>
                  <w:rStyle w:val="Hyperlink"/>
                </w:rPr>
                <w:t>CMYK</w:t>
              </w:r>
            </w:hyperlink>
            <w:r>
              <w:t xml:space="preserve"> </w:t>
            </w:r>
          </w:p>
        </w:tc>
        <w:tc>
          <w:tcPr>
            <w:tcW w:w="1676" w:type="dxa"/>
            <w:shd w:val="clear" w:color="auto" w:fill="F9F9F9"/>
            <w:vAlign w:val="center"/>
          </w:tcPr>
          <w:p w14:paraId="2468E694" w14:textId="77777777" w:rsidR="00E66264" w:rsidRDefault="00AC28CB">
            <w:pPr>
              <w:pStyle w:val="TableContents"/>
              <w:jc w:val="both"/>
            </w:pPr>
            <w:r>
              <w:t xml:space="preserve">100, 75, 2, 18 </w:t>
            </w:r>
          </w:p>
        </w:tc>
        <w:tc>
          <w:tcPr>
            <w:tcW w:w="1676" w:type="dxa"/>
            <w:shd w:val="clear" w:color="auto" w:fill="F9F9F9"/>
            <w:vAlign w:val="center"/>
          </w:tcPr>
          <w:p w14:paraId="67627F80" w14:textId="77777777" w:rsidR="00E66264" w:rsidRDefault="00AC28CB">
            <w:pPr>
              <w:pStyle w:val="TableContents"/>
              <w:jc w:val="both"/>
            </w:pPr>
            <w:r>
              <w:t xml:space="preserve">0, 0, 0, 0 </w:t>
            </w:r>
          </w:p>
        </w:tc>
        <w:tc>
          <w:tcPr>
            <w:tcW w:w="1555" w:type="dxa"/>
            <w:shd w:val="clear" w:color="auto" w:fill="F9F9F9"/>
            <w:vAlign w:val="center"/>
          </w:tcPr>
          <w:p w14:paraId="48C23322" w14:textId="77777777" w:rsidR="00E66264" w:rsidRDefault="00AC28CB">
            <w:pPr>
              <w:pStyle w:val="TableContents"/>
              <w:jc w:val="both"/>
            </w:pPr>
            <w:r>
              <w:t xml:space="preserve">0, 100, 72, 0 </w:t>
            </w:r>
          </w:p>
        </w:tc>
      </w:tr>
      <w:tr w:rsidR="00E66264" w14:paraId="62A103CE" w14:textId="77777777">
        <w:trPr>
          <w:jc w:val="center"/>
        </w:trPr>
        <w:tc>
          <w:tcPr>
            <w:tcW w:w="1075" w:type="dxa"/>
            <w:shd w:val="clear" w:color="auto" w:fill="F9F9F9"/>
            <w:vAlign w:val="center"/>
          </w:tcPr>
          <w:p w14:paraId="25CBD3D0" w14:textId="77777777" w:rsidR="00E66264" w:rsidRDefault="00AC28CB">
            <w:pPr>
              <w:pStyle w:val="TableContents"/>
              <w:jc w:val="both"/>
            </w:pPr>
            <w:hyperlink r:id="rId21">
              <w:r>
                <w:rPr>
                  <w:rStyle w:val="Hyperlink"/>
                </w:rPr>
                <w:t>Avery</w:t>
              </w:r>
            </w:hyperlink>
            <w:r>
              <w:t xml:space="preserve"> </w:t>
            </w:r>
          </w:p>
        </w:tc>
        <w:tc>
          <w:tcPr>
            <w:tcW w:w="1676" w:type="dxa"/>
            <w:shd w:val="clear" w:color="auto" w:fill="F9F9F9"/>
            <w:vAlign w:val="center"/>
          </w:tcPr>
          <w:p w14:paraId="1789A164" w14:textId="77777777" w:rsidR="00E66264" w:rsidRDefault="00AC28CB">
            <w:pPr>
              <w:pStyle w:val="TableContents"/>
              <w:jc w:val="both"/>
            </w:pPr>
            <w:r>
              <w:t xml:space="preserve">520 </w:t>
            </w:r>
          </w:p>
        </w:tc>
        <w:tc>
          <w:tcPr>
            <w:tcW w:w="1676" w:type="dxa"/>
            <w:shd w:val="clear" w:color="auto" w:fill="F9F9F9"/>
            <w:vAlign w:val="center"/>
          </w:tcPr>
          <w:p w14:paraId="1601301B" w14:textId="77777777" w:rsidR="00E66264" w:rsidRDefault="00AC28CB">
            <w:pPr>
              <w:pStyle w:val="TableContents"/>
              <w:jc w:val="both"/>
            </w:pPr>
            <w:r>
              <w:t xml:space="preserve">501 </w:t>
            </w:r>
          </w:p>
        </w:tc>
        <w:tc>
          <w:tcPr>
            <w:tcW w:w="1555" w:type="dxa"/>
            <w:shd w:val="clear" w:color="auto" w:fill="F9F9F9"/>
            <w:vAlign w:val="center"/>
          </w:tcPr>
          <w:p w14:paraId="469F26D1" w14:textId="77777777" w:rsidR="00E66264" w:rsidRDefault="00AC28CB">
            <w:pPr>
              <w:pStyle w:val="TableContents"/>
              <w:jc w:val="both"/>
            </w:pPr>
            <w:r>
              <w:t xml:space="preserve">503 </w:t>
            </w:r>
          </w:p>
        </w:tc>
      </w:tr>
    </w:tbl>
    <w:p w14:paraId="561BD48B" w14:textId="77777777" w:rsidR="00E66264" w:rsidRDefault="00E66264">
      <w:pPr>
        <w:jc w:val="both"/>
      </w:pPr>
    </w:p>
    <w:sectPr w:rsidR="00E6626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Source Han Serif SC">
    <w:panose1 w:val="00000000000000000000"/>
    <w:charset w:val="00"/>
    <w:family w:val="roman"/>
    <w:notTrueType/>
    <w:pitch w:val="default"/>
  </w:font>
  <w:font w:name="FreeSans">
    <w:altName w:val="Cambria"/>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Source Han Sans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EA19DC"/>
    <w:multiLevelType w:val="multilevel"/>
    <w:tmpl w:val="A1C47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66076EE5"/>
    <w:multiLevelType w:val="multilevel"/>
    <w:tmpl w:val="2C24EFD6"/>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264"/>
    <w:rsid w:val="00AC28CB"/>
    <w:rsid w:val="00E6626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B20A"/>
  <w15:docId w15:val="{B484BF00-5FA6-461A-AC11-0F92ED96C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erif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numPr>
        <w:ilvl w:val="1"/>
        <w:numId w:val="1"/>
      </w:numPr>
      <w:spacing w:before="200"/>
      <w:outlineLvl w:val="1"/>
    </w:pPr>
    <w:rPr>
      <w:rFonts w:ascii="Liberation Serif" w:eastAsia="Source Han Serif SC"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Source Han Sans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Title">
    <w:name w:val="Title"/>
    <w:basedOn w:val="Heading"/>
    <w:next w:val="BodyText"/>
    <w:uiPriority w:val="10"/>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File:Flags_of_Iceland.jpg" TargetMode="External"/><Relationship Id="rId18" Type="http://schemas.openxmlformats.org/officeDocument/2006/relationships/hyperlink" Target="https://en.wikipedia.org/wiki/RGB" TargetMode="External"/><Relationship Id="rId3" Type="http://schemas.openxmlformats.org/officeDocument/2006/relationships/settings" Target="settings.xml"/><Relationship Id="rId21" Type="http://schemas.openxmlformats.org/officeDocument/2006/relationships/hyperlink" Target="https://en.wikipedia.org/wiki/Avery_Dennison" TargetMode="External"/><Relationship Id="rId7" Type="http://schemas.openxmlformats.org/officeDocument/2006/relationships/hyperlink" Target="https://en.wikipedia.org/wiki/File:Old_icelandic_flag.jpg" TargetMode="External"/><Relationship Id="rId12" Type="http://schemas.openxmlformats.org/officeDocument/2006/relationships/image" Target="media/image3.png"/><Relationship Id="rId17" Type="http://schemas.openxmlformats.org/officeDocument/2006/relationships/hyperlink" Target="https://en.wikipedia.org/wiki/Web_colors"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en.wikipedia.org/wiki/CMYK" TargetMode="External"/><Relationship Id="rId1" Type="http://schemas.openxmlformats.org/officeDocument/2006/relationships/numbering" Target="numbering.xml"/><Relationship Id="rId6" Type="http://schemas.openxmlformats.org/officeDocument/2006/relationships/hyperlink" Target="https://en.wikipedia.org/wiki/Republic" TargetMode="External"/><Relationship Id="rId11" Type="http://schemas.openxmlformats.org/officeDocument/2006/relationships/hyperlink" Target="https://en.wikipedia.org/wiki/File:Hv&#237;tbl&#225;inn.svg" TargetMode="External"/><Relationship Id="rId5" Type="http://schemas.openxmlformats.org/officeDocument/2006/relationships/hyperlink" Target="https://en.wikipedia.org/wiki/Iceland" TargetMode="External"/><Relationship Id="rId15" Type="http://schemas.openxmlformats.org/officeDocument/2006/relationships/hyperlink" Target="https://en.wikipedia.org/wiki/File:Icelandic_state_flag_Embassy_Helsinki.jp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Pantone" TargetMode="External"/><Relationship Id="rId4" Type="http://schemas.openxmlformats.org/officeDocument/2006/relationships/webSettings" Target="webSettings.xml"/><Relationship Id="rId9" Type="http://schemas.openxmlformats.org/officeDocument/2006/relationships/hyperlink" Target="https://en.wikipedia.org/wiki/File:Flag_of_Iceland_(1918&#8211;1944).svg"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10an{o8i.waN_KenO8i}</dc:creator>
  <dc:description/>
  <cp:lastModifiedBy/>
  <cp:revision>4</cp:revision>
  <dcterms:created xsi:type="dcterms:W3CDTF">2021-01-22T13:34:00Z</dcterms:created>
  <dcterms:modified xsi:type="dcterms:W3CDTF">2021-01-23T13:37:00Z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10an{Obi w4n_kenObi}</vt:lpwstr>
  </property>
</Properties>
</file>