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710BDA">
      <w:pPr>
        <w:pStyle w:val="2"/>
        <w:widowControl/>
        <w:shd w:val="clear" w:color="auto" w:fill="FFFFFF"/>
        <w:spacing w:before="0" w:beforeAutospacing="0" w:after="120" w:afterAutospacing="0" w:line="360" w:lineRule="atLeast"/>
        <w:jc w:val="center"/>
        <w:outlineLvl w:val="0"/>
      </w:pPr>
      <w:r>
        <w:rPr>
          <w:rFonts w:ascii="黑体" w:hAnsi="黑体" w:eastAsia="黑体" w:cs="黑体"/>
          <w:color w:val="000000"/>
          <w:sz w:val="32"/>
          <w:szCs w:val="32"/>
          <w:shd w:val="clear" w:color="auto" w:fill="FFFFFF"/>
          <w:lang w:bidi="ar-SA"/>
        </w:rPr>
        <w:t>全球贫困问题的民生经济学透视</w:t>
      </w:r>
    </w:p>
    <w:p w14:paraId="68F788D8">
      <w:pPr>
        <w:jc w:val="cente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23计算机科学与技术（）班  盲灯</w:t>
      </w:r>
      <w:bookmarkStart w:id="6" w:name="_GoBack"/>
      <w:bookmarkEnd w:id="6"/>
    </w:p>
    <w:p w14:paraId="0E3314CE">
      <w:pPr>
        <w:jc w:val="both"/>
        <w:rPr>
          <w:rFonts w:hint="default" w:ascii="楷体" w:hAnsi="楷体" w:eastAsia="楷体" w:cs="楷体"/>
          <w:sz w:val="24"/>
          <w:szCs w:val="24"/>
          <w:lang w:val="en-US" w:eastAsia="zh-CN"/>
        </w:rPr>
      </w:pPr>
    </w:p>
    <w:p w14:paraId="6D8190C2">
      <w:pPr>
        <w:ind w:firstLine="420" w:firstLineChars="200"/>
        <w:rPr>
          <w:rStyle w:val="11"/>
          <w:rFonts w:hint="eastAsia" w:ascii="楷体" w:hAnsi="楷体" w:eastAsia="楷体" w:cs="宋体"/>
          <w:b w:val="0"/>
          <w:color w:val="000000"/>
          <w:szCs w:val="21"/>
        </w:rPr>
      </w:pPr>
      <w:r>
        <w:rPr>
          <w:rFonts w:hint="eastAsia" w:ascii="黑体" w:hAnsi="黑体" w:eastAsia="黑体" w:cs="黑体"/>
          <w:color w:val="000000"/>
          <w:szCs w:val="21"/>
          <w:lang w:val="en-US" w:eastAsia="zh-CN"/>
        </w:rPr>
        <w:t>摘要：</w:t>
      </w:r>
      <w:r>
        <w:rPr>
          <w:rStyle w:val="11"/>
          <w:rFonts w:hint="eastAsia" w:ascii="楷体" w:hAnsi="楷体" w:eastAsia="楷体" w:cs="宋体"/>
          <w:b w:val="0"/>
          <w:color w:val="000000"/>
          <w:szCs w:val="21"/>
        </w:rPr>
        <w:t>全球贫困问题作为影响人类福祉与社会稳定的重大挑战，长期困扰着广大发展中国家。本文基于民生经济学的分析框架，聚焦教育、医疗、住房等关键民生领域，探讨其在全球减贫中的战略意义与实践路径。通过对全球贫困现状与多维特征的剖析，结合中国脱贫攻坚与“一带一路”倡议的典型经验，提出了民生导向型的减贫机制与国际合作模式。研究认为，民生经济学在连接经济增长与社会公平、协调国家治理与全球合作方面具有重要理论价值与现实意义。强化教育公平、健全保障体系、推动包容发展，是全球应对贫困的共同路径。</w:t>
      </w:r>
    </w:p>
    <w:p w14:paraId="35088576">
      <w:pPr>
        <w:ind w:firstLine="420" w:firstLineChars="200"/>
        <w:rPr>
          <w:rFonts w:hint="eastAsia" w:ascii="楷体" w:hAnsi="楷体" w:eastAsia="楷体" w:cs="楷体"/>
          <w:szCs w:val="21"/>
          <w:lang w:val="en-US" w:eastAsia="zh-CN"/>
        </w:rPr>
      </w:pPr>
      <w:r>
        <w:rPr>
          <w:rFonts w:hint="eastAsia" w:ascii="黑体" w:hAnsi="黑体" w:eastAsia="黑体" w:cs="黑体"/>
          <w:color w:val="000000"/>
          <w:szCs w:val="21"/>
          <w:lang w:val="en-US" w:eastAsia="zh-CN"/>
        </w:rPr>
        <w:t>关键字：</w:t>
      </w:r>
      <w:r>
        <w:rPr>
          <w:rFonts w:hint="eastAsia" w:ascii="楷体" w:hAnsi="楷体" w:eastAsia="楷体" w:cs="楷体"/>
          <w:szCs w:val="21"/>
          <w:lang w:val="en-US" w:eastAsia="zh-CN"/>
        </w:rPr>
        <w:t>全球贫困  民生经济  国际减贫  脱贫攻坚 一带一路 中国经验</w:t>
      </w:r>
    </w:p>
    <w:p w14:paraId="09029E4C">
      <w:pPr>
        <w:ind w:firstLine="420" w:firstLineChars="200"/>
        <w:rPr>
          <w:rFonts w:hint="default" w:ascii="楷体" w:hAnsi="楷体" w:eastAsia="楷体" w:cs="楷体"/>
          <w:szCs w:val="21"/>
          <w:lang w:val="en-US" w:eastAsia="zh-CN"/>
        </w:rPr>
      </w:pPr>
    </w:p>
    <w:p w14:paraId="47D58AE3">
      <w:pPr>
        <w:numPr>
          <w:ilvl w:val="0"/>
          <w:numId w:val="1"/>
        </w:numPr>
        <w:spacing w:line="360" w:lineRule="auto"/>
        <w:ind w:left="0" w:leftChars="0" w:firstLine="0" w:firstLineChars="0"/>
        <w:jc w:val="left"/>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引言</w:t>
      </w:r>
    </w:p>
    <w:p w14:paraId="7020DF23">
      <w:pPr>
        <w:spacing w:line="360" w:lineRule="auto"/>
        <w:ind w:firstLine="480" w:firstLineChars="200"/>
        <w:jc w:val="left"/>
        <w:rPr>
          <w:rFonts w:hint="eastAsia" w:ascii="宋体" w:hAnsi="宋体" w:eastAsia="宋体" w:cs="宋体"/>
          <w:color w:val="000000"/>
          <w:sz w:val="24"/>
          <w:szCs w:val="24"/>
        </w:rPr>
      </w:pPr>
      <w:r>
        <w:rPr>
          <w:rFonts w:hint="eastAsia" w:ascii="宋体" w:hAnsi="宋体" w:eastAsia="宋体" w:cs="宋体"/>
          <w:color w:val="000000"/>
          <w:sz w:val="24"/>
          <w:szCs w:val="24"/>
        </w:rPr>
        <w:t>全球贫困问题长期存在，影响着数以亿计的人们的生活。贫困不仅是一个经济问题，也是一个社会、政治和道德问题。民生经济学作为一门新兴的经济学分支，关注如何通过经济手段改善人们的生活质量，特别是关注弱势群体的福祉。随着全球化进程的加速和经济发展不平衡现象的加剧，贫困问题愈发凸显，需要更加深入的研究和探讨。</w:t>
      </w:r>
    </w:p>
    <w:p w14:paraId="0BF074AF">
      <w:pPr>
        <w:spacing w:line="360" w:lineRule="auto"/>
        <w:ind w:firstLine="480" w:firstLineChars="200"/>
        <w:jc w:val="left"/>
        <w:rPr>
          <w:rFonts w:hint="eastAsia" w:ascii="宋体" w:hAnsi="宋体" w:eastAsia="宋体" w:cs="宋体"/>
          <w:color w:val="000000"/>
          <w:szCs w:val="21"/>
        </w:rPr>
      </w:pPr>
      <w:r>
        <w:rPr>
          <w:rFonts w:hint="eastAsia" w:ascii="宋体" w:hAnsi="宋体" w:eastAsia="宋体" w:cs="宋体"/>
          <w:color w:val="000000"/>
          <w:sz w:val="24"/>
          <w:szCs w:val="24"/>
        </w:rPr>
        <w:t>民生经济学研究对于深入理解贫困问题的根源和机制至关重要，有助于制定更有效的扶贫政策和措施。通过民生经济学的研究，可以促进全球范围内的减贫合作与交流，实现联合应对贫困挑战的目标。民生经济学的发展有助于推动经济增长与社会公平的结合，促进可持续发展，从而实现全球范围内的贫困减少和人类福祉的提升。研究民生经济学与全球贫困问题的关系，有助于拓展经济学研究的领域，为解决全球性挑战提供新的思路和方法。</w:t>
      </w:r>
    </w:p>
    <w:p w14:paraId="739AEB57">
      <w:pPr>
        <w:numPr>
          <w:ilvl w:val="0"/>
          <w:numId w:val="1"/>
        </w:numPr>
        <w:spacing w:line="360" w:lineRule="auto"/>
        <w:ind w:left="0" w:leftChars="0" w:firstLine="0" w:firstLineChars="0"/>
        <w:jc w:val="left"/>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民生经济学定义和发展</w:t>
      </w:r>
    </w:p>
    <w:p w14:paraId="2AD82696">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2.1民生经济学定义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6494"/>
      </w:tblGrid>
      <w:tr w14:paraId="4B573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1F9BBF86">
            <w:pPr>
              <w:spacing w:line="360" w:lineRule="auto"/>
              <w:jc w:val="center"/>
            </w:pPr>
            <w:r>
              <w:rPr>
                <w:b/>
                <w:bCs/>
                <w:sz w:val="24"/>
                <w:szCs w:val="24"/>
              </w:rPr>
              <w:t>项目</w:t>
            </w:r>
          </w:p>
        </w:tc>
        <w:tc>
          <w:tcPr>
            <w:tcW w:w="6494" w:type="dxa"/>
          </w:tcPr>
          <w:p w14:paraId="066DCB00">
            <w:pPr>
              <w:spacing w:line="360" w:lineRule="auto"/>
              <w:jc w:val="center"/>
            </w:pPr>
            <w:r>
              <w:rPr>
                <w:b/>
                <w:bCs/>
                <w:sz w:val="24"/>
                <w:szCs w:val="24"/>
              </w:rPr>
              <w:t>描述</w:t>
            </w:r>
          </w:p>
        </w:tc>
      </w:tr>
      <w:tr w14:paraId="14558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21058EC0">
            <w:pPr>
              <w:spacing w:line="360" w:lineRule="auto"/>
              <w:jc w:val="center"/>
            </w:pPr>
            <w:r>
              <w:rPr>
                <w:sz w:val="24"/>
                <w:szCs w:val="24"/>
              </w:rPr>
              <w:t>基本定义</w:t>
            </w:r>
          </w:p>
        </w:tc>
        <w:tc>
          <w:tcPr>
            <w:tcW w:w="6494" w:type="dxa"/>
          </w:tcPr>
          <w:p w14:paraId="399D10C9">
            <w:pPr>
              <w:spacing w:line="360" w:lineRule="auto"/>
            </w:pPr>
            <w:r>
              <w:rPr>
                <w:sz w:val="24"/>
                <w:szCs w:val="24"/>
              </w:rPr>
              <w:t>民生经济学是以经济的方法、从经济的角度研究民生问题的一门学科，致力于解决影响人民基本生活质量的经济性问题。</w:t>
            </w:r>
          </w:p>
        </w:tc>
      </w:tr>
      <w:tr w14:paraId="2995B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2D8CC26F">
            <w:pPr>
              <w:spacing w:line="360" w:lineRule="auto"/>
              <w:jc w:val="center"/>
            </w:pPr>
            <w:r>
              <w:rPr>
                <w:sz w:val="24"/>
                <w:szCs w:val="24"/>
              </w:rPr>
              <w:t>研究视角</w:t>
            </w:r>
          </w:p>
        </w:tc>
        <w:tc>
          <w:tcPr>
            <w:tcW w:w="6494" w:type="dxa"/>
          </w:tcPr>
          <w:p w14:paraId="5DF9704D">
            <w:pPr>
              <w:spacing w:line="360" w:lineRule="auto"/>
            </w:pPr>
            <w:r>
              <w:rPr>
                <w:sz w:val="24"/>
                <w:szCs w:val="24"/>
              </w:rPr>
              <w:t>纵向包括人类的生产、生活和消亡的全过程，横向涉及影响人类生活与生产的各种经济问题，如资源配置、制度安排、福利保障等。</w:t>
            </w:r>
          </w:p>
        </w:tc>
      </w:tr>
      <w:tr w14:paraId="5438F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3B151290">
            <w:pPr>
              <w:spacing w:line="360" w:lineRule="auto"/>
              <w:jc w:val="center"/>
            </w:pPr>
            <w:r>
              <w:rPr>
                <w:sz w:val="24"/>
                <w:szCs w:val="24"/>
              </w:rPr>
              <w:t>核心目的</w:t>
            </w:r>
          </w:p>
        </w:tc>
        <w:tc>
          <w:tcPr>
            <w:tcW w:w="6494" w:type="dxa"/>
          </w:tcPr>
          <w:p w14:paraId="798678F8">
            <w:pPr>
              <w:numPr>
                <w:ilvl w:val="0"/>
                <w:numId w:val="2"/>
              </w:numPr>
              <w:spacing w:line="360" w:lineRule="auto"/>
              <w:rPr>
                <w:sz w:val="24"/>
                <w:szCs w:val="24"/>
              </w:rPr>
            </w:pPr>
            <w:r>
              <w:rPr>
                <w:sz w:val="24"/>
                <w:szCs w:val="24"/>
              </w:rPr>
              <w:t>以家庭与个体为研究单元；</w:t>
            </w:r>
          </w:p>
          <w:p w14:paraId="5646F7FB">
            <w:pPr>
              <w:numPr>
                <w:ilvl w:val="0"/>
                <w:numId w:val="2"/>
              </w:numPr>
              <w:spacing w:line="360" w:lineRule="auto"/>
              <w:rPr>
                <w:sz w:val="24"/>
                <w:szCs w:val="24"/>
              </w:rPr>
            </w:pPr>
            <w:r>
              <w:rPr>
                <w:sz w:val="24"/>
                <w:szCs w:val="24"/>
              </w:rPr>
              <w:t>协调人与自然的关系；</w:t>
            </w:r>
          </w:p>
          <w:p w14:paraId="26FE9319">
            <w:pPr>
              <w:numPr>
                <w:ilvl w:val="0"/>
                <w:numId w:val="2"/>
              </w:numPr>
              <w:spacing w:line="360" w:lineRule="auto"/>
              <w:rPr>
                <w:sz w:val="24"/>
                <w:szCs w:val="24"/>
              </w:rPr>
            </w:pPr>
            <w:r>
              <w:rPr>
                <w:sz w:val="24"/>
                <w:szCs w:val="24"/>
              </w:rPr>
              <w:t>建立新制度、新体系；</w:t>
            </w:r>
          </w:p>
          <w:p w14:paraId="3F3BDAEF">
            <w:pPr>
              <w:numPr>
                <w:ilvl w:val="0"/>
                <w:numId w:val="2"/>
              </w:numPr>
              <w:spacing w:line="360" w:lineRule="auto"/>
              <w:rPr>
                <w:sz w:val="24"/>
                <w:szCs w:val="24"/>
              </w:rPr>
            </w:pPr>
            <w:r>
              <w:rPr>
                <w:sz w:val="24"/>
                <w:szCs w:val="24"/>
              </w:rPr>
              <w:t>解决民生经济问题；</w:t>
            </w:r>
          </w:p>
          <w:p w14:paraId="6121347A">
            <w:pPr>
              <w:numPr>
                <w:ilvl w:val="0"/>
                <w:numId w:val="2"/>
              </w:numPr>
              <w:spacing w:line="360" w:lineRule="auto"/>
            </w:pPr>
            <w:r>
              <w:rPr>
                <w:sz w:val="24"/>
                <w:szCs w:val="24"/>
              </w:rPr>
              <w:t>探讨全球资源与发展均衡。</w:t>
            </w:r>
          </w:p>
        </w:tc>
      </w:tr>
      <w:tr w14:paraId="02F34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1B86DFC9">
            <w:pPr>
              <w:spacing w:line="360" w:lineRule="auto"/>
              <w:jc w:val="center"/>
            </w:pPr>
            <w:r>
              <w:rPr>
                <w:sz w:val="24"/>
                <w:szCs w:val="24"/>
              </w:rPr>
              <w:t>研究领域</w:t>
            </w:r>
          </w:p>
        </w:tc>
        <w:tc>
          <w:tcPr>
            <w:tcW w:w="6494" w:type="dxa"/>
          </w:tcPr>
          <w:p w14:paraId="20DD15A3">
            <w:pPr>
              <w:spacing w:line="360" w:lineRule="auto"/>
            </w:pPr>
            <w:r>
              <w:rPr>
                <w:rFonts w:hint="eastAsia" w:asciiTheme="minorEastAsia" w:hAnsiTheme="minorEastAsia" w:eastAsiaTheme="minorEastAsia" w:cstheme="minorEastAsia"/>
                <w:sz w:val="24"/>
                <w:szCs w:val="24"/>
              </w:rPr>
              <w:t>人口与资源、家庭经济、经济制度、社会保障、环境保护、全球经济平衡发展等，包括就业、“三农”、收入分配、应急机制等多样问题。</w:t>
            </w:r>
          </w:p>
        </w:tc>
      </w:tr>
      <w:tr w14:paraId="2A54D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4BC26730">
            <w:pPr>
              <w:spacing w:line="360" w:lineRule="auto"/>
              <w:jc w:val="center"/>
            </w:pPr>
            <w:r>
              <w:rPr>
                <w:sz w:val="24"/>
                <w:szCs w:val="24"/>
              </w:rPr>
              <w:t>理论特征</w:t>
            </w:r>
          </w:p>
        </w:tc>
        <w:tc>
          <w:tcPr>
            <w:tcW w:w="6494" w:type="dxa"/>
          </w:tcPr>
          <w:p w14:paraId="3D7F14C7">
            <w:pPr>
              <w:spacing w:line="360" w:lineRule="auto"/>
            </w:pPr>
            <w:r>
              <w:rPr>
                <w:sz w:val="24"/>
                <w:szCs w:val="24"/>
              </w:rPr>
              <w:t>强调“以人为本”，关注人的发展与福祉，将人作为经济现象与主体，构建适应自然资源与社会协调发展的经济制度，具有对现有经济理论的拓展与互补价值。</w:t>
            </w:r>
          </w:p>
        </w:tc>
      </w:tr>
    </w:tbl>
    <w:p w14:paraId="743DE25D">
      <w:pPr>
        <w:spacing w:line="360" w:lineRule="auto"/>
        <w:jc w:val="center"/>
        <w:rPr>
          <w:rFonts w:hint="default" w:ascii="宋体" w:hAnsi="宋体" w:eastAsia="宋体" w:cs="宋体"/>
          <w:color w:val="000000"/>
          <w:szCs w:val="21"/>
          <w:lang w:val="en-US" w:eastAsia="zh-CN"/>
        </w:rPr>
      </w:pPr>
      <w:r>
        <w:rPr>
          <w:rFonts w:hint="eastAsia" w:ascii="宋体" w:hAnsi="宋体" w:eastAsia="宋体" w:cs="宋体"/>
          <w:lang w:val="en-US" w:eastAsia="zh-CN"/>
        </w:rPr>
        <w:t>表1：民生经济学定义</w:t>
      </w:r>
    </w:p>
    <w:p w14:paraId="732E3F80">
      <w:pPr>
        <w:spacing w:line="360" w:lineRule="auto"/>
        <w:ind w:firstLine="480" w:firstLineChars="200"/>
        <w:jc w:val="left"/>
        <w:rPr>
          <w:rFonts w:hint="eastAsia" w:ascii="宋体" w:hAnsi="宋体" w:eastAsia="宋体" w:cs="宋体"/>
          <w:color w:val="000000"/>
          <w:szCs w:val="21"/>
          <w:lang w:val="en-US" w:eastAsia="zh-CN"/>
        </w:rPr>
      </w:pPr>
      <w:r>
        <w:rPr>
          <w:rFonts w:hint="default" w:ascii="宋体" w:hAnsi="宋体" w:eastAsia="宋体" w:cs="宋体"/>
          <w:color w:val="000000"/>
          <w:sz w:val="24"/>
          <w:szCs w:val="24"/>
          <w:lang w:val="en-US" w:eastAsia="zh-CN"/>
        </w:rPr>
        <w:t>根据</w:t>
      </w:r>
      <w:r>
        <w:rPr>
          <w:rFonts w:hint="eastAsia" w:ascii="宋体" w:hAnsi="宋体" w:eastAsia="宋体" w:cs="宋体"/>
          <w:color w:val="000000"/>
          <w:sz w:val="24"/>
          <w:szCs w:val="24"/>
          <w:lang w:val="en-US" w:eastAsia="zh-CN"/>
        </w:rPr>
        <w:t>表1的内容可知</w:t>
      </w:r>
      <w:r>
        <w:rPr>
          <w:rFonts w:hint="default" w:ascii="宋体" w:hAnsi="宋体" w:eastAsia="宋体" w:cs="宋体"/>
          <w:color w:val="000000"/>
          <w:sz w:val="24"/>
          <w:szCs w:val="24"/>
          <w:lang w:val="en-US" w:eastAsia="zh-CN"/>
        </w:rPr>
        <w:t>，民生经济学是一门以“人”为中心、关注基本生活保障与发展权益的经济学分支，旨在通过经济制度与资源配置的优化，解决影响人民生活质量的核心问题。它从纵向把握人类发展的全过程，从横向涵盖资源、制度、保障、环境等多维经济议题。其目标在于构建适应社会繁荣与自然协调发展的新型经济体系，强调家庭与个体在经济活动中的核心地位，具有鲜明的人本导向与现实关怀，同时在理论上对传统经济学形成有力补充。民生经济学与现行经济学科的关系是一种互补关系，是经济理论的一种完善。</w:t>
      </w:r>
      <w:r>
        <w:rPr>
          <w:rFonts w:hint="eastAsia" w:ascii="宋体" w:hAnsi="宋体" w:eastAsia="宋体" w:cs="宋体"/>
          <w:color w:val="000000"/>
          <w:szCs w:val="21"/>
          <w:vertAlign w:val="superscript"/>
          <w:lang w:val="en-US" w:eastAsia="zh-CN"/>
        </w:rPr>
        <w:fldChar w:fldCharType="begin"/>
      </w:r>
      <w:r>
        <w:rPr>
          <w:rFonts w:hint="eastAsia" w:ascii="宋体" w:hAnsi="宋体" w:eastAsia="宋体" w:cs="宋体"/>
          <w:color w:val="000000"/>
          <w:szCs w:val="21"/>
          <w:vertAlign w:val="superscript"/>
          <w:lang w:val="en-US" w:eastAsia="zh-CN"/>
        </w:rPr>
        <w:instrText xml:space="preserve"> REF _Ref2484 \r \h </w:instrText>
      </w:r>
      <w:r>
        <w:rPr>
          <w:rFonts w:hint="eastAsia" w:ascii="宋体" w:hAnsi="宋体" w:eastAsia="宋体" w:cs="宋体"/>
          <w:color w:val="000000"/>
          <w:szCs w:val="21"/>
          <w:vertAlign w:val="superscript"/>
          <w:lang w:val="en-US" w:eastAsia="zh-CN"/>
        </w:rPr>
        <w:fldChar w:fldCharType="separate"/>
      </w:r>
      <w:r>
        <w:rPr>
          <w:rFonts w:hint="eastAsia" w:ascii="宋体" w:hAnsi="宋体" w:eastAsia="宋体" w:cs="宋体"/>
          <w:color w:val="000000"/>
          <w:szCs w:val="21"/>
          <w:vertAlign w:val="superscript"/>
          <w:lang w:val="en-US" w:eastAsia="zh-CN"/>
        </w:rPr>
        <w:t>[1]</w:t>
      </w:r>
      <w:r>
        <w:rPr>
          <w:rFonts w:hint="eastAsia" w:ascii="宋体" w:hAnsi="宋体" w:eastAsia="宋体" w:cs="宋体"/>
          <w:color w:val="000000"/>
          <w:szCs w:val="21"/>
          <w:vertAlign w:val="superscript"/>
          <w:lang w:val="en-US" w:eastAsia="zh-CN"/>
        </w:rPr>
        <w:fldChar w:fldCharType="end"/>
      </w:r>
    </w:p>
    <w:p w14:paraId="6D1D589D">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2.2发展民生经济学</w:t>
      </w:r>
    </w:p>
    <w:p w14:paraId="3F9A3F1C">
      <w:pPr>
        <w:spacing w:line="360" w:lineRule="auto"/>
        <w:ind w:firstLine="480" w:firstLineChars="200"/>
        <w:jc w:val="left"/>
        <w:rPr>
          <w:rFonts w:hint="eastAsia" w:ascii="宋体" w:hAnsi="宋体" w:eastAsia="宋体" w:cs="宋体"/>
          <w:color w:val="000000"/>
          <w:szCs w:val="21"/>
          <w:lang w:val="en-US" w:eastAsia="zh-CN"/>
        </w:rPr>
      </w:pPr>
      <w:r>
        <w:rPr>
          <w:rFonts w:hint="eastAsia" w:ascii="宋体" w:hAnsi="宋体" w:eastAsia="宋体" w:cs="宋体"/>
          <w:color w:val="000000"/>
          <w:sz w:val="24"/>
          <w:szCs w:val="24"/>
          <w:lang w:val="en-US" w:eastAsia="zh-CN"/>
        </w:rPr>
        <w:t>进展民生经济是一项复杂的系统工程，涉及经济、政治、社会、文化建设的方方面面。应把进展民生经济作为一个优先目标，作为保增长、调结构、促改革的重要举措，并作为即将制定的十二五规划的重要内容。当前，应注意把握好以下几个环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5"/>
        <w:gridCol w:w="6201"/>
      </w:tblGrid>
      <w:tr w14:paraId="5CCFA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0A256D8E">
            <w:pPr>
              <w:spacing w:line="360" w:lineRule="auto"/>
              <w:jc w:val="center"/>
            </w:pPr>
            <w:r>
              <w:rPr>
                <w:b/>
                <w:bCs/>
                <w:sz w:val="24"/>
                <w:szCs w:val="24"/>
              </w:rPr>
              <w:t>举措方向</w:t>
            </w:r>
          </w:p>
        </w:tc>
        <w:tc>
          <w:tcPr>
            <w:tcW w:w="6201" w:type="dxa"/>
          </w:tcPr>
          <w:p w14:paraId="76BCFBE4">
            <w:pPr>
              <w:spacing w:line="360" w:lineRule="auto"/>
              <w:jc w:val="center"/>
            </w:pPr>
            <w:r>
              <w:rPr>
                <w:b/>
                <w:bCs/>
                <w:sz w:val="24"/>
                <w:szCs w:val="24"/>
              </w:rPr>
              <w:t>具体内容</w:t>
            </w:r>
          </w:p>
        </w:tc>
      </w:tr>
      <w:tr w14:paraId="78C86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4387B812">
            <w:pPr>
              <w:spacing w:line="360" w:lineRule="auto"/>
              <w:jc w:val="center"/>
            </w:pPr>
            <w:r>
              <w:rPr>
                <w:sz w:val="24"/>
                <w:szCs w:val="24"/>
              </w:rPr>
              <w:t>教育为基础</w:t>
            </w:r>
          </w:p>
        </w:tc>
        <w:tc>
          <w:tcPr>
            <w:tcW w:w="6201" w:type="dxa"/>
          </w:tcPr>
          <w:p w14:paraId="4AFD2996">
            <w:pPr>
              <w:spacing w:line="360" w:lineRule="auto"/>
            </w:pPr>
            <w:r>
              <w:rPr>
                <w:sz w:val="24"/>
                <w:szCs w:val="24"/>
              </w:rPr>
              <w:t>将教育置于优先发展的战略地位，实现教育机会公平。在落实九年义务教育基础上，逐步将职业教育纳入义务教育体系，通过教育提升人力资源质量。</w:t>
            </w:r>
          </w:p>
        </w:tc>
      </w:tr>
      <w:tr w14:paraId="2D4ED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10E8E0B4">
            <w:pPr>
              <w:spacing w:line="360" w:lineRule="auto"/>
              <w:jc w:val="center"/>
            </w:pPr>
            <w:r>
              <w:rPr>
                <w:sz w:val="24"/>
                <w:szCs w:val="24"/>
              </w:rPr>
              <w:t>就业为根本</w:t>
            </w:r>
          </w:p>
        </w:tc>
        <w:tc>
          <w:tcPr>
            <w:tcW w:w="6201" w:type="dxa"/>
          </w:tcPr>
          <w:p w14:paraId="6E2F2567">
            <w:pPr>
              <w:spacing w:line="360" w:lineRule="auto"/>
            </w:pPr>
            <w:r>
              <w:rPr>
                <w:sz w:val="24"/>
                <w:szCs w:val="24"/>
              </w:rPr>
              <w:t>扩大就业和创业机会，优化营商环境，简化审批流程；通过支持中小企业、改革户籍制度、加强技能培训，提升就业容量和灵活性，增强民生经济发展动力。</w:t>
            </w:r>
          </w:p>
        </w:tc>
      </w:tr>
      <w:tr w14:paraId="6D39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0525389F">
            <w:pPr>
              <w:spacing w:line="360" w:lineRule="auto"/>
              <w:jc w:val="center"/>
            </w:pPr>
            <w:r>
              <w:rPr>
                <w:sz w:val="24"/>
                <w:szCs w:val="24"/>
              </w:rPr>
              <w:t>“三农”为重点</w:t>
            </w:r>
          </w:p>
        </w:tc>
        <w:tc>
          <w:tcPr>
            <w:tcW w:w="6201" w:type="dxa"/>
          </w:tcPr>
          <w:p w14:paraId="3C779E94">
            <w:pPr>
              <w:spacing w:line="360" w:lineRule="auto"/>
            </w:pPr>
            <w:r>
              <w:rPr>
                <w:sz w:val="24"/>
                <w:szCs w:val="24"/>
              </w:rPr>
              <w:t>聚焦农村发展和农民福祉，推动农业现代化、城镇化与农村基础设施建设，促进农业转型与农村劳动力转移，改善农村低收入群体的生计条件。</w:t>
            </w:r>
          </w:p>
        </w:tc>
      </w:tr>
      <w:tr w14:paraId="55F5D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64A21D4F">
            <w:pPr>
              <w:spacing w:line="360" w:lineRule="auto"/>
              <w:jc w:val="center"/>
            </w:pPr>
            <w:r>
              <w:rPr>
                <w:sz w:val="24"/>
                <w:szCs w:val="24"/>
              </w:rPr>
              <w:t>收入为关键</w:t>
            </w:r>
          </w:p>
        </w:tc>
        <w:tc>
          <w:tcPr>
            <w:tcW w:w="6201" w:type="dxa"/>
          </w:tcPr>
          <w:p w14:paraId="0BE77B98">
            <w:pPr>
              <w:spacing w:line="360" w:lineRule="auto"/>
            </w:pPr>
            <w:r>
              <w:rPr>
                <w:sz w:val="24"/>
                <w:szCs w:val="24"/>
              </w:rPr>
              <w:t>提高居民收入水平，推动企业工资合理增长，加强集体谈判能力；完善税制体系，调节收入差距，实现经济成果更公平的分配，提升人民生活保障能力。</w:t>
            </w:r>
          </w:p>
        </w:tc>
      </w:tr>
      <w:tr w14:paraId="2E255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14:paraId="4F63639D">
            <w:pPr>
              <w:spacing w:line="360" w:lineRule="auto"/>
              <w:jc w:val="center"/>
            </w:pPr>
            <w:r>
              <w:rPr>
                <w:sz w:val="24"/>
                <w:szCs w:val="24"/>
              </w:rPr>
              <w:t>保障为底线</w:t>
            </w:r>
          </w:p>
        </w:tc>
        <w:tc>
          <w:tcPr>
            <w:tcW w:w="6201" w:type="dxa"/>
          </w:tcPr>
          <w:p w14:paraId="6A4B9AEC">
            <w:pPr>
              <w:spacing w:line="360" w:lineRule="auto"/>
            </w:pPr>
            <w:r>
              <w:rPr>
                <w:sz w:val="24"/>
                <w:szCs w:val="24"/>
              </w:rPr>
              <w:t>构建全民覆盖的社会保障体系，扩大养老保险与医保覆盖面，加快实现全国统筹；推进医疗卫生制度改革，确保城乡居民基本医疗需求得到满足，守住民生保障底线。</w:t>
            </w:r>
          </w:p>
        </w:tc>
      </w:tr>
    </w:tbl>
    <w:p w14:paraId="5E495E67">
      <w:pPr>
        <w:spacing w:line="360" w:lineRule="auto"/>
        <w:ind w:firstLine="420" w:firstLineChars="200"/>
        <w:jc w:val="center"/>
        <w:rPr>
          <w:rFonts w:hint="eastAsia" w:ascii="宋体" w:hAnsi="宋体" w:eastAsia="宋体" w:cs="宋体"/>
          <w:color w:val="000000"/>
          <w:szCs w:val="21"/>
          <w:lang w:val="en-US" w:eastAsia="zh-CN"/>
        </w:rPr>
      </w:pPr>
      <w:r>
        <w:rPr>
          <w:rFonts w:hint="eastAsia" w:ascii="宋体" w:hAnsi="宋体" w:eastAsia="宋体" w:cs="宋体"/>
          <w:lang w:val="en-US" w:eastAsia="zh-CN"/>
        </w:rPr>
        <w:t>表2：发展民生经济的关键举措表</w:t>
      </w:r>
    </w:p>
    <w:p w14:paraId="2E054FB2">
      <w:pPr>
        <w:spacing w:line="360" w:lineRule="auto"/>
        <w:ind w:firstLine="480" w:firstLineChars="200"/>
        <w:jc w:val="left"/>
        <w:rPr>
          <w:rFonts w:hint="default" w:ascii="宋体" w:hAnsi="宋体" w:eastAsia="宋体" w:cs="宋体"/>
          <w:color w:val="000000"/>
          <w:szCs w:val="21"/>
          <w:lang w:val="en-US" w:eastAsia="zh-CN"/>
        </w:rPr>
      </w:pPr>
      <w:r>
        <w:rPr>
          <w:rFonts w:hint="eastAsia" w:ascii="宋体" w:hAnsi="宋体" w:eastAsia="宋体" w:cs="宋体"/>
          <w:color w:val="000000"/>
          <w:sz w:val="24"/>
          <w:szCs w:val="24"/>
          <w:lang w:val="en-US" w:eastAsia="zh-CN"/>
        </w:rPr>
        <w:t>根据表2的内容可知，发展民生经济需从五个核心领域发力，构建系统性的政策支撑框架。首先，以教育为基础，强调教育公平与素质提升，是推动社会进步与发展的根本保障；其次，就业被视为改善民生的核心动力，通过创业扶持与制度优化提升就业质量和覆盖面；再次，关注“三农”问题，体现出对农村和低收入群体的精准扶持导向；与此同时，提高收入与完善收入分配机制，是增强人民获得感与生活保障的关键；最后，以社会保障为底线，构筑全民福祉安全网，确保基本医疗与养老权益。从整体来看，该表格勾勒出民生经济多维联动的发展路径，体现了以人为本、统筹兼顾的政策逻辑。</w:t>
      </w:r>
      <w:r>
        <w:rPr>
          <w:rFonts w:hint="eastAsia" w:ascii="宋体" w:hAnsi="宋体" w:eastAsia="宋体" w:cs="宋体"/>
          <w:color w:val="000000"/>
          <w:szCs w:val="21"/>
          <w:vertAlign w:val="superscript"/>
          <w:lang w:val="en-US" w:eastAsia="zh-CN"/>
        </w:rPr>
        <w:fldChar w:fldCharType="begin"/>
      </w:r>
      <w:r>
        <w:rPr>
          <w:rFonts w:hint="eastAsia" w:ascii="宋体" w:hAnsi="宋体" w:eastAsia="宋体" w:cs="宋体"/>
          <w:color w:val="000000"/>
          <w:szCs w:val="21"/>
          <w:vertAlign w:val="superscript"/>
          <w:lang w:val="en-US" w:eastAsia="zh-CN"/>
        </w:rPr>
        <w:instrText xml:space="preserve"> REF _Ref2598 \r \h </w:instrText>
      </w:r>
      <w:r>
        <w:rPr>
          <w:rFonts w:hint="eastAsia" w:ascii="宋体" w:hAnsi="宋体" w:eastAsia="宋体" w:cs="宋体"/>
          <w:color w:val="000000"/>
          <w:szCs w:val="21"/>
          <w:vertAlign w:val="superscript"/>
          <w:lang w:val="en-US" w:eastAsia="zh-CN"/>
        </w:rPr>
        <w:fldChar w:fldCharType="separate"/>
      </w:r>
      <w:r>
        <w:rPr>
          <w:rFonts w:hint="eastAsia" w:ascii="宋体" w:hAnsi="宋体" w:eastAsia="宋体" w:cs="宋体"/>
          <w:color w:val="000000"/>
          <w:szCs w:val="21"/>
          <w:vertAlign w:val="superscript"/>
          <w:lang w:val="en-US" w:eastAsia="zh-CN"/>
        </w:rPr>
        <w:t>[2]</w:t>
      </w:r>
      <w:r>
        <w:rPr>
          <w:rFonts w:hint="eastAsia" w:ascii="宋体" w:hAnsi="宋体" w:eastAsia="宋体" w:cs="宋体"/>
          <w:color w:val="000000"/>
          <w:szCs w:val="21"/>
          <w:vertAlign w:val="superscript"/>
          <w:lang w:val="en-US" w:eastAsia="zh-CN"/>
        </w:rPr>
        <w:fldChar w:fldCharType="end"/>
      </w:r>
    </w:p>
    <w:p w14:paraId="108D9077">
      <w:pPr>
        <w:numPr>
          <w:ilvl w:val="0"/>
          <w:numId w:val="1"/>
        </w:numPr>
        <w:spacing w:line="360" w:lineRule="auto"/>
        <w:ind w:left="0" w:leftChars="0" w:firstLine="0" w:firstLineChars="0"/>
        <w:jc w:val="left"/>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全球贫困问题的现状分析</w:t>
      </w:r>
    </w:p>
    <w:p w14:paraId="396949DC">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3.1 全球贫困问题的统计数据</w:t>
      </w:r>
    </w:p>
    <w:p w14:paraId="40FFD26C">
      <w:pPr>
        <w:spacing w:line="360" w:lineRule="auto"/>
        <w:ind w:firstLine="480" w:firstLineChars="20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根据联合国的数据，截至2022年，全球仍有约7.6亿人生活在极端贫困中，他们每天的生活费用不足1.9美元。撒哈拉以南非洲占全球极端贫困人口的60%，达到3.89亿，多于其他任何地区。该地区贫困率约为35%，也是全球最高。要想实现2030年消除极端贫困的目标，该地区各国需要做到从现在到2030年人均GDP每年增长9%。这是一个极难达到的水平——在新冠疫情之前的十年里，它们的年均增幅只有1.2%。根据最新估计，2024年，全球有近7亿人的每天生活费不足每天2.15美元，如图1所示。</w:t>
      </w:r>
    </w:p>
    <w:p w14:paraId="3F5E4A6C">
      <w:pPr>
        <w:spacing w:line="400" w:lineRule="exact"/>
        <w:ind w:firstLine="480" w:firstLineChars="200"/>
        <w:jc w:val="left"/>
        <w:rPr>
          <w:rFonts w:hint="eastAsia" w:ascii="宋体" w:hAnsi="宋体" w:eastAsia="宋体" w:cs="宋体"/>
          <w:color w:val="000000"/>
          <w:sz w:val="24"/>
          <w:szCs w:val="24"/>
          <w:lang w:val="en-US" w:eastAsia="zh-CN"/>
        </w:rPr>
      </w:pPr>
    </w:p>
    <w:p w14:paraId="38CC300E">
      <w:pPr>
        <w:keepNext w:val="0"/>
        <w:keepLines w:val="0"/>
        <w:widowControl/>
        <w:suppressLineNumbers w:val="0"/>
        <w:spacing w:line="360" w:lineRule="auto"/>
        <w:ind w:left="0" w:firstLine="420"/>
        <w:jc w:val="left"/>
      </w:pPr>
      <w:r>
        <w:drawing>
          <wp:inline distT="0" distB="0" distL="114300" distR="114300">
            <wp:extent cx="5272405" cy="544258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5442585"/>
                    </a:xfrm>
                    <a:prstGeom prst="rect">
                      <a:avLst/>
                    </a:prstGeom>
                    <a:noFill/>
                    <a:ln>
                      <a:noFill/>
                    </a:ln>
                  </pic:spPr>
                </pic:pic>
              </a:graphicData>
            </a:graphic>
          </wp:inline>
        </w:drawing>
      </w:r>
    </w:p>
    <w:p w14:paraId="2B327230">
      <w:pPr>
        <w:keepNext w:val="0"/>
        <w:keepLines w:val="0"/>
        <w:widowControl/>
        <w:suppressLineNumbers w:val="0"/>
        <w:spacing w:line="360" w:lineRule="auto"/>
        <w:jc w:val="center"/>
        <w:rPr>
          <w:rFonts w:hint="default" w:ascii="宋体" w:hAnsi="宋体" w:eastAsia="宋体" w:cs="宋体"/>
          <w:lang w:val="en-US" w:eastAsia="zh-CN"/>
        </w:rPr>
      </w:pPr>
      <w:r>
        <w:rPr>
          <w:rFonts w:hint="eastAsia" w:ascii="宋体" w:hAnsi="宋体" w:eastAsia="宋体" w:cs="宋体"/>
          <w:lang w:val="en-US" w:eastAsia="zh-CN"/>
        </w:rPr>
        <w:t>图1：贫困人口数据图</w:t>
      </w:r>
    </w:p>
    <w:p w14:paraId="51F2285A">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在过去十年中，世界上生活在极端贫困中的工人比例下降了一半：从2010年的14.3%下降至2019年的7.1%。然而在2020年，由于2019冠状病毒病大流行，这一比例二十年来首次上升。据预计，到2030年消除极端贫困的全球目标将无法实现，届时仍将有超过6亿人生活在极端贫困之中。六分之一的儿童生活在极端贫困之中。2013-2022年，每天生活费低于2.15美元的儿童人数从3.83亿减少至3.33亿，但2019冠状病毒病的经济影响导致过去3年的减贫进程停滞。2024年，世界首次有超过一半的人口获得一定形式的</w:t>
      </w:r>
      <w:r>
        <w:rPr>
          <w:rFonts w:hint="eastAsia" w:asciiTheme="minorEastAsia" w:hAnsiTheme="minorEastAsia" w:eastAsiaTheme="minorEastAsia" w:cstheme="minorEastAsia"/>
          <w:color w:val="000000"/>
          <w:sz w:val="24"/>
          <w:szCs w:val="24"/>
          <w:lang w:val="en-US" w:eastAsia="zh-CN"/>
        </w:rPr>
        <w:fldChar w:fldCharType="begin"/>
      </w:r>
      <w:r>
        <w:rPr>
          <w:rFonts w:hint="eastAsia" w:asciiTheme="minorEastAsia" w:hAnsiTheme="minorEastAsia" w:eastAsiaTheme="minorEastAsia" w:cstheme="minorEastAsia"/>
          <w:color w:val="000000"/>
          <w:sz w:val="24"/>
          <w:szCs w:val="24"/>
          <w:lang w:val="en-US" w:eastAsia="zh-CN"/>
        </w:rPr>
        <w:instrText xml:space="preserve"> HYPERLINK "https://www.ilo.org/zh-hans/resource/news/" </w:instrText>
      </w:r>
      <w:r>
        <w:rPr>
          <w:rFonts w:hint="eastAsia" w:asciiTheme="minorEastAsia" w:hAnsiTheme="minorEastAsia" w:eastAsiaTheme="minorEastAsia" w:cstheme="minorEastAsia"/>
          <w:color w:val="000000"/>
          <w:sz w:val="24"/>
          <w:szCs w:val="24"/>
          <w:lang w:val="en-US" w:eastAsia="zh-CN"/>
        </w:rPr>
        <w:fldChar w:fldCharType="separate"/>
      </w:r>
      <w:r>
        <w:rPr>
          <w:rFonts w:hint="eastAsia" w:asciiTheme="minorEastAsia" w:hAnsiTheme="minorEastAsia" w:eastAsiaTheme="minorEastAsia" w:cstheme="minorEastAsia"/>
          <w:color w:val="000000"/>
          <w:sz w:val="24"/>
          <w:szCs w:val="24"/>
          <w:lang w:val="en-US" w:eastAsia="zh-CN"/>
        </w:rPr>
        <w:t>社会保护</w:t>
      </w:r>
      <w:r>
        <w:rPr>
          <w:rFonts w:hint="eastAsia" w:asciiTheme="minorEastAsia" w:hAnsiTheme="minorEastAsia" w:eastAsiaTheme="minorEastAsia" w:cstheme="minorEastAsia"/>
          <w:color w:val="000000"/>
          <w:sz w:val="24"/>
          <w:szCs w:val="24"/>
          <w:lang w:val="en-US" w:eastAsia="zh-CN"/>
        </w:rPr>
        <w:fldChar w:fldCharType="end"/>
      </w:r>
      <w:r>
        <w:rPr>
          <w:rFonts w:hint="eastAsia" w:asciiTheme="minorEastAsia" w:hAnsiTheme="minorEastAsia" w:eastAsiaTheme="minorEastAsia" w:cstheme="minorEastAsia"/>
          <w:color w:val="000000"/>
          <w:sz w:val="24"/>
          <w:szCs w:val="24"/>
          <w:lang w:val="en-US" w:eastAsia="zh-CN"/>
        </w:rPr>
        <w:t>在应对气候变化影响方面发挥着关键作用，但受气候危机影响最大的国家准备最不充分社会保护，但仍有38亿人没有得到任何社会保护，同时未获得有效保护的人更多。</w:t>
      </w:r>
    </w:p>
    <w:p w14:paraId="2DC75AF6">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3.2 全球贫困问题的特点和趋势</w:t>
      </w:r>
    </w:p>
    <w:tbl>
      <w:tblPr>
        <w:tblStyle w:val="8"/>
        <w:tblW w:w="5182"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1"/>
        <w:gridCol w:w="7161"/>
      </w:tblGrid>
      <w:tr w14:paraId="13DCE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2F9209D1">
            <w:pPr>
              <w:keepNext w:val="0"/>
              <w:keepLines w:val="0"/>
              <w:widowControl/>
              <w:suppressLineNumbers w:val="0"/>
              <w:jc w:val="center"/>
              <w:rPr>
                <w:rFonts w:hint="eastAsia" w:ascii="宋体" w:hAnsi="宋体" w:eastAsia="宋体" w:cs="宋体"/>
                <w:b/>
                <w:bCs/>
              </w:rPr>
            </w:pPr>
            <w:r>
              <w:rPr>
                <w:rFonts w:hint="eastAsia" w:ascii="宋体" w:hAnsi="宋体" w:eastAsia="宋体" w:cs="宋体"/>
                <w:b/>
                <w:bCs/>
              </w:rPr>
              <w:t>特点</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08BA6655">
            <w:pPr>
              <w:keepNext w:val="0"/>
              <w:keepLines w:val="0"/>
              <w:widowControl/>
              <w:suppressLineNumbers w:val="0"/>
              <w:jc w:val="center"/>
              <w:rPr>
                <w:rFonts w:hint="eastAsia" w:ascii="宋体" w:hAnsi="宋体" w:eastAsia="宋体" w:cs="宋体"/>
                <w:b/>
                <w:bCs/>
              </w:rPr>
            </w:pPr>
            <w:r>
              <w:rPr>
                <w:rFonts w:hint="eastAsia" w:ascii="宋体" w:hAnsi="宋体" w:eastAsia="宋体" w:cs="宋体"/>
                <w:b/>
                <w:bCs/>
              </w:rPr>
              <w:t>描述</w:t>
            </w:r>
          </w:p>
        </w:tc>
      </w:tr>
      <w:tr w14:paraId="366CD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2F3FC9D9">
            <w:pPr>
              <w:keepNext w:val="0"/>
              <w:keepLines w:val="0"/>
              <w:widowControl/>
              <w:suppressLineNumbers w:val="0"/>
              <w:spacing w:line="360" w:lineRule="auto"/>
              <w:jc w:val="center"/>
              <w:rPr>
                <w:rFonts w:hint="eastAsia" w:ascii="宋体" w:hAnsi="宋体" w:eastAsia="宋体" w:cs="宋体"/>
                <w:sz w:val="21"/>
                <w:szCs w:val="21"/>
              </w:rPr>
            </w:pPr>
            <w:r>
              <w:rPr>
                <w:rFonts w:hint="eastAsia" w:ascii="宋体" w:hAnsi="宋体" w:eastAsia="宋体" w:cs="宋体"/>
                <w:sz w:val="24"/>
                <w:szCs w:val="24"/>
              </w:rPr>
              <w:t>多维贫困</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347FD61C">
            <w:pPr>
              <w:keepNext w:val="0"/>
              <w:keepLines w:val="0"/>
              <w:widowControl/>
              <w:suppressLineNumbers w:val="0"/>
              <w:spacing w:line="360" w:lineRule="auto"/>
              <w:jc w:val="left"/>
              <w:rPr>
                <w:rFonts w:hint="eastAsia" w:ascii="宋体" w:hAnsi="宋体" w:eastAsia="宋体" w:cs="宋体"/>
                <w:sz w:val="21"/>
                <w:szCs w:val="21"/>
              </w:rPr>
            </w:pPr>
            <w:r>
              <w:rPr>
                <w:rFonts w:hint="eastAsia" w:ascii="宋体" w:hAnsi="宋体" w:eastAsia="宋体" w:cs="宋体"/>
                <w:sz w:val="24"/>
                <w:szCs w:val="24"/>
              </w:rPr>
              <w:t>贫困不仅仅是指经济上的贫困，还包括教育、健康、社会保障等方面的贫困，是一个多维度的问题。</w:t>
            </w:r>
          </w:p>
        </w:tc>
      </w:tr>
      <w:tr w14:paraId="07796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13B6336F">
            <w:pPr>
              <w:keepNext w:val="0"/>
              <w:keepLines w:val="0"/>
              <w:widowControl/>
              <w:suppressLineNumbers w:val="0"/>
              <w:spacing w:line="360" w:lineRule="auto"/>
              <w:jc w:val="center"/>
              <w:rPr>
                <w:rFonts w:hint="eastAsia" w:ascii="宋体" w:hAnsi="宋体" w:eastAsia="宋体" w:cs="宋体"/>
                <w:sz w:val="24"/>
                <w:szCs w:val="24"/>
              </w:rPr>
            </w:pPr>
            <w:r>
              <w:rPr>
                <w:rFonts w:hint="eastAsia" w:ascii="宋体" w:hAnsi="宋体" w:eastAsia="宋体" w:cs="宋体"/>
                <w:sz w:val="24"/>
                <w:szCs w:val="24"/>
              </w:rPr>
              <w:t>地区差异</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18B6DDB3">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sz w:val="24"/>
                <w:szCs w:val="24"/>
              </w:rPr>
              <w:t>贫困问题在不同地区表现出巨大差异，一些地区的贫困程度更为严重，如撒哈拉以南非洲和南亚地区。</w:t>
            </w:r>
          </w:p>
        </w:tc>
      </w:tr>
      <w:tr w14:paraId="64EDB1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23257B37">
            <w:pPr>
              <w:keepNext w:val="0"/>
              <w:keepLines w:val="0"/>
              <w:widowControl/>
              <w:suppressLineNumbers w:val="0"/>
              <w:spacing w:line="360" w:lineRule="auto"/>
              <w:jc w:val="center"/>
              <w:rPr>
                <w:rFonts w:hint="eastAsia" w:ascii="宋体" w:hAnsi="宋体" w:eastAsia="宋体" w:cs="宋体"/>
                <w:sz w:val="21"/>
                <w:szCs w:val="21"/>
              </w:rPr>
            </w:pPr>
            <w:r>
              <w:rPr>
                <w:rFonts w:hint="eastAsia" w:ascii="宋体" w:hAnsi="宋体" w:eastAsia="宋体" w:cs="宋体"/>
                <w:sz w:val="24"/>
                <w:szCs w:val="24"/>
              </w:rPr>
              <w:t>弱势群体</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575F80DA">
            <w:pPr>
              <w:keepNext w:val="0"/>
              <w:keepLines w:val="0"/>
              <w:widowControl/>
              <w:suppressLineNumbers w:val="0"/>
              <w:spacing w:line="360" w:lineRule="auto"/>
              <w:jc w:val="left"/>
              <w:rPr>
                <w:rFonts w:hint="eastAsia" w:ascii="宋体" w:hAnsi="宋体" w:eastAsia="宋体" w:cs="宋体"/>
                <w:sz w:val="21"/>
                <w:szCs w:val="21"/>
              </w:rPr>
            </w:pPr>
            <w:r>
              <w:rPr>
                <w:rFonts w:hint="eastAsia" w:ascii="宋体" w:hAnsi="宋体" w:eastAsia="宋体" w:cs="宋体"/>
                <w:sz w:val="24"/>
                <w:szCs w:val="24"/>
              </w:rPr>
              <w:t>妇女、儿童、残疾人、老年人等弱势群体更容易陷入贫困，贫困问题具有一定的社会不公平性。</w:t>
            </w:r>
          </w:p>
        </w:tc>
      </w:tr>
      <w:tr w14:paraId="41943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07E91B5F">
            <w:pPr>
              <w:keepNext w:val="0"/>
              <w:keepLines w:val="0"/>
              <w:widowControl/>
              <w:suppressLineNumbers w:val="0"/>
              <w:spacing w:line="360" w:lineRule="auto"/>
              <w:jc w:val="center"/>
              <w:rPr>
                <w:rFonts w:hint="eastAsia" w:ascii="宋体" w:hAnsi="宋体" w:eastAsia="宋体" w:cs="宋体"/>
                <w:sz w:val="24"/>
                <w:szCs w:val="24"/>
              </w:rPr>
            </w:pPr>
            <w:r>
              <w:rPr>
                <w:rFonts w:hint="eastAsia" w:ascii="宋体" w:hAnsi="宋体" w:eastAsia="宋体" w:cs="宋体"/>
                <w:sz w:val="24"/>
                <w:szCs w:val="24"/>
              </w:rPr>
              <w:t>缺乏基本服务</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468D90A0">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sz w:val="24"/>
                <w:szCs w:val="24"/>
              </w:rPr>
              <w:t>贫困人口往往缺乏基本的教育、医疗、住房等服务，生活质量低下。</w:t>
            </w:r>
          </w:p>
        </w:tc>
      </w:tr>
      <w:tr w14:paraId="274C0B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90"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224BD11B">
            <w:pPr>
              <w:keepNext w:val="0"/>
              <w:keepLines w:val="0"/>
              <w:widowControl/>
              <w:suppressLineNumbers w:val="0"/>
              <w:spacing w:line="360" w:lineRule="auto"/>
              <w:jc w:val="center"/>
              <w:rPr>
                <w:rFonts w:hint="eastAsia" w:ascii="宋体" w:hAnsi="宋体" w:eastAsia="宋体" w:cs="宋体"/>
                <w:sz w:val="24"/>
                <w:szCs w:val="24"/>
              </w:rPr>
            </w:pPr>
            <w:r>
              <w:rPr>
                <w:rFonts w:hint="eastAsia" w:ascii="宋体" w:hAnsi="宋体" w:eastAsia="宋体" w:cs="宋体"/>
                <w:sz w:val="24"/>
                <w:szCs w:val="24"/>
              </w:rPr>
              <w:t>环境影响</w:t>
            </w:r>
          </w:p>
        </w:tc>
        <w:tc>
          <w:tcPr>
            <w:tcW w:w="4109" w:type="pct"/>
            <w:tcBorders>
              <w:top w:val="single" w:color="000000" w:sz="4" w:space="0"/>
              <w:left w:val="single" w:color="000000" w:sz="4" w:space="0"/>
              <w:bottom w:val="single" w:color="000000" w:sz="4" w:space="0"/>
              <w:right w:val="single" w:color="000000" w:sz="4" w:space="0"/>
            </w:tcBorders>
            <w:shd w:val="clear" w:color="auto" w:fill="auto"/>
            <w:tcMar>
              <w:top w:w="50" w:type="dxa"/>
              <w:left w:w="50" w:type="dxa"/>
              <w:bottom w:w="50" w:type="dxa"/>
              <w:right w:w="50" w:type="dxa"/>
            </w:tcMar>
            <w:vAlign w:val="center"/>
          </w:tcPr>
          <w:p w14:paraId="2E767337">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sz w:val="24"/>
                <w:szCs w:val="24"/>
              </w:rPr>
              <w:t>一些贫困地区受到环境恶化和气候变化的影响，加剧了贫困问题。</w:t>
            </w:r>
          </w:p>
        </w:tc>
      </w:tr>
    </w:tbl>
    <w:p w14:paraId="6B4EE668">
      <w:pPr>
        <w:keepNext w:val="0"/>
        <w:keepLines w:val="0"/>
        <w:widowControl/>
        <w:suppressLineNumbers w:val="0"/>
        <w:spacing w:line="360" w:lineRule="auto"/>
        <w:jc w:val="center"/>
        <w:rPr>
          <w:rFonts w:hint="eastAsia" w:ascii="宋体" w:hAnsi="宋体" w:eastAsia="宋体" w:cs="宋体"/>
          <w:color w:val="000000"/>
          <w:szCs w:val="21"/>
          <w:lang w:val="en-US" w:eastAsia="zh-CN"/>
        </w:rPr>
      </w:pPr>
      <w:r>
        <w:rPr>
          <w:rFonts w:hint="eastAsia" w:ascii="宋体" w:hAnsi="宋体" w:eastAsia="宋体" w:cs="宋体"/>
          <w:lang w:val="en-US" w:eastAsia="zh-CN"/>
        </w:rPr>
        <w:t>表3：</w:t>
      </w:r>
      <w:r>
        <w:rPr>
          <w:rFonts w:hint="eastAsia" w:ascii="宋体" w:hAnsi="宋体" w:eastAsia="宋体" w:cs="宋体"/>
        </w:rPr>
        <w:t xml:space="preserve">全球贫困问题特点表 </w:t>
      </w:r>
    </w:p>
    <w:p w14:paraId="2716CAD1">
      <w:pPr>
        <w:spacing w:line="360" w:lineRule="auto"/>
        <w:ind w:firstLine="480" w:firstLineChars="200"/>
        <w:jc w:val="left"/>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从表3的内容可知，全球贫困问题具有多维度、多层次的复杂特点，不仅体现为收入不足，还涉及教育、医疗、住房等基本服务的缺乏，呈现出显著的地区差异，特别是在撒哈拉以南非洲和南亚地区。同时，妇女、儿童等弱势群体更易陷入贫困，环境退化与气候变化也加剧了这一问题的持续性和挑战性。</w:t>
      </w:r>
    </w:p>
    <w:p w14:paraId="3A97006F">
      <w:pPr>
        <w:numPr>
          <w:ilvl w:val="0"/>
          <w:numId w:val="1"/>
        </w:numPr>
        <w:spacing w:line="360" w:lineRule="auto"/>
        <w:ind w:left="0" w:leftChars="0" w:firstLine="0" w:firstLineChars="0"/>
        <w:jc w:val="left"/>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民生经济学视角下的减贫策略</w:t>
      </w:r>
    </w:p>
    <w:p w14:paraId="6AE46F8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szCs w:val="21"/>
          <w:lang w:val="en-US" w:eastAsia="zh-CN"/>
        </w:rPr>
      </w:pPr>
      <w:r>
        <w:rPr>
          <w:rFonts w:hint="eastAsia" w:ascii="宋体" w:hAnsi="宋体" w:eastAsia="宋体" w:cs="宋体"/>
          <w:color w:val="000000"/>
          <w:sz w:val="24"/>
          <w:szCs w:val="24"/>
          <w:lang w:val="en-US" w:eastAsia="zh-CN"/>
        </w:rPr>
        <w:t>随着我国社会经济的发展，人民生活水平得以提高，已经基本达到小康水平。目前就人民实际生活中的主要困难，尤其是相对于中低收入群体的主要生活负担而言，全面建成小康社会的主要短板集中在教育、医疗和住房三个领域，这三个领域往往被人们称为迈入21世教育和技能培训纪的“新三座大山”。</w:t>
      </w:r>
    </w:p>
    <w:p w14:paraId="6604338B">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4.1 提升教育，打破代际贫困</w:t>
      </w:r>
    </w:p>
    <w:p w14:paraId="5069262D">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在民生经济学视野下，提升教育水平是增强贫困人口自我发展能力的基础工程。教育不仅是提升个体就业能力和社会适应力的重要途径，更是阻断贫困代际传递的关键机制。研究显示，教育水平普遍较低的地区，往往伴随着较高的贫困发生率；而教育普及程度较高的地区，贫困问题相对较轻。</w:t>
      </w:r>
    </w:p>
    <w:p w14:paraId="348D5A38">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以撒哈拉以南非洲地区为例，该地区长期面临教育资源短缺与教育质量不高等困境，导致大量人口缺乏基本的知识储备和职业技能，难以有效融入现代经济体系，形成了结构性贫困的恶性循环。</w:t>
      </w:r>
    </w:p>
    <w:p w14:paraId="3D784E43">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4.2 健全医疗体系，减轻健康负担</w:t>
      </w:r>
    </w:p>
    <w:p w14:paraId="3B887591">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医疗保障不足是加剧贫困的重要因素。在众多欠发达地区，由于缺乏基础医疗设施和服务体系，居民罹患疾病后常因高昂的治疗费用而放弃就医，从而陷入“因病致贫、因病返贫”的困境。这不仅削弱了劳动能力，也进一步压缩了家庭的经济空间。</w:t>
      </w:r>
    </w:p>
    <w:p w14:paraId="6A849840">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为缓解此类问题，应构建覆盖全民的基本医疗体系，确保基础医疗服务、医护人员与药品的普及可及。同时，建立并完善全民医保制度，提供可负担的医疗保障，降低疾病风险对家庭经济的冲击。此外，强化医保政策宣传，提高参保率也是减少医疗支出负担、遏制因病致贫现象的重要手段。</w:t>
      </w:r>
    </w:p>
    <w:p w14:paraId="44E9B3B3">
      <w:pPr>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4.3 完善住房保障，缩小居住鸿沟</w:t>
      </w:r>
    </w:p>
    <w:p w14:paraId="08B9C301">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住房问题作为民生的核心内容之一，对贫困人口的生活质量具有直接影响。当前，部分农村与城市低收入人群依然居住在危房、棚户区等居住条件极差的环境中，不仅影响身体健康，也制约了社会融入与经济参与的可能性。</w:t>
      </w:r>
    </w:p>
    <w:p w14:paraId="0187798B">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因此，应持续推进城乡住房保障制度改革，提升农村危房改造与城市棚户区更新的覆盖面，改善贫困人口的基本居住条件。同时，加强住房市场监管，严厉打击恶意炒房与哄抬房价等扰乱市场秩序的行为，保障低收入群体的住房权益。提高住房信息透明度，建立公平、公开、公正的住房分配机制，是实现居住正义的重要保障。</w:t>
      </w:r>
    </w:p>
    <w:p w14:paraId="24370704">
      <w:pPr>
        <w:numPr>
          <w:ilvl w:val="0"/>
          <w:numId w:val="1"/>
        </w:numPr>
        <w:spacing w:line="360" w:lineRule="auto"/>
        <w:ind w:left="0" w:leftChars="0" w:firstLine="0" w:firstLineChars="0"/>
        <w:jc w:val="left"/>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国际减贫的中国经验</w:t>
      </w:r>
    </w:p>
    <w:p w14:paraId="760B7B23">
      <w:pPr>
        <w:spacing w:line="360" w:lineRule="auto"/>
        <w:rPr>
          <w:rFonts w:hint="eastAsia" w:asciiTheme="minorEastAsia" w:hAnsiTheme="minorEastAsia" w:eastAsiaTheme="minorEastAsia" w:cstheme="min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5.1国内政策与成果</w:t>
      </w:r>
    </w:p>
    <w:p w14:paraId="2997B904">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中国通过改革开放和实施大规模扶贫开发，走出了一条中国特色的减贫道路，使７亿多农村人口摆脱贫困，占全球减贫人口的70％以上，谱写了人类反贫困历史上的辉煌篇章。党的十八大以来，现行标准下的农村贫困人口累计减少6853万，年均减贫1370万人，比前几轮扶贫规划年均减贫规模翻一番，打破了以往新标准实施后减贫人数逐年递减的格局。贫困县减少153个，解决区域性整体贫困取得突破性进展。中共十八大以来，经过8年持续奋斗，到2020年底，中国如期完成新时代脱贫攻坚目标任务，现行标准下9899万农村贫困人口全部脱贫，如图2所示，832个贫困县全部摘帽，如图3所示，12.8万个贫困村全部出列，</w:t>
      </w:r>
    </w:p>
    <w:p w14:paraId="45930415">
      <w:pPr>
        <w:spacing w:line="360" w:lineRule="auto"/>
        <w:jc w:val="left"/>
        <w:rPr>
          <w:rFonts w:hint="eastAsia" w:asciiTheme="minorEastAsia" w:hAnsiTheme="minorEastAsia" w:eastAsiaTheme="minorEastAsia" w:cstheme="minorEastAsia"/>
          <w:color w:val="000000"/>
          <w:sz w:val="24"/>
          <w:szCs w:val="24"/>
          <w:lang w:val="en-US" w:eastAsia="zh-CN"/>
        </w:rPr>
      </w:pPr>
    </w:p>
    <w:p w14:paraId="512FC612">
      <w:pPr>
        <w:spacing w:line="360" w:lineRule="auto"/>
        <w:jc w:val="both"/>
        <w:rPr>
          <w:rFonts w:hint="eastAsia" w:ascii="宋体" w:hAnsi="宋体" w:eastAsia="宋体" w:cs="宋体"/>
          <w:lang w:val="en-US" w:eastAsia="zh-CN"/>
        </w:rPr>
      </w:pPr>
    </w:p>
    <w:p w14:paraId="34E3901F">
      <w:pPr>
        <w:spacing w:line="360" w:lineRule="auto"/>
        <w:jc w:val="center"/>
        <w:rPr>
          <w:rFonts w:hint="eastAsia" w:asciiTheme="minorEastAsia" w:hAnsiTheme="minorEastAsia" w:eastAsiaTheme="minorEastAsia" w:cstheme="minorEastAsia"/>
          <w:color w:val="000000"/>
          <w:sz w:val="24"/>
          <w:szCs w:val="24"/>
          <w:lang w:val="en-US" w:eastAsia="zh-CN"/>
        </w:rPr>
      </w:pPr>
      <w:r>
        <w:rPr>
          <w:rFonts w:hint="eastAsia" w:ascii="宋体" w:hAnsi="宋体" w:eastAsia="宋体" w:cs="宋体"/>
          <w:lang w:val="en-US" w:eastAsia="zh-CN"/>
        </w:rPr>
        <w:t>图2：脱贫攻坚战以来中国农村贫困人口变化情况</w:t>
      </w:r>
    </w:p>
    <w:p w14:paraId="6DE400EE">
      <w:pPr>
        <w:spacing w:line="360" w:lineRule="auto"/>
        <w:jc w:val="left"/>
        <w:rPr>
          <w:rFonts w:hint="default" w:asciiTheme="minorEastAsia" w:hAnsiTheme="minorEastAsia" w:eastAsiaTheme="minorEastAsia" w:cstheme="minorEastAsia"/>
          <w:color w:val="000000"/>
          <w:sz w:val="24"/>
          <w:szCs w:val="24"/>
          <w:lang w:val="en-US" w:eastAsia="zh-CN"/>
        </w:rPr>
      </w:pPr>
      <w:r>
        <w:rPr>
          <w:sz w:val="24"/>
          <w:szCs w:val="24"/>
        </w:rPr>
        <w:drawing>
          <wp:anchor distT="0" distB="0" distL="114300" distR="114300" simplePos="0" relativeHeight="251660288" behindDoc="0" locked="0" layoutInCell="1" allowOverlap="1">
            <wp:simplePos x="0" y="0"/>
            <wp:positionH relativeFrom="column">
              <wp:posOffset>-114300</wp:posOffset>
            </wp:positionH>
            <wp:positionV relativeFrom="paragraph">
              <wp:posOffset>-5274310</wp:posOffset>
            </wp:positionV>
            <wp:extent cx="5266690" cy="3419475"/>
            <wp:effectExtent l="0" t="0" r="3810" b="9525"/>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6690" cy="3419475"/>
                    </a:xfrm>
                    <a:prstGeom prst="rect">
                      <a:avLst/>
                    </a:prstGeom>
                    <a:noFill/>
                    <a:ln>
                      <a:noFill/>
                    </a:ln>
                  </pic:spPr>
                </pic:pic>
              </a:graphicData>
            </a:graphic>
          </wp:anchor>
        </w:drawing>
      </w:r>
      <w:r>
        <w:rPr>
          <w:rFonts w:hint="eastAsia" w:asciiTheme="minorEastAsia" w:hAnsiTheme="minorEastAsia" w:eastAsiaTheme="minorEastAsia" w:cstheme="minorEastAsia"/>
          <w:color w:val="000000"/>
          <w:sz w:val="24"/>
          <w:szCs w:val="24"/>
          <w:lang w:val="en-US" w:eastAsia="zh-CN"/>
        </w:rPr>
        <w:t>区域性整体贫困得到解决，完成消除绝对贫困的艰巨任务。</w:t>
      </w:r>
    </w:p>
    <w:p w14:paraId="2DE50B4B">
      <w:pPr>
        <w:keepNext w:val="0"/>
        <w:keepLines w:val="0"/>
        <w:widowControl/>
        <w:suppressLineNumbers w:val="0"/>
        <w:spacing w:line="360" w:lineRule="auto"/>
        <w:jc w:val="center"/>
      </w:pPr>
      <w:r>
        <w:drawing>
          <wp:inline distT="0" distB="0" distL="114300" distR="114300">
            <wp:extent cx="5269865" cy="3078480"/>
            <wp:effectExtent l="0" t="0" r="63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9865" cy="3078480"/>
                    </a:xfrm>
                    <a:prstGeom prst="rect">
                      <a:avLst/>
                    </a:prstGeom>
                    <a:noFill/>
                    <a:ln>
                      <a:noFill/>
                    </a:ln>
                  </pic:spPr>
                </pic:pic>
              </a:graphicData>
            </a:graphic>
          </wp:inline>
        </w:drawing>
      </w:r>
    </w:p>
    <w:p w14:paraId="58DACD39">
      <w:pPr>
        <w:keepNext w:val="0"/>
        <w:keepLines w:val="0"/>
        <w:widowControl/>
        <w:suppressLineNumbers w:val="0"/>
        <w:spacing w:line="360" w:lineRule="auto"/>
        <w:jc w:val="center"/>
        <w:rPr>
          <w:rFonts w:hint="default"/>
          <w:lang w:val="en-US" w:eastAsia="zh-CN"/>
        </w:rPr>
      </w:pPr>
      <w:r>
        <w:rPr>
          <w:rFonts w:hint="eastAsia" w:ascii="宋体" w:hAnsi="宋体" w:eastAsia="宋体" w:cs="宋体"/>
          <w:lang w:val="en-US" w:eastAsia="zh-CN"/>
        </w:rPr>
        <w:t>图3：脱贫攻坚战以来农村贫困县数量</w:t>
      </w:r>
    </w:p>
    <w:p w14:paraId="13AD13A8">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中国减贫验的核心在于正确处理政府与市场、公有与私有之间的关系。回顾改革开放以来中国的经济奇迹，一条鲜明的经验就是，中国一方面利用市场经济这只“看不见的手”，充分发挥市场的调节作用，同时又倾力打造积极有为的政府，并用这只“有形之手”实时纠偏，以弥补市场机制的不足。一句话，中国既不一味依赖政府而排斥市场，也不盲目迷信市场、排斥政府，而是将两者有机结合起来，从而产生了“1+1&gt;2”的效果。</w:t>
      </w:r>
    </w:p>
    <w:p w14:paraId="5246BB13">
      <w:pPr>
        <w:spacing w:line="360" w:lineRule="auto"/>
        <w:ind w:firstLine="480" w:firstLineChars="20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此外，中国创新提出并实施了精准扶贫与精准脱贫战略。2013年11月，习近平总书记在湖南湘西考察时首次提出“精准扶贫”理念，他强调：“扶贫要实事求是，因地制宜。要精准扶贫，切忌喊口号，也不要定好高骛远的目标。这一战略从贫困识别、政策投放到成效评估，构建起闭环管理体系，极大提高了扶贫资源的使用效率和脱贫质量。</w:t>
      </w:r>
    </w:p>
    <w:p w14:paraId="41FCB664">
      <w:pPr>
        <w:spacing w:line="360" w:lineRule="auto"/>
        <w:rPr>
          <w:rFonts w:hint="default"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t>5.2对国外的经验与成果</w:t>
      </w:r>
    </w:p>
    <w:p w14:paraId="72274C8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i w:val="0"/>
          <w:iCs w:val="0"/>
          <w:caps w:val="0"/>
          <w:color w:val="222222"/>
          <w:spacing w:val="0"/>
          <w:sz w:val="18"/>
          <w:szCs w:val="18"/>
          <w:shd w:val="clear" w:fill="FFFFFF"/>
          <w:lang w:eastAsia="zh-CN"/>
        </w:rPr>
      </w:pPr>
      <w:r>
        <w:rPr>
          <w:rFonts w:hint="eastAsia" w:asciiTheme="minorEastAsia" w:hAnsiTheme="minorEastAsia" w:eastAsiaTheme="minorEastAsia" w:cstheme="minorEastAsia"/>
          <w:color w:val="000000"/>
          <w:sz w:val="24"/>
          <w:szCs w:val="24"/>
          <w:lang w:val="en-US" w:eastAsia="zh-CN"/>
        </w:rPr>
        <w:t>习近平主席自2013年首倡“一带一路”以来，就旗帜鲜明将促进共同发展作为“一带一路”的导向。截至2022年12月，在共建“一带一路”的150个国家（含中国）中，115个国家属于发展中国家，占77%；高收入国家仅35个，占23%；其中还有24个国家属于低收入国家，人均GDP不足1000美元。因此，大多数共建国家都将减贫作为经济发展的首要任务。共建“一带一路”减贫功能直接表现为改善国家及地区的发展条件，促进经济社会发展，创造就业，增加财政收入和劳动者收入，改善居民生活条件，提振民众精神状态。世界银行研究报告指出，预计到2030年，共建“一带一路”将使全球760万人摆脱极端贫困、3200万人摆脱中度贫困。</w:t>
      </w:r>
      <w:r>
        <w:rPr>
          <w:rFonts w:hint="eastAsia" w:ascii="宋体" w:hAnsi="宋体" w:eastAsia="宋体" w:cs="宋体"/>
          <w:color w:val="000000"/>
          <w:szCs w:val="21"/>
          <w:vertAlign w:val="superscript"/>
          <w:lang w:val="en-US" w:eastAsia="zh-CN"/>
        </w:rPr>
        <w:fldChar w:fldCharType="begin"/>
      </w:r>
      <w:r>
        <w:rPr>
          <w:rFonts w:hint="eastAsia" w:ascii="宋体" w:hAnsi="宋体" w:eastAsia="宋体" w:cs="宋体"/>
          <w:color w:val="000000"/>
          <w:szCs w:val="21"/>
          <w:vertAlign w:val="superscript"/>
          <w:lang w:val="en-US" w:eastAsia="zh-CN"/>
        </w:rPr>
        <w:instrText xml:space="preserve"> REF _Ref2755 \r \h </w:instrText>
      </w:r>
      <w:r>
        <w:rPr>
          <w:rFonts w:hint="eastAsia" w:ascii="宋体" w:hAnsi="宋体" w:eastAsia="宋体" w:cs="宋体"/>
          <w:color w:val="000000"/>
          <w:szCs w:val="21"/>
          <w:vertAlign w:val="superscript"/>
          <w:lang w:val="en-US" w:eastAsia="zh-CN"/>
        </w:rPr>
        <w:fldChar w:fldCharType="separate"/>
      </w:r>
      <w:r>
        <w:rPr>
          <w:rFonts w:hint="eastAsia" w:ascii="宋体" w:hAnsi="宋体" w:eastAsia="宋体" w:cs="宋体"/>
          <w:color w:val="000000"/>
          <w:szCs w:val="21"/>
          <w:vertAlign w:val="superscript"/>
          <w:lang w:val="en-US" w:eastAsia="zh-CN"/>
        </w:rPr>
        <w:t>[4]</w:t>
      </w:r>
      <w:r>
        <w:rPr>
          <w:rFonts w:hint="eastAsia" w:ascii="宋体" w:hAnsi="宋体" w:eastAsia="宋体" w:cs="宋体"/>
          <w:color w:val="000000"/>
          <w:szCs w:val="21"/>
          <w:vertAlign w:val="superscript"/>
          <w:lang w:val="en-US" w:eastAsia="zh-CN"/>
        </w:rPr>
        <w:fldChar w:fldCharType="end"/>
      </w:r>
    </w:p>
    <w:p w14:paraId="7515720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一带一路”贸易畅通为促进减贫添动力。贸易研究显示，国际贸易能够在最不发达国家减轻贫困方面发挥强大作用，进出口有利于持续的经济增长进程、生产能力的开发以及就业机会增加。“一带一路”倡议在提出之初，就把贸易畅通作为“五通”之一。中国与共建“一带一路”国家及地区在贸易方面具有较强的互补性，形成了互利共赢的局面，2021年，我国与共建国家货物贸易额达11.6万亿元，创八年来新高，同比增长23.6％，占我国外贸总额的比重达到29.7％。</w:t>
      </w:r>
      <w:r>
        <w:rPr>
          <w:rFonts w:hint="eastAsia" w:ascii="宋体" w:hAnsi="宋体" w:eastAsia="宋体" w:cs="宋体"/>
          <w:color w:val="000000"/>
          <w:szCs w:val="21"/>
          <w:vertAlign w:val="superscript"/>
          <w:lang w:val="en-US" w:eastAsia="zh-CN"/>
        </w:rPr>
        <w:fldChar w:fldCharType="begin"/>
      </w:r>
      <w:r>
        <w:rPr>
          <w:rFonts w:hint="eastAsia" w:ascii="宋体" w:hAnsi="宋体" w:eastAsia="宋体" w:cs="宋体"/>
          <w:color w:val="000000"/>
          <w:szCs w:val="21"/>
          <w:vertAlign w:val="superscript"/>
          <w:lang w:val="en-US" w:eastAsia="zh-CN"/>
        </w:rPr>
        <w:instrText xml:space="preserve"> REF _Ref2813 \r \h </w:instrText>
      </w:r>
      <w:r>
        <w:rPr>
          <w:rFonts w:hint="eastAsia" w:ascii="宋体" w:hAnsi="宋体" w:eastAsia="宋体" w:cs="宋体"/>
          <w:color w:val="000000"/>
          <w:szCs w:val="21"/>
          <w:vertAlign w:val="superscript"/>
          <w:lang w:val="en-US" w:eastAsia="zh-CN"/>
        </w:rPr>
        <w:fldChar w:fldCharType="separate"/>
      </w:r>
      <w:r>
        <w:rPr>
          <w:rFonts w:hint="eastAsia" w:ascii="宋体" w:hAnsi="宋体" w:eastAsia="宋体" w:cs="宋体"/>
          <w:color w:val="000000"/>
          <w:szCs w:val="21"/>
          <w:vertAlign w:val="superscript"/>
          <w:lang w:val="en-US" w:eastAsia="zh-CN"/>
        </w:rPr>
        <w:t>[5]</w:t>
      </w:r>
      <w:r>
        <w:rPr>
          <w:rFonts w:hint="eastAsia" w:ascii="宋体" w:hAnsi="宋体" w:eastAsia="宋体" w:cs="宋体"/>
          <w:color w:val="000000"/>
          <w:szCs w:val="21"/>
          <w:vertAlign w:val="superscript"/>
          <w:lang w:val="en-US" w:eastAsia="zh-CN"/>
        </w:rPr>
        <w:fldChar w:fldCharType="end"/>
      </w:r>
      <w:r>
        <w:rPr>
          <w:rFonts w:hint="eastAsia" w:asciiTheme="minorEastAsia" w:hAnsiTheme="minorEastAsia" w:eastAsiaTheme="minorEastAsia" w:cstheme="minorEastAsia"/>
          <w:color w:val="000000"/>
          <w:sz w:val="24"/>
          <w:szCs w:val="24"/>
          <w:lang w:val="en-US" w:eastAsia="zh-CN"/>
        </w:rPr>
        <w:t>“一带一路”贸易畅通充分挖掘出共建国家及地区的贸易潜力，重构全球公平公正的全球贸易体系，改变西方发达国家主导、发展中国家“话语权”缺失的贸易分工，在加速推进共建国家及地区融入全球化贸易分工的同时，直接带动共建国家及地区经济增长，推动减贫取得显著成效。</w:t>
      </w:r>
    </w:p>
    <w:p w14:paraId="0AEE11A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szCs w:val="21"/>
          <w:vertAlign w:val="superscript"/>
          <w:lang w:val="en-US" w:eastAsia="zh-CN"/>
        </w:rPr>
      </w:pPr>
      <w:r>
        <w:rPr>
          <w:rFonts w:hint="eastAsia" w:asciiTheme="minorEastAsia" w:hAnsiTheme="minorEastAsia" w:eastAsiaTheme="minorEastAsia" w:cstheme="minorEastAsia"/>
          <w:color w:val="000000"/>
          <w:sz w:val="24"/>
          <w:szCs w:val="24"/>
          <w:lang w:val="en-US" w:eastAsia="zh-CN"/>
        </w:rPr>
        <w:t>“一带一路”合作项目为促进减贫增就业。就业减贫是最直接、最有效且能激活贫困人口内生动力的减贫方式。共建“一带一路”通过产业投资、基础设施建设，推动当地融入全球产业链和价值链，为项目所在地创造了大量公共就业岗位。一是基础设施建设创造大量就业机会。从中老铁路案例看，2021年12月，中老铁路建成通车，让老挝从一个“陆锁国”一跃而成为“陆联国”。相关调查显示，中老铁路的建成通车明显改善了沿线地区的公共基础设施，一方面为居民</w:t>
      </w:r>
      <w:r>
        <w:rPr>
          <w:rFonts w:hint="eastAsia" w:asciiTheme="minorEastAsia" w:hAnsiTheme="minorEastAsia" w:eastAsiaTheme="minorEastAsia" w:cstheme="minorEastAsia"/>
          <w:color w:val="000000"/>
          <w:sz w:val="24"/>
          <w:szCs w:val="24"/>
          <w:lang w:val="en-US" w:eastAsia="zh-CN"/>
        </w:rPr>
        <w:drawing>
          <wp:anchor distT="0" distB="0" distL="114300" distR="114300" simplePos="0" relativeHeight="251659264" behindDoc="0" locked="0" layoutInCell="1" allowOverlap="1">
            <wp:simplePos x="0" y="0"/>
            <wp:positionH relativeFrom="column">
              <wp:posOffset>-80010</wp:posOffset>
            </wp:positionH>
            <wp:positionV relativeFrom="paragraph">
              <wp:posOffset>3653790</wp:posOffset>
            </wp:positionV>
            <wp:extent cx="5271135" cy="3020060"/>
            <wp:effectExtent l="0" t="0" r="12065" b="2540"/>
            <wp:wrapTopAndBottom/>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71135" cy="3020060"/>
                    </a:xfrm>
                    <a:prstGeom prst="rect">
                      <a:avLst/>
                    </a:prstGeom>
                    <a:noFill/>
                    <a:ln>
                      <a:noFill/>
                    </a:ln>
                  </pic:spPr>
                </pic:pic>
              </a:graphicData>
            </a:graphic>
          </wp:anchor>
        </w:drawing>
      </w:r>
      <w:r>
        <w:rPr>
          <w:rFonts w:hint="eastAsia" w:asciiTheme="minorEastAsia" w:hAnsiTheme="minorEastAsia" w:eastAsiaTheme="minorEastAsia" w:cstheme="minorEastAsia"/>
          <w:color w:val="000000"/>
          <w:sz w:val="24"/>
          <w:szCs w:val="24"/>
          <w:lang w:val="en-US" w:eastAsia="zh-CN"/>
        </w:rPr>
        <w:t>出外就业提供了更为便利的条件，另一方面对当地产业和产品的流通产生了积极的影响，直接推动当地减贫事业发展。二是境外经贸合作园区推动共建国家及地区工业化，吸纳当地大量就业。从经济史看，工业化能吸收大量从农业转移出来的剩余劳动力，增加当地人民收入，推动城市化，大规模减少贫困人口。商务部2022年3月的数据显示，我国企业建设的境外经贸合作区，截至2021年末累计向东道国上交税费66亿美元，为当地创造39.2万个就业岗位，有力推动了当地减贫事业发展。</w:t>
      </w:r>
      <w:r>
        <w:rPr>
          <w:rFonts w:hint="eastAsia" w:ascii="宋体" w:hAnsi="宋体" w:eastAsia="宋体" w:cs="宋体"/>
          <w:color w:val="000000"/>
          <w:szCs w:val="21"/>
          <w:vertAlign w:val="superscript"/>
          <w:lang w:val="en-US" w:eastAsia="zh-CN"/>
        </w:rPr>
        <w:fldChar w:fldCharType="begin"/>
      </w:r>
      <w:r>
        <w:rPr>
          <w:rFonts w:hint="eastAsia" w:ascii="宋体" w:hAnsi="宋体" w:eastAsia="宋体" w:cs="宋体"/>
          <w:color w:val="000000"/>
          <w:szCs w:val="21"/>
          <w:vertAlign w:val="superscript"/>
          <w:lang w:val="en-US" w:eastAsia="zh-CN"/>
        </w:rPr>
        <w:instrText xml:space="preserve"> REF _Ref2859 \r \h </w:instrText>
      </w:r>
      <w:r>
        <w:rPr>
          <w:rFonts w:hint="eastAsia" w:ascii="宋体" w:hAnsi="宋体" w:eastAsia="宋体" w:cs="宋体"/>
          <w:color w:val="000000"/>
          <w:szCs w:val="21"/>
          <w:vertAlign w:val="superscript"/>
          <w:lang w:val="en-US" w:eastAsia="zh-CN"/>
        </w:rPr>
        <w:fldChar w:fldCharType="separate"/>
      </w:r>
      <w:r>
        <w:rPr>
          <w:rFonts w:hint="eastAsia" w:ascii="宋体" w:hAnsi="宋体" w:eastAsia="宋体" w:cs="宋体"/>
          <w:color w:val="000000"/>
          <w:szCs w:val="21"/>
          <w:vertAlign w:val="superscript"/>
          <w:lang w:val="en-US" w:eastAsia="zh-CN"/>
        </w:rPr>
        <w:t>[6]</w:t>
      </w:r>
      <w:r>
        <w:rPr>
          <w:rFonts w:hint="eastAsia" w:ascii="宋体" w:hAnsi="宋体" w:eastAsia="宋体" w:cs="宋体"/>
          <w:color w:val="000000"/>
          <w:szCs w:val="21"/>
          <w:vertAlign w:val="superscript"/>
          <w:lang w:val="en-US" w:eastAsia="zh-CN"/>
        </w:rPr>
        <w:fldChar w:fldCharType="end"/>
      </w:r>
      <w:r>
        <w:rPr>
          <w:rFonts w:hint="eastAsia" w:asciiTheme="minorEastAsia" w:hAnsiTheme="minorEastAsia" w:eastAsiaTheme="minorEastAsia" w:cstheme="minorEastAsia"/>
          <w:color w:val="000000"/>
          <w:sz w:val="24"/>
          <w:szCs w:val="24"/>
          <w:lang w:val="en-US" w:eastAsia="zh-CN"/>
        </w:rPr>
        <w:t>从图4可以看出，近年来老挝GDP总量持续增长，特别是2010年以后，伴随“一带一路”项目的深入推进，经济发展动力显著增强。尽管2020年受全球疫情影响，GDP增速短期回落，但整体趋势仍体现出“一带一路”基础设施建设与区域合作对老挝经济活力与结构转型的强劲拉动作用。这一现实案例充分印证了“一带一路”在推动沿线国家减贫增收、实现可持续发展的积极成效，也为其他发展中国家提供了值得借鉴的路径样本。</w:t>
      </w:r>
    </w:p>
    <w:p w14:paraId="3BE24FD9">
      <w:pPr>
        <w:keepNext w:val="0"/>
        <w:keepLines w:val="0"/>
        <w:widowControl/>
        <w:suppressLineNumbers w:val="0"/>
        <w:spacing w:line="360" w:lineRule="auto"/>
        <w:jc w:val="center"/>
        <w:rPr>
          <w:rFonts w:hint="eastAsia" w:ascii="宋体" w:hAnsi="宋体" w:eastAsia="宋体" w:cs="宋体"/>
          <w:color w:val="000000"/>
          <w:szCs w:val="21"/>
          <w:lang w:val="en-US" w:eastAsia="zh-CN"/>
        </w:rPr>
      </w:pPr>
      <w:r>
        <w:rPr>
          <w:rFonts w:hint="eastAsia" w:ascii="宋体" w:hAnsi="宋体" w:eastAsia="宋体" w:cs="宋体"/>
          <w:lang w:val="en-US" w:eastAsia="zh-CN"/>
        </w:rPr>
        <w:t>图4：老挝1984—2020年GDP总量与增长率变化趋势图</w:t>
      </w:r>
    </w:p>
    <w:p w14:paraId="1AEEB3E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一带一路”倡议自提出以来，始终将促进共同发展、推动减贫作为核心导向。通过基础设施建设、贸易畅通与产业合作等多维联动机制，该倡议有效改善了共建国家的发展条件与就业结构，显著提升了经济活力与居民福祉。共建“一带一路”不仅为发展中国家拓展了减贫路径，也重塑了全球贸易与发展治理格局，展现了推动构建人类命运共同体的中国智慧与中国方案。</w:t>
      </w:r>
    </w:p>
    <w:p w14:paraId="503D1264">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val="0"/>
          <w:bCs w:val="0"/>
          <w:color w:val="000000"/>
          <w:kern w:val="2"/>
          <w:sz w:val="24"/>
          <w:szCs w:val="24"/>
          <w:lang w:val="en-US" w:eastAsia="zh-CN" w:bidi="ar-SA"/>
        </w:rPr>
      </w:pPr>
      <w:r>
        <w:rPr>
          <w:rFonts w:hint="eastAsia" w:ascii="黑体" w:hAnsi="黑体" w:eastAsia="黑体" w:cs="黑体"/>
          <w:b w:val="0"/>
          <w:bCs w:val="0"/>
          <w:color w:val="000000"/>
          <w:kern w:val="2"/>
          <w:sz w:val="24"/>
          <w:szCs w:val="24"/>
          <w:lang w:val="en-US" w:eastAsia="zh-CN" w:bidi="ar-SA"/>
        </w:rPr>
        <w:t>结论</w:t>
      </w:r>
    </w:p>
    <w:p w14:paraId="2279D7A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全球贫困问题是一项深层次、结构性的挑战，关涉经济、社会、政治与环境等多维要素，尤其在发展中国家更为严峻。民生经济学作为关注人民生活质量与社会公平的新兴经济学分支，以“人”为核心，强调资源配置与制度安排服务于民生改善，为应对全球贫困提供了理论根基与政策框架。</w:t>
      </w:r>
    </w:p>
    <w:p w14:paraId="56AD3E8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本文首先通过联合国和世界银行等权威数据揭示了当前全球贫困的严峻现状与多维特征，指出撒哈拉以南非洲、南亚等区域面临的高风险与结构性障碍。同时，结合民生经济学的核心理念，从教育、医疗、住房三方面提出针对性减贫路径，强调提升人的发展能力与社会保障的普惠性，是解决贫困的根本之策。</w:t>
      </w:r>
    </w:p>
    <w:p w14:paraId="2EF98A5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中国的脱贫攻坚实践为全球提供了可资借鉴的典范。无论是以“精准扶贫”为代表的政策创新，还是以政府—市场协同为支撑的制度整合，均有效推动了7亿多人口脱贫，彰显出国家能力与发展战略的协同效应。此外，通过共建“一带一路”倡议，中国推动了基础设施互联互通、贸易增长和就业创造，为广大发展中国家提供了稳定可持续的发展路径，也为全球减贫格局注入新动能。</w:t>
      </w:r>
    </w:p>
    <w:p w14:paraId="3DB1BB8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rPr>
      </w:pPr>
      <w:r>
        <w:rPr>
          <w:rFonts w:hint="eastAsia" w:asciiTheme="minorEastAsia" w:hAnsiTheme="minorEastAsia" w:eastAsiaTheme="minorEastAsia" w:cstheme="minorEastAsia"/>
          <w:color w:val="000000"/>
          <w:sz w:val="24"/>
          <w:szCs w:val="24"/>
          <w:lang w:val="en-US" w:eastAsia="zh-CN"/>
        </w:rPr>
        <w:t>综上所述，民生经济学不仅有助于深化对贫困本质与成因的认知，更为全球减贫提供了可推广、可持续的理论指导与政策工具。未来，唯有强化教育、完善社会保障体系、促进机会公平，并在国际合作中实现发展共享，才能真正推动全球减贫事业深入发展，迈向更加包容、公正、可持续的世界。为此，通过持续深化研究、推动政策创新与拓展全球协作将成为关键路径，我们有信心凝聚合力，共同应对贫困挑战，为构建人类命运共同体作出积极贡献。</w:t>
      </w:r>
      <w:r>
        <w:rPr>
          <w:rFonts w:hint="eastAsia" w:asciiTheme="minorEastAsia" w:hAnsiTheme="minorEastAsia" w:eastAsiaTheme="minorEastAsia" w:cstheme="minorEastAsia"/>
          <w:i w:val="0"/>
          <w:iCs w:val="0"/>
          <w:caps w:val="0"/>
          <w:color w:val="auto"/>
          <w:spacing w:val="0"/>
          <w:sz w:val="24"/>
          <w:szCs w:val="24"/>
        </w:rPr>
        <w:br w:type="page"/>
      </w:r>
    </w:p>
    <w:p w14:paraId="147D37ED">
      <w:pPr>
        <w:jc w:val="center"/>
        <w:rPr>
          <w:rFonts w:hint="eastAsia" w:ascii="宋体" w:hAnsi="宋体" w:eastAsia="宋体" w:cs="宋体"/>
          <w:b/>
          <w:bCs/>
          <w:sz w:val="21"/>
          <w:szCs w:val="21"/>
          <w:shd w:val="clear" w:color="auto" w:fill="FDFDFE"/>
          <w:lang w:val="en-US" w:eastAsia="zh-CN"/>
        </w:rPr>
      </w:pPr>
      <w:r>
        <w:rPr>
          <w:rFonts w:hint="eastAsia" w:ascii="宋体" w:hAnsi="宋体" w:eastAsia="宋体" w:cs="宋体"/>
          <w:b/>
          <w:bCs/>
          <w:sz w:val="21"/>
          <w:szCs w:val="21"/>
          <w:shd w:val="clear" w:color="auto" w:fill="FDFDFE"/>
          <w:lang w:val="en-US" w:eastAsia="zh-CN"/>
        </w:rPr>
        <w:t>参考文献</w:t>
      </w:r>
    </w:p>
    <w:p w14:paraId="3E1AD141">
      <w:pPr>
        <w:jc w:val="center"/>
        <w:rPr>
          <w:rFonts w:hint="eastAsia" w:ascii="宋体" w:hAnsi="宋体" w:eastAsia="宋体" w:cs="宋体"/>
          <w:b/>
          <w:bCs/>
          <w:sz w:val="21"/>
          <w:szCs w:val="21"/>
          <w:shd w:val="clear" w:color="auto" w:fill="FDFDFE"/>
          <w:lang w:val="en-US" w:eastAsia="zh-CN"/>
        </w:rPr>
      </w:pPr>
    </w:p>
    <w:p w14:paraId="55FF68C8">
      <w:pPr>
        <w:numPr>
          <w:ilvl w:val="0"/>
          <w:numId w:val="3"/>
        </w:numPr>
        <w:wordWrap w:val="0"/>
        <w:jc w:val="left"/>
        <w:rPr>
          <w:rFonts w:hint="eastAsia" w:ascii="楷体" w:hAnsi="楷体" w:eastAsia="楷体" w:cs="楷体"/>
          <w:szCs w:val="21"/>
          <w:shd w:val="clear" w:color="auto" w:fill="FDFDFE"/>
          <w:lang w:val="en-US" w:eastAsia="zh-CN"/>
        </w:rPr>
      </w:pPr>
      <w:bookmarkStart w:id="0" w:name="_Ref2484"/>
      <w:r>
        <w:rPr>
          <w:rFonts w:hint="default" w:ascii="楷体" w:hAnsi="楷体" w:eastAsia="楷体" w:cs="楷体"/>
          <w:szCs w:val="21"/>
          <w:shd w:val="clear" w:color="auto" w:fill="FDFDFE"/>
          <w:lang w:val="en-US" w:eastAsia="zh-CN"/>
        </w:rPr>
        <w:t>https://wiki.mbalib.com/wiki</w:t>
      </w:r>
      <w:r>
        <w:rPr>
          <w:rFonts w:hint="eastAsia" w:ascii="楷体" w:hAnsi="楷体" w:eastAsia="楷体" w:cs="楷体"/>
          <w:szCs w:val="21"/>
          <w:shd w:val="clear" w:color="auto" w:fill="FDFDFE"/>
          <w:lang w:val="en-US" w:eastAsia="zh-CN"/>
        </w:rPr>
        <w:t>/民生经济学</w:t>
      </w:r>
      <w:bookmarkEnd w:id="0"/>
    </w:p>
    <w:p w14:paraId="1493A91C">
      <w:pPr>
        <w:numPr>
          <w:ilvl w:val="0"/>
          <w:numId w:val="3"/>
        </w:numPr>
        <w:wordWrap w:val="0"/>
        <w:jc w:val="left"/>
        <w:rPr>
          <w:rFonts w:hint="eastAsia" w:ascii="楷体" w:hAnsi="楷体" w:eastAsia="楷体" w:cs="楷体"/>
          <w:szCs w:val="21"/>
          <w:shd w:val="clear" w:color="auto" w:fill="FDFDFE"/>
          <w:lang w:val="en-US" w:eastAsia="zh-CN"/>
        </w:rPr>
      </w:pPr>
      <w:bookmarkStart w:id="1" w:name="_Ref2598"/>
      <w:r>
        <w:rPr>
          <w:rFonts w:hint="default" w:ascii="楷体" w:hAnsi="楷体" w:eastAsia="楷体" w:cs="楷体"/>
          <w:szCs w:val="21"/>
          <w:shd w:val="clear" w:color="auto" w:fill="FDFDFE"/>
          <w:lang w:val="en-US" w:eastAsia="zh-CN"/>
        </w:rPr>
        <w:t>https://baike.eastmoney.com/item/</w:t>
      </w:r>
      <w:r>
        <w:rPr>
          <w:rFonts w:hint="eastAsia" w:ascii="楷体" w:hAnsi="楷体" w:eastAsia="楷体" w:cs="楷体"/>
          <w:szCs w:val="21"/>
          <w:shd w:val="clear" w:color="auto" w:fill="FDFDFE"/>
          <w:lang w:val="en-US" w:eastAsia="zh-CN"/>
        </w:rPr>
        <w:t>民生经济</w:t>
      </w:r>
      <w:bookmarkEnd w:id="1"/>
    </w:p>
    <w:p w14:paraId="420B1D42">
      <w:pPr>
        <w:numPr>
          <w:ilvl w:val="0"/>
          <w:numId w:val="3"/>
        </w:numPr>
        <w:wordWrap w:val="0"/>
        <w:jc w:val="left"/>
        <w:rPr>
          <w:rFonts w:hint="default" w:ascii="楷体" w:hAnsi="楷体" w:eastAsia="楷体" w:cs="楷体"/>
          <w:szCs w:val="21"/>
          <w:shd w:val="clear" w:color="auto" w:fill="FDFDFE"/>
          <w:lang w:val="en-US" w:eastAsia="zh-CN"/>
        </w:rPr>
      </w:pPr>
      <w:bookmarkStart w:id="2" w:name="_Ref2709"/>
      <w:r>
        <w:rPr>
          <w:rFonts w:hint="default" w:ascii="楷体" w:hAnsi="楷体" w:eastAsia="楷体" w:cs="楷体"/>
          <w:szCs w:val="21"/>
          <w:shd w:val="clear" w:color="auto" w:fill="FDFDFE"/>
          <w:lang w:val="en-US" w:eastAsia="zh-CN"/>
        </w:rPr>
        <w:t>http://paper.people.com.cn/rmzk/html/2019-04/18/content_1920525.htm中国减贫经验的国际比较与启示</w:t>
      </w:r>
      <w:r>
        <w:rPr>
          <w:rFonts w:hint="eastAsia" w:ascii="楷体" w:hAnsi="楷体" w:eastAsia="楷体" w:cs="楷体"/>
          <w:szCs w:val="21"/>
          <w:shd w:val="clear" w:color="auto" w:fill="FDFDFE"/>
          <w:lang w:val="en-US" w:eastAsia="zh-CN"/>
        </w:rPr>
        <w:t>-人民日报</w:t>
      </w:r>
      <w:bookmarkEnd w:id="2"/>
    </w:p>
    <w:p w14:paraId="5567F304">
      <w:pPr>
        <w:numPr>
          <w:ilvl w:val="0"/>
          <w:numId w:val="3"/>
        </w:numPr>
        <w:wordWrap w:val="0"/>
        <w:jc w:val="left"/>
        <w:rPr>
          <w:rFonts w:hint="default" w:ascii="楷体" w:hAnsi="楷体" w:eastAsia="楷体" w:cs="楷体"/>
          <w:szCs w:val="21"/>
          <w:shd w:val="clear" w:color="auto" w:fill="FDFDFE"/>
          <w:lang w:val="en-US" w:eastAsia="zh-CN"/>
        </w:rPr>
      </w:pPr>
      <w:bookmarkStart w:id="3" w:name="_Ref2755"/>
      <w:r>
        <w:rPr>
          <w:rFonts w:hint="default" w:ascii="楷体" w:hAnsi="楷体" w:eastAsia="楷体" w:cs="楷体"/>
          <w:szCs w:val="21"/>
          <w:shd w:val="clear" w:color="auto" w:fill="FDFDFE"/>
          <w:lang w:val="en-US" w:eastAsia="zh-CN"/>
        </w:rPr>
        <w:t>肖新新：《合力建设远离贫困、共同发展的美好世界（命运与共·全球发展倡议系列综述）》，《人民日报》，2022年4月6日，第3版</w:t>
      </w:r>
      <w:bookmarkEnd w:id="3"/>
    </w:p>
    <w:p w14:paraId="011AA626">
      <w:pPr>
        <w:numPr>
          <w:ilvl w:val="0"/>
          <w:numId w:val="3"/>
        </w:numPr>
        <w:wordWrap w:val="0"/>
        <w:jc w:val="left"/>
        <w:rPr>
          <w:rFonts w:hint="eastAsia" w:ascii="楷体" w:hAnsi="楷体" w:eastAsia="楷体" w:cs="楷体"/>
          <w:szCs w:val="21"/>
          <w:shd w:val="clear" w:color="auto" w:fill="FDFDFE"/>
          <w:lang w:val="en-US" w:eastAsia="zh-CN"/>
        </w:rPr>
      </w:pPr>
      <w:bookmarkStart w:id="4" w:name="_Ref2813"/>
      <w:r>
        <w:rPr>
          <w:rFonts w:hint="eastAsia" w:ascii="楷体" w:hAnsi="楷体" w:eastAsia="楷体" w:cs="楷体"/>
          <w:szCs w:val="21"/>
          <w:shd w:val="clear" w:color="auto" w:fill="FDFDFE"/>
          <w:lang w:val="en-US" w:eastAsia="zh-CN"/>
        </w:rPr>
        <w:t>刘颖、张道峰、徐宁宁：《商务部：2021年我国与“一带一路”共建国家货物贸易额创八年来新高》，2022年1月26日，https://www.yidaiyilu.gov.cn/xwzx/gnxw/217958.htm</w:t>
      </w:r>
      <w:bookmarkEnd w:id="4"/>
    </w:p>
    <w:p w14:paraId="71A1A056">
      <w:pPr>
        <w:numPr>
          <w:ilvl w:val="0"/>
          <w:numId w:val="3"/>
        </w:numPr>
        <w:wordWrap w:val="0"/>
        <w:jc w:val="left"/>
        <w:rPr>
          <w:rFonts w:hint="eastAsia" w:ascii="楷体" w:hAnsi="楷体" w:eastAsia="楷体" w:cs="楷体"/>
          <w:szCs w:val="21"/>
          <w:shd w:val="clear" w:color="auto" w:fill="FDFDFE"/>
          <w:lang w:val="en-US" w:eastAsia="zh-CN"/>
        </w:rPr>
      </w:pPr>
      <w:bookmarkStart w:id="5" w:name="_Ref2859"/>
      <w:r>
        <w:rPr>
          <w:rFonts w:hint="eastAsia" w:ascii="楷体" w:hAnsi="楷体" w:eastAsia="楷体" w:cs="楷体"/>
          <w:szCs w:val="21"/>
          <w:shd w:val="clear" w:color="auto" w:fill="FDFDFE"/>
          <w:lang w:val="en-US" w:eastAsia="zh-CN"/>
        </w:rPr>
        <w:t>《国家统计局：“一带一路”建设成果丰硕 多边金融合作支撑作用显现》，2022年10月9日，https://m.gmw.cn/baijia/2022-10/09/1303168136.html</w:t>
      </w:r>
      <w:bookmarkEnd w:id="5"/>
    </w:p>
    <w:p w14:paraId="60CCF0C0">
      <w:pPr>
        <w:keepNext w:val="0"/>
        <w:keepLines w:val="0"/>
        <w:pageBreakBefore w:val="0"/>
        <w:widowControl w:val="0"/>
        <w:kinsoku/>
        <w:wordWrap/>
        <w:overflowPunct/>
        <w:topLinePunct w:val="0"/>
        <w:autoSpaceDE/>
        <w:autoSpaceDN/>
        <w:bidi w:val="0"/>
        <w:adjustRightInd/>
        <w:snapToGrid/>
        <w:ind w:left="420" w:hanging="420" w:hangingChars="200"/>
        <w:jc w:val="both"/>
        <w:textAlignment w:val="auto"/>
        <w:rPr>
          <w:rFonts w:hint="eastAsia" w:ascii="宋体" w:hAnsi="宋体" w:eastAsia="宋体" w:cs="宋体"/>
          <w:i w:val="0"/>
          <w:iCs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BED80B"/>
    <w:multiLevelType w:val="singleLevel"/>
    <w:tmpl w:val="B7BED80B"/>
    <w:lvl w:ilvl="0" w:tentative="0">
      <w:start w:val="1"/>
      <w:numFmt w:val="decimalEnclosedCircleChinese"/>
      <w:suff w:val="space"/>
      <w:lvlText w:val="%1"/>
      <w:lvlJc w:val="left"/>
      <w:rPr>
        <w:rFonts w:hint="eastAsia"/>
      </w:rPr>
    </w:lvl>
  </w:abstractNum>
  <w:abstractNum w:abstractNumId="1">
    <w:nsid w:val="024498B6"/>
    <w:multiLevelType w:val="singleLevel"/>
    <w:tmpl w:val="024498B6"/>
    <w:lvl w:ilvl="0" w:tentative="0">
      <w:start w:val="1"/>
      <w:numFmt w:val="decimal"/>
      <w:lvlText w:val="[%1]"/>
      <w:lvlJc w:val="left"/>
      <w:pPr>
        <w:tabs>
          <w:tab w:val="left" w:pos="312"/>
        </w:tabs>
        <w:ind w:left="0"/>
      </w:pPr>
    </w:lvl>
  </w:abstractNum>
  <w:abstractNum w:abstractNumId="2">
    <w:nsid w:val="6DDBC2B4"/>
    <w:multiLevelType w:val="multilevel"/>
    <w:tmpl w:val="6DDBC2B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kMTFlNWFiMzI3ZTI0NGVhYmFlMzJkYmMzZDdhYWUifQ=="/>
  </w:docVars>
  <w:rsids>
    <w:rsidRoot w:val="62FF1FB9"/>
    <w:rsid w:val="00353CF3"/>
    <w:rsid w:val="01017684"/>
    <w:rsid w:val="02AB3F9C"/>
    <w:rsid w:val="04A15406"/>
    <w:rsid w:val="053E7F2B"/>
    <w:rsid w:val="05D915B9"/>
    <w:rsid w:val="064375F9"/>
    <w:rsid w:val="065F10D4"/>
    <w:rsid w:val="077E37DC"/>
    <w:rsid w:val="0883486A"/>
    <w:rsid w:val="08DB596E"/>
    <w:rsid w:val="0AF64AF0"/>
    <w:rsid w:val="0BB51797"/>
    <w:rsid w:val="0C3923C8"/>
    <w:rsid w:val="0EAC50D3"/>
    <w:rsid w:val="10675755"/>
    <w:rsid w:val="10C009C2"/>
    <w:rsid w:val="11500196"/>
    <w:rsid w:val="123D24DA"/>
    <w:rsid w:val="14387ED1"/>
    <w:rsid w:val="16007AB2"/>
    <w:rsid w:val="198376A7"/>
    <w:rsid w:val="1A787052"/>
    <w:rsid w:val="1A7A6085"/>
    <w:rsid w:val="1AE479A2"/>
    <w:rsid w:val="1BC05D1A"/>
    <w:rsid w:val="1D255798"/>
    <w:rsid w:val="1D322C47"/>
    <w:rsid w:val="1DFC3255"/>
    <w:rsid w:val="1ED8781E"/>
    <w:rsid w:val="226338A3"/>
    <w:rsid w:val="23D06D16"/>
    <w:rsid w:val="26F3602A"/>
    <w:rsid w:val="2EFD44A4"/>
    <w:rsid w:val="32715B68"/>
    <w:rsid w:val="3356349F"/>
    <w:rsid w:val="3C5C5193"/>
    <w:rsid w:val="3FCB0095"/>
    <w:rsid w:val="4168282C"/>
    <w:rsid w:val="439D4A0F"/>
    <w:rsid w:val="450E13E0"/>
    <w:rsid w:val="451D5D14"/>
    <w:rsid w:val="4C39729F"/>
    <w:rsid w:val="4C5D3235"/>
    <w:rsid w:val="4DED20EF"/>
    <w:rsid w:val="4E13574B"/>
    <w:rsid w:val="50513CA9"/>
    <w:rsid w:val="50564B88"/>
    <w:rsid w:val="50CF270C"/>
    <w:rsid w:val="53C85574"/>
    <w:rsid w:val="54244390"/>
    <w:rsid w:val="558A2919"/>
    <w:rsid w:val="5AC74282"/>
    <w:rsid w:val="5D177188"/>
    <w:rsid w:val="62652CC4"/>
    <w:rsid w:val="62FF1FB9"/>
    <w:rsid w:val="657F11E5"/>
    <w:rsid w:val="662F72F1"/>
    <w:rsid w:val="6AEC200C"/>
    <w:rsid w:val="6B0D6392"/>
    <w:rsid w:val="6E2434B3"/>
    <w:rsid w:val="6EB23831"/>
    <w:rsid w:val="6EFF5CCE"/>
    <w:rsid w:val="725B321B"/>
    <w:rsid w:val="733C129F"/>
    <w:rsid w:val="73626E92"/>
    <w:rsid w:val="7363682B"/>
    <w:rsid w:val="74846FE9"/>
    <w:rsid w:val="780305DD"/>
    <w:rsid w:val="78AD0549"/>
    <w:rsid w:val="79823784"/>
    <w:rsid w:val="7A965738"/>
    <w:rsid w:val="7BC2607C"/>
    <w:rsid w:val="7BE129E3"/>
    <w:rsid w:val="7C8C7794"/>
    <w:rsid w:val="7CA160FA"/>
    <w:rsid w:val="7CFB05DE"/>
    <w:rsid w:val="7DC44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autoRedefine/>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2590</Words>
  <Characters>2693</Characters>
  <Lines>0</Lines>
  <Paragraphs>0</Paragraphs>
  <TotalTime>14</TotalTime>
  <ScaleCrop>false</ScaleCrop>
  <LinksUpToDate>false</LinksUpToDate>
  <CharactersWithSpaces>2707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2024-04-05T02:29:00Z</dcterms:created>
  <dc:creator>✘iong熊孩子*</dc:creator>
  <cp:lastModifiedBy>黄红洲</cp:lastModifiedBy>
  <dcterms:modified xsi:type="dcterms:W3CDTF">2025-09-10T12:16:16Z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45F959D704584EF5AD7C54295938D91D_13</vt:lpwstr>
  </property>
  <property fmtid="{D5CDD505-2E9C-101B-9397-08002B2CF9AE}" pid="4" name="KSOTemplateDocerSaveRecord">
    <vt:lpwstr>eyJoZGlkIjoiNzczYWZhYjQ0NTFjNDQxYmFlN2E0MDRmMDc2NzI1ZjIiLCJ1c2VySWQiOiIxNTU1NDExMDcxIn0=</vt:lpwstr>
  </property>
</Properties>
</file>