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59EE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黑体" w:hAnsi="黑体" w:eastAsia="黑体" w:cs="黑体"/>
          <w:b/>
          <w:bCs/>
          <w:sz w:val="28"/>
          <w:szCs w:val="28"/>
        </w:rPr>
      </w:pPr>
      <w:r>
        <w:rPr>
          <w:rFonts w:hint="eastAsia" w:ascii="黑体" w:hAnsi="黑体" w:eastAsia="黑体" w:cs="黑体"/>
          <w:b/>
          <w:bCs/>
          <w:sz w:val="28"/>
          <w:szCs w:val="28"/>
        </w:rPr>
        <w:t>新高校学生科技创新能力培养现状研究</w:t>
      </w:r>
    </w:p>
    <w:p w14:paraId="4D961E3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Theme="majorEastAsia" w:hAnsiTheme="majorEastAsia" w:eastAsiaTheme="majorEastAsia" w:cstheme="majorEastAsia"/>
        </w:rPr>
      </w:pPr>
      <w:r>
        <w:rPr>
          <w:rFonts w:hint="eastAsia" w:asciiTheme="majorEastAsia" w:hAnsiTheme="majorEastAsia" w:eastAsiaTheme="majorEastAsia" w:cstheme="majorEastAsia"/>
        </w:rPr>
        <w:t>——基于三名新工科学生的深度访谈</w:t>
      </w:r>
    </w:p>
    <w:p w14:paraId="73A461A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Theme="majorEastAsia" w:hAnsiTheme="majorEastAsia" w:eastAsiaTheme="majorEastAsia" w:cstheme="majorEastAsia"/>
          <w:lang w:val="en-US" w:eastAsia="zh-CN"/>
        </w:rPr>
      </w:pPr>
    </w:p>
    <w:p w14:paraId="7A73AE79">
      <w:pPr>
        <w:pStyle w:val="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360" w:lineRule="auto"/>
        <w:ind w:firstLine="420" w:firstLineChars="200"/>
        <w:textAlignment w:val="auto"/>
        <w:rPr>
          <w:rFonts w:hint="eastAsia" w:ascii="楷体" w:hAnsi="楷体" w:eastAsia="楷体" w:cs="Times New Roman"/>
          <w:b w:val="0"/>
          <w:bCs w:val="0"/>
          <w:kern w:val="2"/>
          <w:sz w:val="21"/>
          <w:szCs w:val="21"/>
          <w:lang w:val="en-US" w:eastAsia="zh-CN" w:bidi="ar-SA"/>
        </w:rPr>
      </w:pPr>
      <w:r>
        <w:rPr>
          <w:rFonts w:hint="eastAsia" w:ascii="黑体" w:hAnsi="黑体" w:eastAsia="黑体" w:cs="Times New Roman"/>
          <w:b w:val="0"/>
          <w:bCs w:val="0"/>
          <w:kern w:val="2"/>
          <w:sz w:val="21"/>
          <w:szCs w:val="21"/>
          <w:lang w:val="en-US" w:eastAsia="zh-CN" w:bidi="ar-SA"/>
        </w:rPr>
        <w:t>摘 要：</w:t>
      </w:r>
      <w:r>
        <w:rPr>
          <w:rFonts w:hint="eastAsia" w:ascii="楷体" w:hAnsi="楷体" w:eastAsia="楷体" w:cs="Times New Roman"/>
          <w:b w:val="0"/>
          <w:bCs w:val="0"/>
          <w:kern w:val="2"/>
          <w:sz w:val="21"/>
          <w:szCs w:val="21"/>
          <w:lang w:val="en-US" w:eastAsia="zh-CN" w:bidi="ar-SA"/>
        </w:rPr>
        <w:t>在新一轮科技革命和产业变革加速推进的背景下，加快高水平科技自立自强成为国家战略重点，高校作为科技创新与人才培养的重要阵地，其人才培育质量直接关系到国家创新体系建设的整体效能。本文基于对电子信息工程、材料科学与工程、计算机科学与技术三名大三学生的半结构化深度访谈，从科技战略认知、科研训练参与、数字化工具使用及产业理解等方面系统分析了高校学生科技创新能力的形成现状。研究发现受访学生普遍具有较高的国家战略认同感，但科研训练仍呈现碎片化、浅层化特征；数字化工具虽显著提升学习效率，但也带来基础能力弱化的潜在风险；产教融合对学生创新能力的支撑不足，使其对产业链核心技术的理解相对有限。基于此，本文提出完善高校科研训练体系、深化产教融合平台建设、提升学生自主学习能力与战略认知等改进路径，并强调政策环境对青年科技人才成长的重要支撑作用。研究有助于从微观层面理解高校创新人才培养的瓶颈，也为推动科技自立自强和发展新质生产力提供参考。</w:t>
      </w:r>
    </w:p>
    <w:p w14:paraId="0C03D36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楷体" w:hAnsi="楷体" w:eastAsia="楷体" w:cs="Times New Roman"/>
          <w:b w:val="0"/>
          <w:bCs w:val="0"/>
          <w:kern w:val="2"/>
          <w:sz w:val="21"/>
          <w:szCs w:val="21"/>
          <w:lang w:val="en-US" w:eastAsia="zh-CN" w:bidi="ar-SA"/>
        </w:rPr>
      </w:pPr>
      <w:r>
        <w:rPr>
          <w:rFonts w:hint="eastAsia" w:ascii="黑体" w:hAnsi="黑体" w:eastAsia="黑体" w:cs="Times New Roman"/>
          <w:b w:val="0"/>
          <w:bCs w:val="0"/>
          <w:kern w:val="2"/>
          <w:sz w:val="21"/>
          <w:szCs w:val="21"/>
          <w:lang w:val="en-US" w:eastAsia="zh-CN" w:bidi="ar-SA"/>
        </w:rPr>
        <w:t>关键词：</w:t>
      </w:r>
      <w:r>
        <w:rPr>
          <w:rFonts w:hint="eastAsia" w:ascii="楷体" w:hAnsi="楷体" w:eastAsia="楷体" w:cs="Times New Roman"/>
          <w:b w:val="0"/>
          <w:bCs w:val="0"/>
          <w:kern w:val="2"/>
          <w:sz w:val="21"/>
          <w:szCs w:val="21"/>
          <w:lang w:val="en-US" w:eastAsia="zh-CN" w:bidi="ar-SA"/>
        </w:rPr>
        <w:t>科技自立自强  新质生产力  大学生科技创新  科研训练  产教融合  数字化工具</w:t>
      </w:r>
    </w:p>
    <w:p w14:paraId="3203DD4A">
      <w:pPr>
        <w:rPr>
          <w:rFonts w:hint="eastAsia" w:ascii="楷体" w:hAnsi="楷体" w:eastAsia="楷体" w:cs="Times New Roman"/>
          <w:b w:val="0"/>
          <w:bCs w:val="0"/>
          <w:kern w:val="2"/>
          <w:sz w:val="21"/>
          <w:szCs w:val="21"/>
          <w:lang w:val="en-US" w:eastAsia="zh-CN" w:bidi="ar-SA"/>
        </w:rPr>
      </w:pPr>
    </w:p>
    <w:p w14:paraId="059E9580">
      <w:pPr>
        <w:rPr>
          <w:rFonts w:hint="eastAsia" w:ascii="楷体" w:hAnsi="楷体" w:eastAsia="楷体" w:cs="Times New Roman"/>
          <w:b w:val="0"/>
          <w:bCs w:val="0"/>
          <w:kern w:val="2"/>
          <w:sz w:val="21"/>
          <w:szCs w:val="21"/>
          <w:lang w:val="en-US" w:eastAsia="zh-CN" w:bidi="ar-SA"/>
        </w:rPr>
      </w:pPr>
    </w:p>
    <w:p w14:paraId="4759D6E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黑体" w:hAnsi="宋体" w:eastAsia="黑体" w:cs="Times New Roman"/>
          <w:b w:val="0"/>
          <w:bCs/>
          <w:kern w:val="2"/>
          <w:sz w:val="24"/>
          <w:szCs w:val="24"/>
          <w:lang w:val="en-US" w:eastAsia="zh-CN" w:bidi="ar-SA"/>
        </w:rPr>
      </w:pPr>
      <w:r>
        <w:rPr>
          <w:rFonts w:hint="eastAsia" w:ascii="黑体" w:hAnsi="宋体" w:eastAsia="黑体" w:cs="Times New Roman"/>
          <w:b w:val="0"/>
          <w:bCs/>
          <w:kern w:val="2"/>
          <w:sz w:val="24"/>
          <w:szCs w:val="24"/>
          <w:lang w:val="en-US" w:eastAsia="zh-CN" w:bidi="ar-SA"/>
        </w:rPr>
        <w:t>一、加快科技自立自强的背景与研究缘起</w:t>
      </w:r>
    </w:p>
    <w:p w14:paraId="03FD82D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当前，新一轮科技革命和产业变革深入发展，科技创新已成为国际战略博弈的主要战场。党的二十届三中全会明确提出，要构建支持全面创新体制机制，统筹推进教育科技人才体制机制一体改革，健全新型举国体制，提升国家创新体系整体效能</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_Ref32005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。在这一宏观背景下，加快高水平科技自立自强不仅是国家发展的战略支撑，也是发展新质生产力的核心要素</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_Ref32214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[2]</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w:t>
      </w:r>
    </w:p>
    <w:p w14:paraId="4AA94CD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高校是科技第一生产力、人才第一资源和创新第一动力的重要结合点。大学生作为未来国家科技人才储备的主力军，其对科技自立自强的认知水平、科研参与深度以及创新能力储备，直接关系到国家创新驱动发展战略的落地效果。因此，从微观的学生个体视角出发，通过实地访谈探究高校学生在科技创新活动中的真实体验与困境，对于优化人才培养模式具有重要的现实意义。</w:t>
      </w:r>
    </w:p>
    <w:p w14:paraId="1633BD6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黑体" w:hAnsi="宋体" w:eastAsia="黑体" w:cs="Times New Roman"/>
          <w:b w:val="0"/>
          <w:bCs/>
          <w:kern w:val="2"/>
          <w:sz w:val="24"/>
          <w:szCs w:val="24"/>
          <w:lang w:val="en-US" w:eastAsia="zh-CN" w:bidi="ar-SA"/>
        </w:rPr>
      </w:pPr>
      <w:r>
        <w:rPr>
          <w:rFonts w:hint="eastAsia" w:ascii="黑体" w:hAnsi="宋体" w:eastAsia="黑体" w:cs="Times New Roman"/>
          <w:b w:val="0"/>
          <w:bCs/>
          <w:kern w:val="2"/>
          <w:sz w:val="24"/>
          <w:szCs w:val="24"/>
          <w:lang w:val="en-US" w:eastAsia="zh-CN" w:bidi="ar-SA"/>
        </w:rPr>
        <w:t>二、理论基础与政策视角</w:t>
      </w:r>
    </w:p>
    <w:p w14:paraId="71750AA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科技自立自强的核心在于提升国家对关键核心技术的自主掌控能力以及实现原始创新的持续突破。已有研究指出，新质生产力的本质在于劳动者、劳动资料与劳动对象之间实现质的跃升，其形成依赖于技术的革命性突破</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_Ref6124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[3]</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。因此，新质生产力既是科技自立自强的结果，也是其进一步推进的动力来源，两者在逻辑上呈现相互促进的关系。</w:t>
      </w:r>
    </w:p>
    <w:p w14:paraId="6EFD853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pPr>
      <w:r>
        <w:rPr>
          <w:rFonts w:hint="eastAsia" w:asciiTheme="minorEastAsia" w:hAnsiTheme="minorEastAsia" w:eastAsiaTheme="minorEastAsia" w:cstheme="minorEastAsia"/>
          <w:sz w:val="21"/>
          <w:szCs w:val="21"/>
        </w:rPr>
        <w:t>与此同时，创新生态系统理论为理解这一关系提供了更具结构性的视角。系统科学认为，科技创新不是孤立的技术行为，而是教育体系、产业体系、政策体系等多元要素共同作用下的系统性过程。高校学生的创新能力亦是在课程教学、科研训练、实验平台、产教融合等子系统的协同联动中逐步形成</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_Ref6190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[4]</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。这一理论框架有助于本文更系统地分析学生在科研实践、数字化工具使用以及产学研互动过程中的行为特征与能力发展。</w:t>
      </w:r>
    </w:p>
    <w:p w14:paraId="7302E61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黑体" w:hAnsi="宋体" w:eastAsia="黑体" w:cs="Times New Roman"/>
          <w:b w:val="0"/>
          <w:bCs/>
          <w:kern w:val="2"/>
          <w:sz w:val="24"/>
          <w:szCs w:val="24"/>
          <w:lang w:val="en-US" w:eastAsia="zh-CN" w:bidi="ar-SA"/>
        </w:rPr>
      </w:pPr>
      <w:r>
        <w:rPr>
          <w:rFonts w:hint="eastAsia" w:ascii="黑体" w:hAnsi="宋体" w:eastAsia="黑体" w:cs="Times New Roman"/>
          <w:b w:val="0"/>
          <w:bCs/>
          <w:kern w:val="2"/>
          <w:sz w:val="24"/>
          <w:szCs w:val="24"/>
          <w:lang w:val="en-US" w:eastAsia="zh-CN" w:bidi="ar-SA"/>
        </w:rPr>
        <w:t>三、研究设计与实施</w:t>
      </w:r>
    </w:p>
    <w:p w14:paraId="33F88BD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次调研采用半结构化深度访谈方法，选取电子信息工程、材料科学与工程、计算机科学与技术三名大三学生为研究对象。这三个典型新工科专业与国家战略科技领域密切相关，因此具有较强的代表性。研究围绕国家科技战略认知、科研参与与学术训练、数字化科研工具的使用经验以及职业规划与产业认知等四个维度展开。访谈过程严格遵循质性研究规范，对录音内容进行了逐字转录，并通过主题编码提炼关键观点，为后续分析学生在科技自立自强背景下的学习状态和成长路径奠定基础。整体研究设计注重呈现学生自然表达中的细节性体验，使其能够更真实反映高校学子在科技创新能力培养过程中的实际情况。</w:t>
      </w:r>
    </w:p>
    <w:p w14:paraId="43A4759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黑体" w:hAnsi="宋体" w:eastAsia="黑体" w:cs="Times New Roman"/>
          <w:b w:val="0"/>
          <w:bCs/>
          <w:kern w:val="2"/>
          <w:sz w:val="24"/>
          <w:szCs w:val="24"/>
          <w:lang w:val="en-US" w:eastAsia="zh-CN" w:bidi="ar-SA"/>
        </w:rPr>
      </w:pPr>
      <w:r>
        <w:rPr>
          <w:rFonts w:hint="eastAsia" w:ascii="黑体" w:hAnsi="宋体" w:eastAsia="黑体" w:cs="Times New Roman"/>
          <w:b w:val="0"/>
          <w:bCs/>
          <w:kern w:val="2"/>
          <w:sz w:val="24"/>
          <w:szCs w:val="24"/>
          <w:lang w:val="en-US" w:eastAsia="zh-CN" w:bidi="ar-SA"/>
        </w:rPr>
        <w:t>四、调查结果分析</w:t>
      </w:r>
    </w:p>
    <w:p w14:paraId="4DC3B3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调研结果显示，三名受访学生在总体上均对国家提出的科技自立自强战略抱有高度认同，但在具体理解上呈现出明显的专业特征。电子信息工程专业学生更关注芯片、通信设备等关键硬件的自主可控问题，提到老师讲到国外卡脖子的设备时会特别强调，因而对国家科技安全的现实需求感受强烈；材料科学专业学生则更关注长期积累的重要性，认为材料本身的研究周期长、失败率高，很多结果都需要反复试验才能稳定，体现出基础研究领域特有的长期性认知；计算机专业学生则更关注人工智能时代的算力瓶颈、算法体系和数据安全问题，并意识到企业往往不会向学生开放核心算法或底层系统，使其对行业技术结构的理解带有一定现实敏感度。</w:t>
      </w:r>
    </w:p>
    <w:p w14:paraId="674025E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科研实践方面，三位学生均获得过不同程度的科研参与机会，但其参与深度普遍有限，多集中于辅助性工作，如数据整理、参数调试、实验重复等。电子信息专业学生提到更多是老师给任务，自己按步骤做；材料专业学生则由于实验周期长，很难在本科阶段看到从提出问题到最终解决问题的完整链条；计算机专业学生虽有企业项目经历，但实习多停留在应用层面，真正核心的部分接触不到。这些现象表明，高校科研资源在入口上已较为开放，但本科生要获得完整科研训练或实现原创性探索仍面临一定难度。</w:t>
      </w:r>
    </w:p>
    <w:p w14:paraId="2547A76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数字化科研工具的使用方面，三位学生均表现出高度依赖仿真软件、学术数据库和生成式AI工具，这显著提高了他们的学习效率与问题解决速度。例如，电子信息学生提到遇到bug问AI很快就能定位问题，材料学生强调模拟软件可以提前预测材料结构，减少试错成本，计算机学生甚至几乎每天都在使用AI处理代码问题。然而，他们同时表达了对基础能力弱化的担忧，认为频繁依赖工具可能导致对理论推导、实验本质和算法逻辑的理解不足，这与教育界关于数字化条件下技术便利与思维训练的张力讨论高度一致</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_Ref6359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[5]</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，也反映了技术时代背景下高校学生能力结构的变化趋势。</w:t>
      </w:r>
    </w:p>
    <w:p w14:paraId="6ACF6E6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产教融合方面，三位学生普遍认为目前的校企合作形式难以让本科生真正理解产业链核心环节。虽然实习能够帮助他们看到工程实际问题，但企业通常不会开放关键技术细节，导致学生更多参与模块化、碎片化的具体任务，而难以获得对行业技术壁垒、产业链结构及核心竞争力形成机制的整体认知。电子信息专业学生提到企业不会让我们看核心算法，材料专业学生指出材料工艺参数通常不会对外公开，计算机学生则表示离真正的底层研发差距还很大。这些发现表明，学生在产学研体系中仍主要处于观察者地位，其产业认知多依赖课堂与导师讲述，而非真实产业实践体验。</w:t>
      </w:r>
    </w:p>
    <w:p w14:paraId="2ECE908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总体来看，本次调研呈现出大学生在科技自立自强背景下的典型特征：战略认同度高，但理解视角受到专业背景影响；科研参与广泛，但深度与自主性有待提升；数字化工具显著增强能力，但对基础思维形成新的挑战；产教融合需求强烈，但现实接触仍有限。这些发现对于理解高校学生在科技创新生态中的位置、能力结构与成长需求具有重要意义，也为后续提出针对性建议奠定基础。</w:t>
      </w:r>
    </w:p>
    <w:p w14:paraId="6166267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黑体" w:hAnsi="宋体" w:eastAsia="黑体" w:cs="Times New Roman"/>
          <w:b w:val="0"/>
          <w:bCs/>
          <w:kern w:val="2"/>
          <w:sz w:val="24"/>
          <w:szCs w:val="24"/>
          <w:lang w:val="en-US" w:eastAsia="zh-CN" w:bidi="ar-SA"/>
        </w:rPr>
      </w:pPr>
      <w:r>
        <w:rPr>
          <w:rFonts w:hint="eastAsia" w:ascii="黑体" w:hAnsi="宋体" w:eastAsia="黑体" w:cs="Times New Roman"/>
          <w:b w:val="0"/>
          <w:bCs/>
          <w:kern w:val="2"/>
          <w:sz w:val="24"/>
          <w:szCs w:val="24"/>
          <w:lang w:val="en-US" w:eastAsia="zh-CN" w:bidi="ar-SA"/>
        </w:rPr>
        <w:t>五、问题分析与思考</w:t>
      </w:r>
    </w:p>
    <w:p w14:paraId="1865D93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结合访谈结果可以发现，当前高校学生在科技创新能力的形成过程中呈现出若干具有普遍性的结构性问题。首先，科研训练体系整体上仍偏碎片化，本科生常以辅助性任务为主，难以系统经历从问题提出到方案验证的完整科研流程；这种训练模式限制了其理论运用能力与原创性思维的培养，与科技自立自强所要求的高端科研人才培养目标存在一定差距。其次，产学研之间的衔接仍显不足，学生在企业实习过程中难以接触核心技术链条，导致其对产业结构、技术壁垒和创新链条的理解停留在浅层，难以真正形成技术—产业—国家战略之间的整体认知。再次，数字化科研工具的普及虽然显著提升了学习与实验效率，但学生在依赖工具的同时也面临理论基础弱化与思维训练不足的风险，数字素养的提升并未完全转化为扎实的创新能力。这与国内外研究关于创新生态中能力结构错位现象的分析高度一致，即创新人才培养体系、科研实践机会与产业需求之间仍存在一定的结构性张力</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_Ref6190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[4]</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w:t>
      </w:r>
    </w:p>
    <w:p w14:paraId="1ED76E7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pPr>
      <w:r>
        <w:rPr>
          <w:rFonts w:hint="eastAsia" w:asciiTheme="minorEastAsia" w:hAnsiTheme="minorEastAsia" w:eastAsiaTheme="minorEastAsia" w:cstheme="minorEastAsia"/>
          <w:sz w:val="21"/>
          <w:szCs w:val="21"/>
        </w:rPr>
        <w:t>此外，访谈中学生对于未来科技发展方向的理解较为局限，往往仅停留在专业内部视角，说明高校在创新指导、职业规划以及战略科技认知教育方面依旧存在提升空间。总体来看，这些问题既反映了学生个体在成长过程中的能力短板，也折射出高校创新生态系统尚未完全打通教育、科研与产业之间的协同链条，其系统性支撑仍需进一步完善。</w:t>
      </w:r>
    </w:p>
    <w:p w14:paraId="3B6DC36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eastAsia" w:ascii="黑体" w:hAnsi="宋体" w:eastAsia="黑体" w:cs="Times New Roman"/>
          <w:b w:val="0"/>
          <w:bCs/>
          <w:kern w:val="2"/>
          <w:sz w:val="24"/>
          <w:szCs w:val="24"/>
          <w:lang w:val="en-US" w:eastAsia="zh-CN" w:bidi="ar-SA"/>
        </w:rPr>
      </w:pPr>
      <w:r>
        <w:rPr>
          <w:rFonts w:hint="eastAsia" w:ascii="黑体" w:hAnsi="宋体" w:eastAsia="黑体" w:cs="Times New Roman"/>
          <w:b w:val="0"/>
          <w:bCs/>
          <w:kern w:val="2"/>
          <w:sz w:val="24"/>
          <w:szCs w:val="24"/>
          <w:lang w:val="en-US" w:eastAsia="zh-CN" w:bidi="ar-SA"/>
        </w:rPr>
        <w:t>六、对策建议</w:t>
      </w:r>
    </w:p>
    <w:p w14:paraId="76D3B86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针对上述问题，需要从高校、学生自身及政策环境三方面协同发力。高校层面应进一步完善科研方法和创新实践类课程体系，为学生提供更系统的科研训练；同时扩大实验室开放力度，鼓励本科生更早进入科研团队，参与真实科研过程；并依托重点实验室、产业学院和技术转移中心，搭建更高水平的校企联合创新平台，使学生在真实工程环境中提升技术实践能力和创新意识。学生自身也应主动强化科研素养，在课程学习的基础上增强数理逻辑、工程实践与跨学科能力培养，并在使用数字化工具与生成式AI的过程中保持思考与反思，避免形成单纯的工具依赖。个人能力的提升应与国家战略需求形成同频共振，使自身发展更具前瞻性和使命感。</w:t>
      </w:r>
    </w:p>
    <w:p w14:paraId="53046ED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政策层面，则应继续加大对高校科研平台建设和青年科技人才培养的支持力度，营造稳定、可持续的科研环境。通过完善科研评价机制、激励创新实践、优化产教融合政策等方式，使更多青年人才能够在国家科技创新体系中获得发展空间，进而推动教育强国、科技强国与人才强国建设目标的统筹实现</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_Ref6725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[6]</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w:t>
      </w:r>
    </w:p>
    <w:p w14:paraId="1341AA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heme="minorEastAsia" w:hAnsiTheme="minorEastAsia" w:eastAsiaTheme="minorEastAsia" w:cstheme="minorEastAsia"/>
          <w:sz w:val="21"/>
          <w:szCs w:val="21"/>
          <w:lang w:val="en-US"/>
        </w:rPr>
      </w:pPr>
      <w:r>
        <w:rPr>
          <w:rFonts w:hint="eastAsia" w:ascii="黑体" w:hAnsi="宋体" w:eastAsia="黑体" w:cs="Times New Roman"/>
          <w:b w:val="0"/>
          <w:bCs/>
          <w:kern w:val="2"/>
          <w:sz w:val="24"/>
          <w:szCs w:val="24"/>
          <w:lang w:val="en-US" w:eastAsia="zh-CN" w:bidi="ar-SA"/>
        </w:rPr>
        <w:t>七、总结</w:t>
      </w:r>
    </w:p>
    <w:p w14:paraId="1242CC1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体而言，本次调研不仅揭示了高校学生在科技创新能力培养中的现实状况，也为进一步完善高校创新教育与人才培养体系提供了参考。在新时代国家科技战略的指引下，青年大学生应当成为推动科技自立自强和发展新质生产力的关键力量，而高校与社会也应共同为他们的成长提供更加坚实的制度基础与实践土壤。</w:t>
      </w:r>
    </w:p>
    <w:p w14:paraId="10B9832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Style w:val="10"/>
        </w:rPr>
      </w:pPr>
      <w:r>
        <w:rPr>
          <w:rFonts w:hint="eastAsia" w:asciiTheme="minorEastAsia" w:hAnsiTheme="minorEastAsia" w:eastAsiaTheme="minorEastAsia" w:cstheme="minorEastAsia"/>
          <w:sz w:val="21"/>
          <w:szCs w:val="21"/>
          <w:lang w:val="en-US" w:eastAsia="zh-CN"/>
        </w:rPr>
        <w:t>随着国家持续推进教育、科技、人才一体化布局，高校创新生态有望不断优化，科研训练的系统性、产教融合的深度以及数字化科研环境的成熟度将进一步提升；学生也将在更开放的科研条件和更丰富的实践平台中获得成长机会。相信在多方协同努力下，新时代大学生将在国家科技创新体系中发挥更为重要的作用，逐步成长为支撑高水平科技自立自强和引领新质生产力发展的核心力量。</w:t>
      </w:r>
    </w:p>
    <w:p w14:paraId="1931E9DD">
      <w:pPr>
        <w:rPr>
          <w:rStyle w:val="10"/>
        </w:rPr>
      </w:pPr>
      <w:r>
        <w:rPr>
          <w:rStyle w:val="10"/>
        </w:rPr>
        <w:br w:type="page"/>
      </w:r>
    </w:p>
    <w:p w14:paraId="0996F50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黑体" w:hAnsi="黑体" w:eastAsia="黑体" w:cs="Times New Roman"/>
          <w:b w:val="0"/>
          <w:bCs w:val="0"/>
          <w:kern w:val="2"/>
          <w:sz w:val="24"/>
          <w:szCs w:val="24"/>
          <w:lang w:val="en-US" w:eastAsia="zh-CN" w:bidi="ar-SA"/>
        </w:rPr>
      </w:pPr>
      <w:r>
        <w:rPr>
          <w:rFonts w:hint="eastAsia" w:ascii="黑体" w:hAnsi="黑体" w:eastAsia="黑体" w:cs="Times New Roman"/>
          <w:b w:val="0"/>
          <w:bCs w:val="0"/>
          <w:kern w:val="2"/>
          <w:sz w:val="24"/>
          <w:szCs w:val="24"/>
          <w:lang w:val="en-US" w:eastAsia="zh-CN" w:bidi="ar-SA"/>
        </w:rPr>
        <w:t>参考文献：</w:t>
      </w:r>
      <w:bookmarkStart w:id="6" w:name="_GoBack"/>
      <w:bookmarkEnd w:id="6"/>
    </w:p>
    <w:p w14:paraId="36B5A15D">
      <w:pPr>
        <w:numPr>
          <w:ilvl w:val="0"/>
          <w:numId w:val="1"/>
        </w:numPr>
        <w:spacing w:line="360" w:lineRule="auto"/>
        <w:rPr>
          <w:rFonts w:hint="eastAsia" w:ascii="楷体" w:hAnsi="楷体" w:eastAsia="楷体" w:cs="Times New Roman"/>
          <w:kern w:val="2"/>
          <w:sz w:val="21"/>
          <w:szCs w:val="21"/>
          <w:lang w:val="en-US" w:eastAsia="zh-CN" w:bidi="ar-SA"/>
        </w:rPr>
      </w:pPr>
      <w:bookmarkStart w:id="0" w:name="_Ref32005"/>
      <w:r>
        <w:rPr>
          <w:rFonts w:hint="eastAsia" w:ascii="楷体" w:hAnsi="楷体" w:eastAsia="楷体" w:cs="Times New Roman"/>
          <w:kern w:val="2"/>
          <w:sz w:val="21"/>
          <w:szCs w:val="21"/>
          <w:lang w:val="en-US" w:eastAsia="zh-CN" w:bidi="ar-SA"/>
        </w:rPr>
        <w:t>中共中央.中共中央关于进一步全面深化改革、推进中国式现代化的决定[M].北京:人民出版社,2024.</w:t>
      </w:r>
      <w:bookmarkEnd w:id="0"/>
    </w:p>
    <w:p w14:paraId="430579E0">
      <w:pPr>
        <w:numPr>
          <w:ilvl w:val="0"/>
          <w:numId w:val="1"/>
        </w:numPr>
        <w:spacing w:line="360" w:lineRule="auto"/>
        <w:rPr>
          <w:rFonts w:hint="eastAsia" w:ascii="楷体" w:hAnsi="楷体" w:eastAsia="楷体" w:cs="Times New Roman"/>
          <w:kern w:val="2"/>
          <w:sz w:val="21"/>
          <w:szCs w:val="21"/>
          <w:lang w:val="en-US" w:eastAsia="zh-CN" w:bidi="ar-SA"/>
        </w:rPr>
      </w:pPr>
      <w:bookmarkStart w:id="1" w:name="_Ref32214"/>
      <w:r>
        <w:rPr>
          <w:rFonts w:hint="eastAsia" w:ascii="楷体" w:hAnsi="楷体" w:eastAsia="楷体" w:cs="Times New Roman"/>
          <w:kern w:val="2"/>
          <w:sz w:val="21"/>
          <w:szCs w:val="21"/>
          <w:lang w:val="en-US" w:eastAsia="zh-CN" w:bidi="ar-SA"/>
        </w:rPr>
        <w:t xml:space="preserve">陈劲,杨程鉴.新质生产力的逻辑演进与战略布局[J].西安交通大学学报(社会科学版),2024,44(1):1-11. </w:t>
      </w:r>
      <w:bookmarkEnd w:id="1"/>
    </w:p>
    <w:p w14:paraId="7CF975BB">
      <w:pPr>
        <w:numPr>
          <w:ilvl w:val="0"/>
          <w:numId w:val="1"/>
        </w:numPr>
        <w:spacing w:line="360" w:lineRule="auto"/>
        <w:rPr>
          <w:rFonts w:hint="eastAsia" w:ascii="楷体" w:hAnsi="楷体" w:eastAsia="楷体" w:cs="Times New Roman"/>
          <w:kern w:val="2"/>
          <w:sz w:val="21"/>
          <w:szCs w:val="21"/>
          <w:lang w:val="en-US" w:eastAsia="zh-CN" w:bidi="ar-SA"/>
        </w:rPr>
      </w:pPr>
      <w:bookmarkStart w:id="2" w:name="_Ref6124"/>
      <w:r>
        <w:rPr>
          <w:rFonts w:hint="eastAsia" w:ascii="楷体" w:hAnsi="楷体" w:eastAsia="楷体" w:cs="Times New Roman"/>
          <w:kern w:val="2"/>
          <w:sz w:val="21"/>
          <w:szCs w:val="21"/>
          <w:lang w:val="en-US" w:eastAsia="zh-CN" w:bidi="ar-SA"/>
        </w:rPr>
        <w:t>周文,许凌云.新质生产力:概念辨析、理论内涵与时代意义[J].科学社会主义,2023(5):10-18.</w:t>
      </w:r>
      <w:bookmarkEnd w:id="2"/>
    </w:p>
    <w:p w14:paraId="04143F2F">
      <w:pPr>
        <w:numPr>
          <w:ilvl w:val="0"/>
          <w:numId w:val="1"/>
        </w:numPr>
        <w:spacing w:line="360" w:lineRule="auto"/>
        <w:rPr>
          <w:rFonts w:hint="eastAsia" w:ascii="楷体" w:hAnsi="楷体" w:eastAsia="楷体" w:cs="Times New Roman"/>
          <w:kern w:val="2"/>
          <w:sz w:val="21"/>
          <w:szCs w:val="21"/>
          <w:lang w:val="en-US" w:eastAsia="zh-CN" w:bidi="ar-SA"/>
        </w:rPr>
      </w:pPr>
      <w:bookmarkStart w:id="3" w:name="_Ref6190"/>
      <w:r>
        <w:rPr>
          <w:rFonts w:hint="eastAsia" w:ascii="楷体" w:hAnsi="楷体" w:eastAsia="楷体" w:cs="Times New Roman"/>
          <w:kern w:val="2"/>
          <w:sz w:val="21"/>
          <w:szCs w:val="21"/>
          <w:lang w:val="en-US" w:eastAsia="zh-CN" w:bidi="ar-SA"/>
        </w:rPr>
        <w:t>曾宪聚,严丹,向亦文.创新生态系统视域下产教融合的演进逻辑与模式重构[J].高等教育研究,2022,43(6):34-42.</w:t>
      </w:r>
      <w:bookmarkEnd w:id="3"/>
    </w:p>
    <w:p w14:paraId="192F8BFB">
      <w:pPr>
        <w:numPr>
          <w:ilvl w:val="0"/>
          <w:numId w:val="1"/>
        </w:numPr>
        <w:spacing w:line="360" w:lineRule="auto"/>
        <w:rPr>
          <w:rFonts w:hint="eastAsia" w:ascii="楷体" w:hAnsi="楷体" w:eastAsia="楷体" w:cs="Times New Roman"/>
          <w:kern w:val="2"/>
          <w:sz w:val="21"/>
          <w:szCs w:val="21"/>
          <w:lang w:val="en-US" w:eastAsia="zh-CN" w:bidi="ar-SA"/>
        </w:rPr>
      </w:pPr>
      <w:bookmarkStart w:id="4" w:name="_Ref6359"/>
      <w:r>
        <w:rPr>
          <w:rFonts w:hint="eastAsia" w:ascii="楷体" w:hAnsi="楷体" w:eastAsia="楷体" w:cs="Times New Roman"/>
          <w:kern w:val="2"/>
          <w:sz w:val="21"/>
          <w:szCs w:val="21"/>
          <w:lang w:val="en-US" w:eastAsia="zh-CN" w:bidi="ar-SA"/>
        </w:rPr>
        <w:t>祝智庭,戴岭.智能技术赋能人才自主培养:逻辑框架与实践路径[J].电化教育研究,2023,44(8):5-12.</w:t>
      </w:r>
      <w:bookmarkEnd w:id="4"/>
    </w:p>
    <w:p w14:paraId="28FF6304">
      <w:pPr>
        <w:numPr>
          <w:ilvl w:val="0"/>
          <w:numId w:val="1"/>
        </w:numPr>
        <w:spacing w:line="360" w:lineRule="auto"/>
        <w:rPr>
          <w:rFonts w:hint="eastAsia" w:ascii="楷体" w:hAnsi="楷体" w:eastAsia="楷体" w:cs="Times New Roman"/>
          <w:kern w:val="2"/>
          <w:sz w:val="21"/>
          <w:szCs w:val="21"/>
          <w:lang w:val="en-US" w:eastAsia="zh-CN" w:bidi="ar-SA"/>
        </w:rPr>
      </w:pPr>
      <w:bookmarkStart w:id="5" w:name="_Ref6725"/>
      <w:r>
        <w:rPr>
          <w:rFonts w:hint="eastAsia" w:ascii="楷体" w:hAnsi="楷体" w:eastAsia="楷体" w:cs="Times New Roman"/>
          <w:kern w:val="2"/>
          <w:sz w:val="21"/>
          <w:szCs w:val="21"/>
          <w:lang w:val="en-US" w:eastAsia="zh-CN" w:bidi="ar-SA"/>
        </w:rPr>
        <w:t>眭依凡.教育科技人才一体化发展的理论逻辑与实践路径[J].教育研究,2024,45(1):4-15.</w:t>
      </w:r>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5413D"/>
    <w:multiLevelType w:val="singleLevel"/>
    <w:tmpl w:val="9FE5413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C376D"/>
    <w:rsid w:val="1C915908"/>
    <w:rsid w:val="2ACE632D"/>
    <w:rsid w:val="336551DA"/>
    <w:rsid w:val="5E314596"/>
    <w:rsid w:val="66CB1EF3"/>
    <w:rsid w:val="72271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Indent"/>
    <w:basedOn w:val="1"/>
    <w:uiPriority w:val="0"/>
    <w:pPr>
      <w:spacing w:line="500" w:lineRule="exact"/>
      <w:ind w:firstLine="480" w:firstLineChars="200"/>
    </w:pPr>
    <w:rPr>
      <w:rFonts w:ascii="宋体" w:hAnsi="宋体"/>
      <w:sz w:val="24"/>
    </w:rPr>
  </w:style>
  <w:style w:type="paragraph" w:styleId="5">
    <w:name w:val="endnote text"/>
    <w:basedOn w:val="1"/>
    <w:qFormat/>
    <w:uiPriority w:val="0"/>
    <w:pPr>
      <w:snapToGrid w:val="0"/>
      <w:jc w:val="left"/>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208</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2025-11-19T11:30:00Z</dcterms:created>
  <dc:creator>黄红洲</dc:creator>
  <cp:lastModifiedBy>黄红洲</cp:lastModifiedBy>
  <dcterms:modified xsi:type="dcterms:W3CDTF">2025-12-09T13:29:34Z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6F266DC94B0E4A87976ACC1C12756220_12</vt:lpwstr>
  </property>
  <property fmtid="{D5CDD505-2E9C-101B-9397-08002B2CF9AE}" pid="4" name="KSOTemplateDocerSaveRecord">
    <vt:lpwstr>eyJoZGlkIjoiNzczYWZhYjQ0NTFjNDQxYmFlN2E0MDRmMDc2NzI1ZjIiLCJ1c2VySWQiOiIxNTU1NDExMDcxIn0=</vt:lpwstr>
  </property>
</Properties>
</file>