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92E38">
      <w:pPr>
        <w:spacing w:line="220" w:lineRule="atLeast"/>
      </w:pPr>
    </w:p>
    <w:p w14:paraId="48FED623">
      <w:pPr>
        <w:widowControl/>
        <w:jc w:val="center"/>
        <w:rPr>
          <w:b/>
          <w:sz w:val="48"/>
          <w:szCs w:val="48"/>
        </w:rPr>
      </w:pPr>
    </w:p>
    <w:p w14:paraId="7369D49A">
      <w:pPr>
        <w:widowControl/>
        <w:jc w:val="center"/>
        <w:rPr>
          <w:b/>
          <w:sz w:val="48"/>
          <w:szCs w:val="48"/>
        </w:rPr>
      </w:pPr>
    </w:p>
    <w:p w14:paraId="3E0E1A9F">
      <w:pPr>
        <w:widowControl/>
        <w:jc w:val="center"/>
        <w:rPr>
          <w:b/>
          <w:sz w:val="48"/>
          <w:szCs w:val="48"/>
        </w:rPr>
      </w:pPr>
      <w:r>
        <w:rPr>
          <w:sz w:val="48"/>
          <w:szCs w:val="48"/>
        </w:rPr>
        <w:pict>
          <v:group id="_x0000_s1026" o:spid="_x0000_s1026" o:spt="203" style="position:absolute;left:0pt;margin-left:36pt;margin-top:16.55pt;height:80.95pt;width:373.5pt;z-index:251659264;mso-width-relative:page;mso-height-relative:page;" coordorigin="3420,2064" coordsize="5310,1151">
            <o:lock v:ext="edit"/>
            <v:shape id="_x0000_s1027" o:spid="_x0000_s1027" o:spt="75" type="#_x0000_t75" style="position:absolute;left:3420;top:2064;height:1151;width:1219;" o:ole="t" filled="f" o:preferrelative="t" stroked="f" coordsize="21600,21600">
              <v:path/>
              <v:fill on="f" focussize="0,0"/>
              <v:stroke on="f" joinstyle="miter"/>
              <v:imagedata r:id="rId5" o:title=""/>
              <o:lock v:ext="edit" aspectratio="t"/>
            </v:shape>
            <v:shape id="_x0000_s1028" o:spid="_x0000_s1028" o:spt="75" type="#_x0000_t75" style="position:absolute;left:4770;top:2064;height:1035;width:3960;" filled="f" o:preferrelative="t" stroked="f" coordsize="21600,21600">
              <v:path/>
              <v:fill on="f" focussize="0,0"/>
              <v:stroke on="f" joinstyle="miter"/>
              <v:imagedata r:id="rId6" cropleft="15375f" cropright="-6312f" cropbottom="-6284f" o:title=""/>
              <o:lock v:ext="edit" aspectratio="t"/>
            </v:shape>
          </v:group>
          <o:OLEObject Type="Embed" ProgID="Word.Picture.8" ShapeID="_x0000_s1027" DrawAspect="Content" ObjectID="_1468075725" r:id="rId4">
            <o:LockedField>false</o:LockedField>
          </o:OLEObject>
        </w:pict>
      </w:r>
    </w:p>
    <w:p w14:paraId="3E201736">
      <w:pPr>
        <w:widowControl/>
        <w:jc w:val="center"/>
        <w:rPr>
          <w:b/>
          <w:sz w:val="48"/>
          <w:szCs w:val="48"/>
        </w:rPr>
      </w:pPr>
    </w:p>
    <w:p w14:paraId="70273719">
      <w:pPr>
        <w:widowControl/>
        <w:jc w:val="center"/>
        <w:rPr>
          <w:b/>
          <w:sz w:val="48"/>
          <w:szCs w:val="48"/>
        </w:rPr>
      </w:pPr>
    </w:p>
    <w:p w14:paraId="2B79BB09">
      <w:pPr>
        <w:widowControl/>
        <w:jc w:val="center"/>
        <w:rPr>
          <w:sz w:val="48"/>
          <w:szCs w:val="48"/>
        </w:rPr>
      </w:pPr>
    </w:p>
    <w:p w14:paraId="780912F8">
      <w:pPr>
        <w:widowControl/>
        <w:jc w:val="center"/>
        <w:rPr>
          <w:b/>
          <w:sz w:val="48"/>
          <w:szCs w:val="48"/>
        </w:rPr>
      </w:pPr>
    </w:p>
    <w:p w14:paraId="0F29B7F9">
      <w:pPr>
        <w:widowControl/>
        <w:jc w:val="center"/>
        <w:rPr>
          <w:b/>
          <w:sz w:val="48"/>
          <w:szCs w:val="48"/>
        </w:rPr>
      </w:pPr>
    </w:p>
    <w:p w14:paraId="4E8372F2">
      <w:pPr>
        <w:widowControl/>
        <w:jc w:val="center"/>
        <w:rPr>
          <w:b/>
          <w:sz w:val="48"/>
          <w:szCs w:val="48"/>
        </w:rPr>
      </w:pPr>
      <w:r>
        <w:rPr>
          <w:rFonts w:hint="eastAsia"/>
          <w:b/>
          <w:sz w:val="48"/>
          <w:szCs w:val="48"/>
        </w:rPr>
        <w:t>《现代纺织品鉴赏》课程论文</w:t>
      </w:r>
    </w:p>
    <w:p w14:paraId="23DD7D31">
      <w:pPr>
        <w:widowControl/>
        <w:jc w:val="center"/>
        <w:rPr>
          <w:b/>
          <w:sz w:val="48"/>
          <w:szCs w:val="48"/>
        </w:rPr>
      </w:pPr>
    </w:p>
    <w:p w14:paraId="03187B06">
      <w:pPr>
        <w:widowControl/>
        <w:jc w:val="center"/>
        <w:rPr>
          <w:b/>
          <w:sz w:val="48"/>
          <w:szCs w:val="48"/>
        </w:rPr>
      </w:pPr>
    </w:p>
    <w:p w14:paraId="3A9A7DC8">
      <w:pPr>
        <w:widowControl/>
        <w:rPr>
          <w:b/>
          <w:sz w:val="48"/>
          <w:szCs w:val="48"/>
        </w:rPr>
      </w:pPr>
    </w:p>
    <w:p w14:paraId="2A71FD2C">
      <w:pPr>
        <w:widowControl/>
        <w:ind w:firstLine="1205" w:firstLineChars="250"/>
        <w:rPr>
          <w:b/>
          <w:sz w:val="48"/>
          <w:szCs w:val="48"/>
        </w:rPr>
      </w:pPr>
      <w:r>
        <w:rPr>
          <w:rFonts w:hint="eastAsia"/>
          <w:b/>
          <w:sz w:val="48"/>
          <w:szCs w:val="48"/>
        </w:rPr>
        <w:t>题目：</w:t>
      </w:r>
      <w:r>
        <w:rPr>
          <w:rFonts w:hint="eastAsia" w:ascii="宋体" w:hAnsi="宋体"/>
          <w:b/>
          <w:sz w:val="48"/>
          <w:szCs w:val="48"/>
        </w:rPr>
        <w:t>变色纤维的制备方法与应用探索</w:t>
      </w:r>
    </w:p>
    <w:p w14:paraId="720A40BF">
      <w:pPr>
        <w:widowControl/>
        <w:spacing w:line="360" w:lineRule="auto"/>
        <w:ind w:firstLine="1205" w:firstLineChars="250"/>
        <w:jc w:val="left"/>
        <w:rPr>
          <w:rFonts w:hint="default" w:eastAsia="宋体"/>
          <w:b/>
          <w:sz w:val="48"/>
          <w:szCs w:val="48"/>
          <w:lang w:val="en-US" w:eastAsia="zh-CN"/>
        </w:rPr>
      </w:pPr>
      <w:r>
        <w:rPr>
          <w:rFonts w:hint="eastAsia"/>
          <w:b/>
          <w:sz w:val="48"/>
          <w:szCs w:val="48"/>
        </w:rPr>
        <w:t>课程内容：</w:t>
      </w:r>
      <w:r>
        <w:rPr>
          <w:rFonts w:hint="eastAsia"/>
          <w:b/>
          <w:sz w:val="48"/>
          <w:szCs w:val="48"/>
          <w:lang w:val="en-US" w:eastAsia="zh-CN"/>
        </w:rPr>
        <w:t>变色纤维</w:t>
      </w:r>
    </w:p>
    <w:p w14:paraId="0E62CF55">
      <w:pPr>
        <w:widowControl/>
        <w:spacing w:line="360" w:lineRule="auto"/>
        <w:ind w:firstLine="1205" w:firstLineChars="250"/>
        <w:jc w:val="left"/>
        <w:rPr>
          <w:b/>
          <w:sz w:val="48"/>
          <w:szCs w:val="48"/>
        </w:rPr>
      </w:pPr>
      <w:r>
        <w:rPr>
          <w:rFonts w:hint="eastAsia"/>
          <w:b/>
          <w:sz w:val="48"/>
          <w:szCs w:val="48"/>
        </w:rPr>
        <w:t>专业：计算机科学与技术</w:t>
      </w:r>
    </w:p>
    <w:p w14:paraId="7FB8B1BD">
      <w:pPr>
        <w:widowControl/>
        <w:spacing w:line="360" w:lineRule="auto"/>
        <w:ind w:firstLine="1205" w:firstLineChars="250"/>
        <w:rPr>
          <w:rFonts w:hint="default" w:eastAsia="宋体"/>
          <w:b/>
          <w:sz w:val="48"/>
          <w:szCs w:val="48"/>
          <w:lang w:val="en-US" w:eastAsia="zh-CN"/>
        </w:rPr>
      </w:pPr>
      <w:r>
        <w:rPr>
          <w:rFonts w:hint="eastAsia"/>
          <w:b/>
          <w:sz w:val="48"/>
          <w:szCs w:val="48"/>
        </w:rPr>
        <w:t>学号：</w:t>
      </w:r>
    </w:p>
    <w:p w14:paraId="6B8792E6">
      <w:pPr>
        <w:widowControl/>
        <w:spacing w:line="360" w:lineRule="auto"/>
        <w:ind w:firstLine="1205" w:firstLineChars="250"/>
        <w:rPr>
          <w:rFonts w:hint="eastAsia" w:eastAsia="宋体"/>
          <w:b/>
          <w:sz w:val="48"/>
          <w:szCs w:val="48"/>
          <w:lang w:val="en-US" w:eastAsia="zh-CN"/>
        </w:rPr>
      </w:pPr>
      <w:r>
        <w:rPr>
          <w:rFonts w:hint="eastAsia"/>
          <w:b/>
          <w:sz w:val="48"/>
          <w:szCs w:val="48"/>
        </w:rPr>
        <w:t>姓名</w:t>
      </w:r>
      <w:bookmarkStart w:id="19" w:name="_GoBack"/>
      <w:bookmarkEnd w:id="19"/>
    </w:p>
    <w:p w14:paraId="012154F8">
      <w:pPr>
        <w:widowControl/>
        <w:jc w:val="left"/>
        <w:rPr>
          <w:b/>
          <w:sz w:val="48"/>
          <w:szCs w:val="48"/>
        </w:rPr>
      </w:pPr>
    </w:p>
    <w:p w14:paraId="5E597E5C">
      <w:pPr>
        <w:widowControl/>
        <w:jc w:val="left"/>
        <w:rPr>
          <w:b/>
          <w:sz w:val="48"/>
          <w:szCs w:val="48"/>
        </w:rPr>
      </w:pPr>
    </w:p>
    <w:p w14:paraId="6C36174E">
      <w:pPr>
        <w:rPr>
          <w:rFonts w:hint="eastAsia" w:ascii="黑体" w:hAnsi="黑体" w:eastAsia="黑体" w:cs="黑体"/>
          <w:b/>
          <w:sz w:val="28"/>
          <w:szCs w:val="28"/>
        </w:rPr>
      </w:pPr>
      <w:r>
        <w:rPr>
          <w:rFonts w:hint="eastAsia" w:ascii="黑体" w:hAnsi="黑体" w:eastAsia="黑体" w:cs="黑体"/>
          <w:b/>
          <w:sz w:val="28"/>
          <w:szCs w:val="28"/>
        </w:rPr>
        <w:br w:type="page"/>
      </w:r>
    </w:p>
    <w:p w14:paraId="76C571E7">
      <w:pPr>
        <w:widowControl/>
        <w:jc w:val="center"/>
        <w:rPr>
          <w:rFonts w:hint="eastAsia" w:ascii="黑体" w:hAnsi="黑体" w:eastAsia="黑体" w:cs="黑体"/>
          <w:b/>
          <w:sz w:val="28"/>
          <w:szCs w:val="28"/>
        </w:rPr>
      </w:pPr>
      <w:r>
        <w:rPr>
          <w:rFonts w:hint="eastAsia" w:ascii="黑体" w:hAnsi="黑体" w:eastAsia="黑体" w:cs="黑体"/>
          <w:b/>
          <w:sz w:val="28"/>
          <w:szCs w:val="28"/>
        </w:rPr>
        <w:t>变色纤维的制备方法与应用探索</w:t>
      </w:r>
    </w:p>
    <w:p w14:paraId="3ABFADF1">
      <w:pPr>
        <w:widowControl/>
        <w:jc w:val="both"/>
        <w:rPr>
          <w:rFonts w:hint="eastAsia" w:ascii="黑体" w:hAnsi="黑体" w:eastAsia="黑体" w:cs="黑体"/>
          <w:b/>
          <w:sz w:val="28"/>
          <w:szCs w:val="28"/>
        </w:rPr>
      </w:pPr>
    </w:p>
    <w:p w14:paraId="1954B8FC">
      <w:pPr>
        <w:widowControl/>
        <w:ind w:firstLine="420"/>
        <w:jc w:val="left"/>
        <w:rPr>
          <w:rFonts w:hint="eastAsia" w:ascii="黑体" w:hAnsi="黑体" w:eastAsia="黑体" w:cs="黑体"/>
          <w:sz w:val="24"/>
        </w:rPr>
      </w:pPr>
    </w:p>
    <w:p w14:paraId="06E31283">
      <w:pPr>
        <w:widowControl/>
        <w:spacing w:line="360" w:lineRule="auto"/>
        <w:jc w:val="left"/>
        <w:rPr>
          <w:rFonts w:hint="eastAsia" w:ascii="黑体" w:hAnsi="黑体" w:eastAsia="黑体" w:cs="黑体"/>
          <w:sz w:val="24"/>
          <w:lang w:val="en-US" w:eastAsia="zh-CN"/>
        </w:rPr>
      </w:pPr>
      <w:r>
        <w:rPr>
          <w:rFonts w:hint="eastAsia" w:ascii="黑体" w:hAnsi="黑体" w:eastAsia="黑体" w:cs="黑体"/>
          <w:sz w:val="24"/>
          <w:lang w:val="en-US" w:eastAsia="zh-CN"/>
        </w:rPr>
        <w:t>一、</w:t>
      </w:r>
      <w:r>
        <w:rPr>
          <w:rFonts w:hint="eastAsia" w:ascii="黑体" w:hAnsi="黑体" w:eastAsia="黑体" w:cs="黑体"/>
          <w:sz w:val="24"/>
          <w:szCs w:val="24"/>
        </w:rPr>
        <w:t>研究背景与发展概述</w:t>
      </w:r>
    </w:p>
    <w:p w14:paraId="22FCD590">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随着智能化的发展，纺织行业的智能化程度也在不断提升。智能制造技术是先进制造技术与信息技术相融合的产物，它不断驱动着纺织行业的发展，是纺织制造业的核心驱动要素之一。它提升了纺织产品的创新性，对原有的生产方式进行改良，提高了生产质量与效率</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_Ref11430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4EDE06A2">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此背景下，纺织品的功能化与智能化逐渐成为行业发展的重要方向。尤其是近年来，材料科学、微纳加工技术以及智能控制技术的交叉融合，使纺织材料不再局限于传统意义上的遮蔽、保暖与美观，而是向着信息响应、智能感知、自主调控等更高层次的性能拓展。智能纺织品因其可感知、可响应外部刺激的特性，在国防防护、医疗监测、环境适应、可穿戴电子等领域展现出巨大的应用潜力。</w:t>
      </w:r>
    </w:p>
    <w:p w14:paraId="3B0D1281">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其中作为智能织物的变色纤维技术也发展迅速。变色纤维是具有特殊组成或结构的纤维，种类繁多，色彩丰富，可随不同种类刺激而展现颜色变化，应用于诸多领域</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_Ref11609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[2]</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697B2194">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变色纤维的核心特征在于其对光照、温度、压力、电场或化学环境等外界信号产生可逆性的颜色变化，这一特性不仅赋予纺织品动态的视觉表现力，也为信息显示、环境监测与智能警示系统提供了全新的材料基础。与此同时，变色技术与现代纺丝工艺、聚合物化学、微胶囊工程的深度结合，使变色纤维在制备方法上呈现多样化趋势，包括溶液纺丝、熔融纺丝及后整理技术等多种工艺路线，为其大规模生产与应用奠定了技术基础。此外，随着消费市场对个性化与互动性纺织品需求的逐年攀升，变色纤维正逐渐从实验室向产业化加速推进，成为智能纺织材料研究中最具代表性和发展潜力的方向之一。</w:t>
      </w:r>
    </w:p>
    <w:p w14:paraId="7A62B7DE">
      <w:pPr>
        <w:widowControl/>
        <w:spacing w:line="360" w:lineRule="auto"/>
        <w:jc w:val="left"/>
        <w:rPr>
          <w:rFonts w:hint="eastAsia" w:ascii="黑体" w:hAnsi="黑体" w:eastAsia="黑体" w:cs="黑体"/>
          <w:sz w:val="24"/>
          <w:szCs w:val="24"/>
        </w:rPr>
      </w:pPr>
      <w:r>
        <w:rPr>
          <w:rFonts w:hint="eastAsia" w:ascii="黑体" w:hAnsi="黑体" w:eastAsia="黑体" w:cs="黑体"/>
          <w:sz w:val="24"/>
          <w:szCs w:val="24"/>
          <w:lang w:val="en-US" w:eastAsia="zh-CN"/>
        </w:rPr>
        <w:t>二、</w:t>
      </w:r>
      <w:r>
        <w:rPr>
          <w:rFonts w:hint="eastAsia" w:ascii="黑体" w:hAnsi="黑体" w:eastAsia="黑体" w:cs="黑体"/>
          <w:sz w:val="24"/>
          <w:szCs w:val="24"/>
        </w:rPr>
        <w:t>变色纤维的常见种类与特性介绍</w:t>
      </w:r>
    </w:p>
    <w:p w14:paraId="2F1E629C">
      <w:pPr>
        <w:widowControl/>
        <w:spacing w:line="360" w:lineRule="auto"/>
        <w:jc w:val="left"/>
        <w:rPr>
          <w:rFonts w:hint="eastAsia" w:asciiTheme="majorEastAsia" w:hAnsiTheme="majorEastAsia" w:eastAsiaTheme="majorEastAsia" w:cstheme="majorEastAsia"/>
          <w:b/>
          <w:bCs/>
          <w:sz w:val="21"/>
          <w:szCs w:val="21"/>
        </w:rPr>
      </w:pP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lang w:val="en-US" w:eastAsia="zh-CN"/>
        </w:rPr>
        <w:t>一</w:t>
      </w: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rPr>
        <w:t xml:space="preserve"> 光致变色纤维</w:t>
      </w:r>
    </w:p>
    <w:p w14:paraId="44F82B32">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光致变色纤维是将光致变色材料和高聚物共混，通过溶液纺丝、共混纺丝或复合纺丝技术制得的纤维。光致变色聚氨酯纤维可以由光致变色聚氨酯皮芯纤维、纯聚氨酯、聚酰亚胺纤维纺丝、聚丁二酸丁二醇酯等制备（如图1）</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_Ref11655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[3]</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。其特点是在太阳光或紫外光等照射下发生可逆的颜色变化，当光线消失之后，又会恢复至原始状态。</w:t>
      </w:r>
    </w:p>
    <w:p w14:paraId="4441C457">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光致变色材料体系中，典型的变色分子多为螺吡喃、二芳基乙烯及二氮杂萘酮等结构，它们在受到紫外光激发时会发生分子结构的可逆开环、共轭体系延展或电子转移，从而引发显色或褪色过程。这一光化学反应具有响应速度快、可逆性强、循环性能优异等特点，使光致变色纤维在智能纺织品中表现出明显优势。</w:t>
      </w:r>
    </w:p>
    <w:p w14:paraId="322D89A9">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此外，光致变色纤维的显色深度、响应速度以及颜色稳定性与变色分子在聚合物基体中的分散状态密切相关。由于聚氨酯、聚酰亚胺等材料具有良好的柔韧性与极性环境，它们能够有效限制光致变色分子的迁移，提高循环耐久性与环境稳定性。皮芯结构的光致变色纤维更是通过在芯层集中分布光敏组分，同时由皮层对其进行保护，从而兼顾了变色性能与力学性能，使其具有更高的实用价值。</w:t>
      </w:r>
    </w:p>
    <w:p w14:paraId="3D3E52B2">
      <w:pPr>
        <w:widowControl/>
        <w:spacing w:line="360" w:lineRule="auto"/>
        <w:ind w:firstLine="42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sz w:val="21"/>
          <w:szCs w:val="21"/>
        </w:rPr>
        <w:t>总体而言，光致变色纤维因其无需外接能源、响应灵敏且可逆性稳定，被广泛用于可视化紫外监测、互动服饰设计、防伪识别以及户外运动装备等领域，并随着光敏材料与纤维加工技术的不断发展，其应用前景仍在持续拓展。</w:t>
      </w:r>
    </w:p>
    <w:p w14:paraId="4F4AAACE">
      <w:pPr>
        <w:widowControl/>
        <w:spacing w:line="360" w:lineRule="auto"/>
        <w:jc w:val="center"/>
        <w:rPr>
          <w:rFonts w:hint="eastAsia" w:asciiTheme="minorEastAsia" w:hAnsiTheme="minorEastAsia" w:eastAsiaTheme="minorEastAsia" w:cstheme="minorEastAsia"/>
          <w:szCs w:val="21"/>
        </w:rPr>
      </w:pPr>
      <w:r>
        <w:drawing>
          <wp:inline distT="0" distB="0" distL="0" distR="0">
            <wp:extent cx="1439545" cy="1439545"/>
            <wp:effectExtent l="0" t="0" r="8255" b="8255"/>
            <wp:docPr id="8" name="图片 8"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查看源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40000" cy="1440000"/>
                    </a:xfrm>
                    <a:prstGeom prst="rect">
                      <a:avLst/>
                    </a:prstGeom>
                    <a:noFill/>
                    <a:ln>
                      <a:noFill/>
                    </a:ln>
                  </pic:spPr>
                </pic:pic>
              </a:graphicData>
            </a:graphic>
          </wp:inline>
        </w:drawing>
      </w:r>
      <w:r>
        <w:t xml:space="preserve">  </w:t>
      </w:r>
      <w:r>
        <w:drawing>
          <wp:inline distT="0" distB="0" distL="0" distR="0">
            <wp:extent cx="1872615" cy="1439545"/>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1872649" cy="1440000"/>
                    </a:xfrm>
                    <a:prstGeom prst="rect">
                      <a:avLst/>
                    </a:prstGeom>
                  </pic:spPr>
                </pic:pic>
              </a:graphicData>
            </a:graphic>
          </wp:inline>
        </w:drawing>
      </w:r>
    </w:p>
    <w:p w14:paraId="37CCC18F">
      <w:pPr>
        <w:widowControl/>
        <w:spacing w:line="360" w:lineRule="auto"/>
        <w:ind w:firstLine="420"/>
        <w:jc w:val="center"/>
        <w:rPr>
          <w:rFonts w:hint="eastAsia" w:asciiTheme="majorEastAsia" w:hAnsiTheme="majorEastAsia" w:eastAsiaTheme="majorEastAsia" w:cstheme="majorEastAsia"/>
          <w:sz w:val="21"/>
          <w:szCs w:val="21"/>
        </w:rPr>
      </w:pPr>
      <w:r>
        <w:rPr>
          <w:rFonts w:hint="eastAsia" w:asciiTheme="majorEastAsia" w:hAnsiTheme="majorEastAsia" w:eastAsiaTheme="majorEastAsia" w:cstheme="majorEastAsia"/>
          <w:sz w:val="21"/>
          <w:szCs w:val="21"/>
        </w:rPr>
        <w:t>图1. 光致变色材料</w:t>
      </w:r>
    </w:p>
    <w:p w14:paraId="48707D48">
      <w:pPr>
        <w:widowControl/>
        <w:spacing w:line="360" w:lineRule="auto"/>
        <w:jc w:val="left"/>
        <w:rPr>
          <w:rFonts w:hint="eastAsia" w:asciiTheme="majorEastAsia" w:hAnsiTheme="majorEastAsia" w:eastAsiaTheme="majorEastAsia" w:cstheme="majorEastAsia"/>
          <w:b/>
          <w:bCs/>
          <w:sz w:val="21"/>
          <w:szCs w:val="21"/>
        </w:rPr>
      </w:pP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lang w:val="en-US" w:eastAsia="zh-CN"/>
        </w:rPr>
        <w:t>二</w:t>
      </w: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rPr>
        <w:t>热致变色纤维</w:t>
      </w:r>
    </w:p>
    <w:p w14:paraId="4D89A55A">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热变色材料即在指定的温度区域内发色、消色或颜色改变的物质。具有热敏变色性的有机化合物可分为螺吡喃类、取代乙烯类、荧烷类、三芳甲烷类等。目前最有应用前景的有机热变色材料是一种多组分复配物体系，其热敏变色温度范围可覆盖−200℃至200℃</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_Ref11724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[4]</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，各组分的具体功能与作用如表1所示。</w:t>
      </w:r>
    </w:p>
    <w:p w14:paraId="02B8E7C0">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热致变色体系中，颜色变化的本质通常源于分子构型的可逆重排、电子供受体对的可逆结合或液晶材料在不同温度下的取向变化。当环境温度达到特定阈值时，体系中的隐色染料会由无色的闭环结构转变为有颜色的开环结构，或在供受体氢键作用的破裂与重建之间产生显色/褪色效应，从而形成温度敏感型的颜色响应。这一过程具有显著的热力学驱动特征，通过调节溶剂性物质的极性、电子受体的酸性以及微胶囊壁材的热传导性能，可以精确控制变色起始温度与变色区间的宽度。</w:t>
      </w:r>
    </w:p>
    <w:p w14:paraId="18F6A0A3">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此外，现代热致变色材料多采用微胶囊包覆技术，将隐色染料、显色剂与调温剂封装在热塑性壁材中，以提高其分散性与环境稳定性。微胶囊结构既能在纤维加工过程中保护热致变色核心物质免于热分解，也能显著提升耐洗性、耐光性与循环使用性能，使其更适合融入聚酯、聚丙烯、聚酰胺等高分子基体中进行熔融纺丝或后整理应用。</w:t>
      </w:r>
    </w:p>
    <w:p w14:paraId="6042DA5C">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总体而言，热致变色纤维因其颜色变化直观、温度区间可调控且不依赖光照激发，已广泛应用于温度指示、户外防护服饰、儿童玩具、食品与医药包装提示等领域，并随着微胶囊工程、聚合物加工技术的发展，仍具备进一步拓展的巨大潜力。</w:t>
      </w:r>
    </w:p>
    <w:p w14:paraId="5C655381">
      <w:pPr>
        <w:widowControl/>
        <w:spacing w:line="360" w:lineRule="auto"/>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表1. 热致变色有机材料常用组及作用</w:t>
      </w:r>
    </w:p>
    <w:tbl>
      <w:tblPr>
        <w:tblStyle w:val="11"/>
        <w:tblW w:w="5000" w:type="pct"/>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blLayout w:type="autofit"/>
        <w:tblCellMar>
          <w:top w:w="0" w:type="dxa"/>
          <w:left w:w="0" w:type="dxa"/>
          <w:bottom w:w="0" w:type="dxa"/>
          <w:right w:w="0" w:type="dxa"/>
        </w:tblCellMar>
      </w:tblPr>
      <w:tblGrid>
        <w:gridCol w:w="1209"/>
        <w:gridCol w:w="5813"/>
        <w:gridCol w:w="1434"/>
      </w:tblGrid>
      <w:tr w14:paraId="0102160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blCellMar>
            <w:top w:w="0" w:type="dxa"/>
            <w:left w:w="0" w:type="dxa"/>
            <w:bottom w:w="0" w:type="dxa"/>
            <w:right w:w="0" w:type="dxa"/>
          </w:tblCellMar>
        </w:tblPrEx>
        <w:trPr>
          <w:jc w:val="center"/>
        </w:trPr>
        <w:tc>
          <w:tcPr>
            <w:tcW w:w="715" w:type="pct"/>
            <w:shd w:val="clear" w:color="auto" w:fill="FFFFFF"/>
            <w:tcMar>
              <w:top w:w="75" w:type="dxa"/>
              <w:left w:w="75" w:type="dxa"/>
              <w:bottom w:w="75" w:type="dxa"/>
              <w:right w:w="75" w:type="dxa"/>
            </w:tcMar>
            <w:vAlign w:val="center"/>
          </w:tcPr>
          <w:p w14:paraId="190EA0CA">
            <w:pPr>
              <w:widowControl/>
              <w:rPr>
                <w:rFonts w:ascii="Arial" w:hAnsi="Arial" w:cs="Arial"/>
                <w:b/>
                <w:bCs/>
                <w:color w:val="333333"/>
                <w:kern w:val="0"/>
                <w:szCs w:val="21"/>
              </w:rPr>
            </w:pPr>
            <w:r>
              <w:rPr>
                <w:rFonts w:ascii="Arial" w:hAnsi="Arial" w:cs="Arial"/>
                <w:b/>
                <w:bCs/>
                <w:color w:val="333333"/>
                <w:kern w:val="0"/>
                <w:szCs w:val="21"/>
              </w:rPr>
              <w:t>分类</w:t>
            </w:r>
          </w:p>
        </w:tc>
        <w:tc>
          <w:tcPr>
            <w:tcW w:w="3437" w:type="pct"/>
            <w:shd w:val="clear" w:color="auto" w:fill="FFFFFF"/>
            <w:tcMar>
              <w:top w:w="75" w:type="dxa"/>
              <w:left w:w="75" w:type="dxa"/>
              <w:bottom w:w="75" w:type="dxa"/>
              <w:right w:w="75" w:type="dxa"/>
            </w:tcMar>
            <w:vAlign w:val="center"/>
          </w:tcPr>
          <w:p w14:paraId="613B24EC">
            <w:pPr>
              <w:widowControl/>
              <w:rPr>
                <w:rFonts w:ascii="Arial" w:hAnsi="Arial" w:cs="Arial"/>
                <w:b/>
                <w:bCs/>
                <w:color w:val="333333"/>
                <w:kern w:val="0"/>
                <w:szCs w:val="21"/>
              </w:rPr>
            </w:pPr>
            <w:r>
              <w:rPr>
                <w:rFonts w:ascii="Arial" w:hAnsi="Arial" w:cs="Arial"/>
                <w:b/>
                <w:bCs/>
                <w:color w:val="333333"/>
                <w:kern w:val="0"/>
                <w:szCs w:val="21"/>
              </w:rPr>
              <w:t>化合物</w:t>
            </w:r>
          </w:p>
        </w:tc>
        <w:tc>
          <w:tcPr>
            <w:tcW w:w="849" w:type="pct"/>
            <w:shd w:val="clear" w:color="auto" w:fill="FFFFFF"/>
            <w:tcMar>
              <w:top w:w="75" w:type="dxa"/>
              <w:left w:w="75" w:type="dxa"/>
              <w:bottom w:w="75" w:type="dxa"/>
              <w:right w:w="75" w:type="dxa"/>
            </w:tcMar>
            <w:vAlign w:val="center"/>
          </w:tcPr>
          <w:p w14:paraId="35044CC6">
            <w:pPr>
              <w:widowControl/>
              <w:rPr>
                <w:rFonts w:ascii="Arial" w:hAnsi="Arial" w:cs="Arial"/>
                <w:b/>
                <w:bCs/>
                <w:color w:val="333333"/>
                <w:kern w:val="0"/>
                <w:szCs w:val="21"/>
              </w:rPr>
            </w:pPr>
            <w:r>
              <w:rPr>
                <w:rFonts w:ascii="Arial" w:hAnsi="Arial" w:cs="Arial"/>
                <w:b/>
                <w:bCs/>
                <w:color w:val="333333"/>
                <w:kern w:val="0"/>
                <w:szCs w:val="21"/>
              </w:rPr>
              <w:t>功能</w:t>
            </w:r>
          </w:p>
        </w:tc>
      </w:tr>
      <w:tr w14:paraId="52DBDAC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blCellMar>
            <w:top w:w="0" w:type="dxa"/>
            <w:left w:w="0" w:type="dxa"/>
            <w:bottom w:w="0" w:type="dxa"/>
            <w:right w:w="0" w:type="dxa"/>
          </w:tblCellMar>
        </w:tblPrEx>
        <w:trPr>
          <w:jc w:val="center"/>
        </w:trPr>
        <w:tc>
          <w:tcPr>
            <w:tcW w:w="715" w:type="pct"/>
            <w:shd w:val="clear" w:color="auto" w:fill="FFFFFF"/>
            <w:tcMar>
              <w:top w:w="75" w:type="dxa"/>
              <w:left w:w="75" w:type="dxa"/>
              <w:bottom w:w="75" w:type="dxa"/>
              <w:right w:w="75" w:type="dxa"/>
            </w:tcMar>
            <w:vAlign w:val="center"/>
          </w:tcPr>
          <w:p w14:paraId="4813088B">
            <w:pPr>
              <w:widowControl/>
              <w:rPr>
                <w:rFonts w:ascii="Arial" w:hAnsi="Arial" w:cs="Arial"/>
                <w:color w:val="333333"/>
                <w:kern w:val="0"/>
                <w:szCs w:val="21"/>
              </w:rPr>
            </w:pPr>
            <w:r>
              <w:rPr>
                <w:rFonts w:ascii="Arial" w:hAnsi="Arial" w:cs="Arial"/>
                <w:color w:val="333333"/>
                <w:kern w:val="0"/>
                <w:szCs w:val="21"/>
              </w:rPr>
              <w:t>电子给予体</w:t>
            </w:r>
          </w:p>
        </w:tc>
        <w:tc>
          <w:tcPr>
            <w:tcW w:w="3437" w:type="pct"/>
            <w:shd w:val="clear" w:color="auto" w:fill="FFFFFF"/>
            <w:tcMar>
              <w:top w:w="75" w:type="dxa"/>
              <w:left w:w="75" w:type="dxa"/>
              <w:bottom w:w="75" w:type="dxa"/>
              <w:right w:w="75" w:type="dxa"/>
            </w:tcMar>
            <w:vAlign w:val="center"/>
          </w:tcPr>
          <w:p w14:paraId="1D3B90B8">
            <w:pPr>
              <w:widowControl/>
              <w:rPr>
                <w:rFonts w:ascii="Arial" w:hAnsi="Arial" w:cs="Arial"/>
                <w:color w:val="333333"/>
                <w:kern w:val="0"/>
                <w:szCs w:val="21"/>
              </w:rPr>
            </w:pPr>
            <w:r>
              <w:rPr>
                <w:rFonts w:ascii="Arial" w:hAnsi="Arial" w:cs="Arial"/>
                <w:color w:val="333333"/>
                <w:kern w:val="0"/>
                <w:szCs w:val="21"/>
              </w:rPr>
              <w:t>邻苯二甲酸二烯丙酯、螺吡喃类、荧烃类、罗丹明B内酰胺、聚烯丙基甲醇类、隐色金胺、酰基、芳基金胺吲哚满类</w:t>
            </w:r>
          </w:p>
        </w:tc>
        <w:tc>
          <w:tcPr>
            <w:tcW w:w="849" w:type="pct"/>
            <w:shd w:val="clear" w:color="auto" w:fill="FFFFFF"/>
            <w:tcMar>
              <w:top w:w="75" w:type="dxa"/>
              <w:left w:w="75" w:type="dxa"/>
              <w:bottom w:w="75" w:type="dxa"/>
              <w:right w:w="75" w:type="dxa"/>
            </w:tcMar>
            <w:vAlign w:val="center"/>
          </w:tcPr>
          <w:p w14:paraId="112BA815">
            <w:pPr>
              <w:widowControl/>
              <w:rPr>
                <w:rFonts w:ascii="Arial" w:hAnsi="Arial" w:cs="Arial"/>
                <w:color w:val="333333"/>
                <w:kern w:val="0"/>
                <w:szCs w:val="21"/>
              </w:rPr>
            </w:pPr>
            <w:r>
              <w:rPr>
                <w:rFonts w:ascii="Arial" w:hAnsi="Arial" w:cs="Arial"/>
                <w:color w:val="333333"/>
                <w:kern w:val="0"/>
                <w:szCs w:val="21"/>
              </w:rPr>
              <w:t>决定颜色</w:t>
            </w:r>
          </w:p>
        </w:tc>
      </w:tr>
      <w:tr w14:paraId="498247B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blCellMar>
            <w:top w:w="0" w:type="dxa"/>
            <w:left w:w="0" w:type="dxa"/>
            <w:bottom w:w="0" w:type="dxa"/>
            <w:right w:w="0" w:type="dxa"/>
          </w:tblCellMar>
        </w:tblPrEx>
        <w:trPr>
          <w:jc w:val="center"/>
        </w:trPr>
        <w:tc>
          <w:tcPr>
            <w:tcW w:w="715" w:type="pct"/>
            <w:shd w:val="clear" w:color="auto" w:fill="FFFFFF"/>
            <w:tcMar>
              <w:top w:w="75" w:type="dxa"/>
              <w:left w:w="75" w:type="dxa"/>
              <w:bottom w:w="75" w:type="dxa"/>
              <w:right w:w="75" w:type="dxa"/>
            </w:tcMar>
            <w:vAlign w:val="center"/>
          </w:tcPr>
          <w:p w14:paraId="57662558">
            <w:pPr>
              <w:widowControl/>
              <w:rPr>
                <w:rFonts w:ascii="Arial" w:hAnsi="Arial" w:cs="Arial"/>
                <w:color w:val="333333"/>
                <w:kern w:val="0"/>
                <w:szCs w:val="21"/>
              </w:rPr>
            </w:pPr>
            <w:r>
              <w:rPr>
                <w:rFonts w:ascii="Arial" w:hAnsi="Arial" w:cs="Arial"/>
                <w:color w:val="333333"/>
                <w:kern w:val="0"/>
                <w:szCs w:val="21"/>
              </w:rPr>
              <w:t>电子接受体</w:t>
            </w:r>
          </w:p>
        </w:tc>
        <w:tc>
          <w:tcPr>
            <w:tcW w:w="3437" w:type="pct"/>
            <w:shd w:val="clear" w:color="auto" w:fill="FFFFFF"/>
            <w:tcMar>
              <w:top w:w="75" w:type="dxa"/>
              <w:left w:w="75" w:type="dxa"/>
              <w:bottom w:w="75" w:type="dxa"/>
              <w:right w:w="75" w:type="dxa"/>
            </w:tcMar>
            <w:vAlign w:val="center"/>
          </w:tcPr>
          <w:p w14:paraId="04B37B43">
            <w:pPr>
              <w:widowControl/>
              <w:rPr>
                <w:rFonts w:ascii="Arial" w:hAnsi="Arial" w:cs="Arial"/>
                <w:color w:val="333333"/>
                <w:kern w:val="0"/>
                <w:szCs w:val="21"/>
              </w:rPr>
            </w:pPr>
            <w:r>
              <w:rPr>
                <w:rFonts w:ascii="Arial" w:hAnsi="Arial" w:cs="Arial"/>
                <w:color w:val="333333"/>
                <w:kern w:val="0"/>
                <w:szCs w:val="21"/>
              </w:rPr>
              <w:t>酚类、羧酸类、磺酸类、酸式磷酸酯及其金属盐, 三氮杂茂、卤代醇及其衍生物</w:t>
            </w:r>
          </w:p>
        </w:tc>
        <w:tc>
          <w:tcPr>
            <w:tcW w:w="849" w:type="pct"/>
            <w:shd w:val="clear" w:color="auto" w:fill="FFFFFF"/>
            <w:tcMar>
              <w:top w:w="75" w:type="dxa"/>
              <w:left w:w="75" w:type="dxa"/>
              <w:bottom w:w="75" w:type="dxa"/>
              <w:right w:w="75" w:type="dxa"/>
            </w:tcMar>
            <w:vAlign w:val="center"/>
          </w:tcPr>
          <w:p w14:paraId="748C6818">
            <w:pPr>
              <w:widowControl/>
              <w:rPr>
                <w:rFonts w:ascii="Arial" w:hAnsi="Arial" w:cs="Arial"/>
                <w:color w:val="333333"/>
                <w:kern w:val="0"/>
                <w:szCs w:val="21"/>
              </w:rPr>
            </w:pPr>
            <w:r>
              <w:rPr>
                <w:rFonts w:ascii="Arial" w:hAnsi="Arial" w:cs="Arial"/>
                <w:color w:val="333333"/>
                <w:kern w:val="0"/>
                <w:szCs w:val="21"/>
              </w:rPr>
              <w:t>决定显色深浅</w:t>
            </w:r>
          </w:p>
        </w:tc>
      </w:tr>
      <w:tr w14:paraId="1C7607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blCellMar>
            <w:top w:w="0" w:type="dxa"/>
            <w:left w:w="0" w:type="dxa"/>
            <w:bottom w:w="0" w:type="dxa"/>
            <w:right w:w="0" w:type="dxa"/>
          </w:tblCellMar>
        </w:tblPrEx>
        <w:trPr>
          <w:jc w:val="center"/>
        </w:trPr>
        <w:tc>
          <w:tcPr>
            <w:tcW w:w="715" w:type="pct"/>
            <w:shd w:val="clear" w:color="auto" w:fill="FFFFFF"/>
            <w:tcMar>
              <w:top w:w="75" w:type="dxa"/>
              <w:left w:w="75" w:type="dxa"/>
              <w:bottom w:w="75" w:type="dxa"/>
              <w:right w:w="75" w:type="dxa"/>
            </w:tcMar>
            <w:vAlign w:val="center"/>
          </w:tcPr>
          <w:p w14:paraId="26073AF0">
            <w:pPr>
              <w:widowControl/>
              <w:rPr>
                <w:rFonts w:ascii="Arial" w:hAnsi="Arial" w:cs="Arial"/>
                <w:color w:val="333333"/>
                <w:kern w:val="0"/>
                <w:szCs w:val="21"/>
              </w:rPr>
            </w:pPr>
            <w:r>
              <w:rPr>
                <w:rFonts w:ascii="Arial" w:hAnsi="Arial" w:cs="Arial"/>
                <w:color w:val="333333"/>
                <w:kern w:val="0"/>
                <w:szCs w:val="21"/>
              </w:rPr>
              <w:t>溶剂性物质</w:t>
            </w:r>
          </w:p>
        </w:tc>
        <w:tc>
          <w:tcPr>
            <w:tcW w:w="3437" w:type="pct"/>
            <w:shd w:val="clear" w:color="auto" w:fill="FFFFFF"/>
            <w:tcMar>
              <w:top w:w="75" w:type="dxa"/>
              <w:left w:w="75" w:type="dxa"/>
              <w:bottom w:w="75" w:type="dxa"/>
              <w:right w:w="75" w:type="dxa"/>
            </w:tcMar>
            <w:vAlign w:val="center"/>
          </w:tcPr>
          <w:p w14:paraId="7E6CC6C6">
            <w:pPr>
              <w:widowControl/>
              <w:rPr>
                <w:rFonts w:ascii="Arial" w:hAnsi="Arial" w:cs="Arial"/>
                <w:color w:val="333333"/>
                <w:kern w:val="0"/>
                <w:szCs w:val="21"/>
              </w:rPr>
            </w:pPr>
            <w:r>
              <w:rPr>
                <w:rFonts w:ascii="Arial" w:hAnsi="Arial" w:cs="Arial"/>
                <w:color w:val="333333"/>
                <w:kern w:val="0"/>
                <w:szCs w:val="21"/>
              </w:rPr>
              <w:t>醇、硫醇、酮、醚、磷酸酯、磺酸酯、羧酸酯、亚硫酸酯</w:t>
            </w:r>
          </w:p>
        </w:tc>
        <w:tc>
          <w:tcPr>
            <w:tcW w:w="849" w:type="pct"/>
            <w:shd w:val="clear" w:color="auto" w:fill="FFFFFF"/>
            <w:tcMar>
              <w:top w:w="75" w:type="dxa"/>
              <w:left w:w="75" w:type="dxa"/>
              <w:bottom w:w="75" w:type="dxa"/>
              <w:right w:w="75" w:type="dxa"/>
            </w:tcMar>
            <w:vAlign w:val="center"/>
          </w:tcPr>
          <w:p w14:paraId="2E12A5F9">
            <w:pPr>
              <w:widowControl/>
              <w:rPr>
                <w:rFonts w:ascii="Arial" w:hAnsi="Arial" w:cs="Arial"/>
                <w:color w:val="333333"/>
                <w:kern w:val="0"/>
                <w:szCs w:val="21"/>
              </w:rPr>
            </w:pPr>
            <w:r>
              <w:rPr>
                <w:rFonts w:ascii="Arial" w:hAnsi="Arial" w:cs="Arial"/>
                <w:color w:val="333333"/>
                <w:kern w:val="0"/>
                <w:szCs w:val="21"/>
              </w:rPr>
              <w:t>决定变色温度</w:t>
            </w:r>
          </w:p>
        </w:tc>
      </w:tr>
      <w:tr w14:paraId="48A2A0F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shd w:val="clear" w:color="auto" w:fill="FFFFFF"/>
          <w:tblCellMar>
            <w:top w:w="0" w:type="dxa"/>
            <w:left w:w="0" w:type="dxa"/>
            <w:bottom w:w="0" w:type="dxa"/>
            <w:right w:w="0" w:type="dxa"/>
          </w:tblCellMar>
        </w:tblPrEx>
        <w:trPr>
          <w:jc w:val="center"/>
        </w:trPr>
        <w:tc>
          <w:tcPr>
            <w:tcW w:w="715" w:type="pct"/>
            <w:shd w:val="clear" w:color="auto" w:fill="FFFFFF"/>
            <w:tcMar>
              <w:top w:w="75" w:type="dxa"/>
              <w:left w:w="75" w:type="dxa"/>
              <w:bottom w:w="75" w:type="dxa"/>
              <w:right w:w="75" w:type="dxa"/>
            </w:tcMar>
            <w:vAlign w:val="center"/>
          </w:tcPr>
          <w:p w14:paraId="7710E629">
            <w:pPr>
              <w:widowControl/>
              <w:rPr>
                <w:rFonts w:ascii="Arial" w:hAnsi="Arial" w:cs="Arial"/>
                <w:color w:val="333333"/>
                <w:kern w:val="0"/>
                <w:szCs w:val="21"/>
              </w:rPr>
            </w:pPr>
            <w:r>
              <w:rPr>
                <w:rFonts w:ascii="Arial" w:hAnsi="Arial" w:cs="Arial"/>
                <w:color w:val="333333"/>
                <w:kern w:val="0"/>
                <w:szCs w:val="21"/>
              </w:rPr>
              <w:t>添加剂</w:t>
            </w:r>
          </w:p>
        </w:tc>
        <w:tc>
          <w:tcPr>
            <w:tcW w:w="3437" w:type="pct"/>
            <w:shd w:val="clear" w:color="auto" w:fill="FFFFFF"/>
            <w:tcMar>
              <w:top w:w="75" w:type="dxa"/>
              <w:left w:w="75" w:type="dxa"/>
              <w:bottom w:w="75" w:type="dxa"/>
              <w:right w:w="75" w:type="dxa"/>
            </w:tcMar>
            <w:vAlign w:val="center"/>
          </w:tcPr>
          <w:p w14:paraId="5E5AB831">
            <w:pPr>
              <w:widowControl/>
              <w:rPr>
                <w:rFonts w:ascii="Arial" w:hAnsi="Arial" w:cs="Arial"/>
                <w:color w:val="333333"/>
                <w:kern w:val="0"/>
                <w:szCs w:val="21"/>
              </w:rPr>
            </w:pPr>
            <w:r>
              <w:rPr>
                <w:rFonts w:ascii="Arial" w:hAnsi="Arial" w:cs="Arial"/>
                <w:color w:val="333333"/>
                <w:kern w:val="0"/>
                <w:szCs w:val="21"/>
              </w:rPr>
              <w:t>染料、颜料、抗氧剂、紫外吸收剂、可塑剂、增稠剂等</w:t>
            </w:r>
          </w:p>
        </w:tc>
        <w:tc>
          <w:tcPr>
            <w:tcW w:w="849" w:type="pct"/>
            <w:shd w:val="clear" w:color="auto" w:fill="FFFFFF"/>
            <w:tcMar>
              <w:top w:w="75" w:type="dxa"/>
              <w:left w:w="75" w:type="dxa"/>
              <w:bottom w:w="75" w:type="dxa"/>
              <w:right w:w="75" w:type="dxa"/>
            </w:tcMar>
            <w:vAlign w:val="center"/>
          </w:tcPr>
          <w:p w14:paraId="59590F09">
            <w:pPr>
              <w:widowControl/>
              <w:rPr>
                <w:rFonts w:ascii="Arial" w:hAnsi="Arial" w:cs="Arial"/>
                <w:color w:val="333333"/>
                <w:kern w:val="0"/>
                <w:szCs w:val="21"/>
              </w:rPr>
            </w:pPr>
            <w:r>
              <w:rPr>
                <w:rFonts w:ascii="Arial" w:hAnsi="Arial" w:cs="Arial"/>
                <w:color w:val="333333"/>
                <w:kern w:val="0"/>
                <w:szCs w:val="21"/>
              </w:rPr>
              <w:t>改善性质</w:t>
            </w:r>
          </w:p>
        </w:tc>
      </w:tr>
    </w:tbl>
    <w:p w14:paraId="73701D85">
      <w:pPr>
        <w:widowControl/>
        <w:spacing w:line="360" w:lineRule="auto"/>
        <w:rPr>
          <w:rFonts w:hint="eastAsia" w:ascii="宋体" w:hAnsi="宋体" w:cs="宋体"/>
          <w:sz w:val="24"/>
        </w:rPr>
      </w:pPr>
    </w:p>
    <w:p w14:paraId="59E10126">
      <w:pPr>
        <w:widowControl/>
        <w:spacing w:line="360" w:lineRule="auto"/>
        <w:jc w:val="left"/>
        <w:rPr>
          <w:rFonts w:hint="eastAsia" w:asciiTheme="majorEastAsia" w:hAnsiTheme="majorEastAsia" w:eastAsiaTheme="majorEastAsia" w:cstheme="majorEastAsia"/>
          <w:b/>
          <w:bCs/>
          <w:sz w:val="21"/>
          <w:szCs w:val="21"/>
          <w:lang w:eastAsia="zh-CN"/>
        </w:rPr>
      </w:pP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lang w:val="en-US" w:eastAsia="zh-CN"/>
        </w:rPr>
        <w:t>三</w:t>
      </w:r>
      <w:r>
        <w:rPr>
          <w:rFonts w:hint="eastAsia" w:asciiTheme="majorEastAsia" w:hAnsiTheme="majorEastAsia" w:eastAsiaTheme="majorEastAsia" w:cstheme="majorEastAsia"/>
          <w:b/>
          <w:bCs/>
          <w:sz w:val="21"/>
          <w:szCs w:val="21"/>
          <w:lang w:eastAsia="zh-CN"/>
        </w:rPr>
        <w:t>） 结构色纤维</w:t>
      </w:r>
    </w:p>
    <w:p w14:paraId="0ADE00A7">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构色纤维是指表面或内部因周期性结构而具备颜色的一类纤维（如图2）。结构色源于光与微结构的相互作用，光学效应主要由多层薄膜干涉、表面或体周期性结构相联系的衍射，以及由亚波长大小的颗粒产生的波长选择性散射引起。</w:t>
      </w:r>
    </w:p>
    <w:p w14:paraId="105B6218">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这些光学现象使得入射光在微结构中经历反射、透射与相位差叠加等过程，形成特定波长的增强或削弱，从而表现出稳定而鲜明的颜色，是一种不依赖传统染料体系的物理着色方式。</w:t>
      </w:r>
    </w:p>
    <w:p w14:paraId="1CCEF94E">
      <w:pPr>
        <w:widowControl/>
        <w:spacing w:line="360" w:lineRule="auto"/>
        <w:jc w:val="center"/>
        <w:rPr>
          <w:rFonts w:hint="eastAsia" w:ascii="宋体" w:hAnsi="宋体" w:cs="宋体"/>
          <w:sz w:val="24"/>
        </w:rPr>
      </w:pPr>
      <w:r>
        <w:drawing>
          <wp:inline distT="0" distB="0" distL="0" distR="0">
            <wp:extent cx="4838700" cy="125476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50959" cy="1258002"/>
                    </a:xfrm>
                    <a:prstGeom prst="rect">
                      <a:avLst/>
                    </a:prstGeom>
                    <a:noFill/>
                    <a:ln>
                      <a:noFill/>
                    </a:ln>
                  </pic:spPr>
                </pic:pic>
              </a:graphicData>
            </a:graphic>
          </wp:inline>
        </w:drawing>
      </w:r>
    </w:p>
    <w:p w14:paraId="1BE6E94C">
      <w:pPr>
        <w:widowControl/>
        <w:spacing w:line="360" w:lineRule="auto"/>
        <w:ind w:firstLine="420"/>
        <w:jc w:val="center"/>
        <w:rPr>
          <w:rFonts w:ascii="宋体" w:hAnsi="宋体" w:cs="宋体"/>
          <w:sz w:val="24"/>
        </w:rPr>
      </w:pPr>
      <w:r>
        <w:rPr>
          <w:rFonts w:hint="eastAsia" w:asciiTheme="minorEastAsia" w:hAnsiTheme="minorEastAsia" w:eastAsiaTheme="minorEastAsia" w:cstheme="minorEastAsia"/>
          <w:sz w:val="21"/>
          <w:szCs w:val="21"/>
        </w:rPr>
        <w:t>图2. 结构色纤维及其成品</w:t>
      </w:r>
    </w:p>
    <w:p w14:paraId="000B7A86">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与由色素引起的化学色相比，由物体特殊的表面结构引起的结构色按产生原理可分为单层、多层薄膜干涉、栅格衍射、散射和光子晶体等</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_Ref11828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[5]</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，具有饱和度高、亮度高、强虹彩性等特点。更重要的是，由于其显色机制依赖物理结构而非化学键合，结构色纤维不会因染料迁移、光化降解或氧化作用而褪色，在耐光性与耐久性方面具有显著优势。</w:t>
      </w:r>
    </w:p>
    <w:p w14:paraId="720923F6">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构色纤维的制备材料来源广泛，现阶段大多是利用胶体微球自组装形成蛋白石型的光子晶体结构，使其在纤维内部或表层构建具有周期性的折射率调制区域。根据材料成分可将制备结构色纤维的微球分为有机纳米微球和无机纳米微球等（如表2），前者通常包括聚苯乙烯（PS）、聚甲基丙烯酸甲酯（PMMA）等聚合物微球，具有质量轻、柔性好、易成膜等优点；后者如SiO₂、TiO₂或ZnO微球折射率更高，能呈现更强烈的光子带隙效应。</w:t>
      </w:r>
    </w:p>
    <w:p w14:paraId="1813D9CB">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这些微球在纤维成形过程中的有序排列结构构成了具有周期性调制的光子结构单元，当可见光入射后，特定波段的光会因布拉格反射而增强，从而产生高纯度的结构色</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_Ref11910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[6]</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23D3931D">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随着微纳加工技术与自组装工艺的不断进步，结构色纤维已逐渐实现从实验室研究向应用场景的扩展，在高端服饰、舞台装饰、汽车内饰以及艺术设计等领域中展现出独特的视觉效果与可持续优势。</w:t>
      </w:r>
    </w:p>
    <w:p w14:paraId="6F8FBCE5">
      <w:pPr>
        <w:widowControl/>
        <w:spacing w:line="360" w:lineRule="auto"/>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表2. 制备结构色纤维的微球</w:t>
      </w:r>
    </w:p>
    <w:tbl>
      <w:tblPr>
        <w:tblStyle w:val="12"/>
        <w:tblW w:w="3973" w:type="pct"/>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08"/>
        <w:gridCol w:w="4964"/>
      </w:tblGrid>
      <w:tr w14:paraId="5593F59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335" w:type="pct"/>
            <w:vAlign w:val="center"/>
          </w:tcPr>
          <w:p w14:paraId="5CC93B9E">
            <w:pPr>
              <w:widowControl/>
              <w:spacing w:line="360" w:lineRule="auto"/>
              <w:rPr>
                <w:rFonts w:hint="eastAsia" w:ascii="宋体" w:hAnsi="宋体" w:cs="宋体"/>
                <w:b/>
                <w:bCs/>
                <w:sz w:val="24"/>
              </w:rPr>
            </w:pPr>
            <w:r>
              <w:rPr>
                <w:rFonts w:hint="eastAsia" w:ascii="宋体" w:hAnsi="宋体" w:cs="宋体"/>
                <w:b/>
                <w:bCs/>
                <w:sz w:val="24"/>
              </w:rPr>
              <w:t>种类</w:t>
            </w:r>
          </w:p>
        </w:tc>
        <w:tc>
          <w:tcPr>
            <w:tcW w:w="3665" w:type="pct"/>
            <w:vAlign w:val="center"/>
          </w:tcPr>
          <w:p w14:paraId="2F0107C6">
            <w:pPr>
              <w:widowControl/>
              <w:spacing w:line="360" w:lineRule="auto"/>
              <w:rPr>
                <w:rFonts w:hint="eastAsia" w:ascii="宋体" w:hAnsi="宋体" w:cs="宋体"/>
                <w:b/>
                <w:bCs/>
                <w:sz w:val="24"/>
              </w:rPr>
            </w:pPr>
            <w:r>
              <w:rPr>
                <w:rFonts w:hint="eastAsia" w:ascii="宋体" w:hAnsi="宋体" w:cs="宋体"/>
                <w:b/>
                <w:bCs/>
                <w:sz w:val="24"/>
              </w:rPr>
              <w:t>常使用的微球</w:t>
            </w:r>
          </w:p>
        </w:tc>
      </w:tr>
      <w:tr w14:paraId="1054BDD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335" w:type="pct"/>
            <w:vAlign w:val="center"/>
          </w:tcPr>
          <w:p w14:paraId="2840B62F">
            <w:pPr>
              <w:widowControl/>
              <w:spacing w:line="360" w:lineRule="auto"/>
              <w:rPr>
                <w:rFonts w:hint="eastAsia" w:ascii="宋体" w:hAnsi="宋体" w:cs="宋体"/>
                <w:sz w:val="24"/>
              </w:rPr>
            </w:pPr>
            <w:r>
              <w:rPr>
                <w:rFonts w:hint="eastAsia" w:ascii="宋体" w:hAnsi="宋体" w:cs="宋体"/>
                <w:sz w:val="24"/>
              </w:rPr>
              <w:t>有机纳米微球</w:t>
            </w:r>
          </w:p>
        </w:tc>
        <w:tc>
          <w:tcPr>
            <w:tcW w:w="3665" w:type="pct"/>
            <w:vAlign w:val="center"/>
          </w:tcPr>
          <w:p w14:paraId="559A023D">
            <w:pPr>
              <w:widowControl/>
              <w:spacing w:line="360" w:lineRule="auto"/>
              <w:rPr>
                <w:rFonts w:hint="eastAsia" w:ascii="宋体" w:hAnsi="宋体" w:cs="宋体"/>
                <w:sz w:val="24"/>
              </w:rPr>
            </w:pPr>
            <w:r>
              <w:rPr>
                <w:rFonts w:hint="eastAsia" w:ascii="宋体" w:hAnsi="宋体" w:cs="宋体"/>
                <w:sz w:val="24"/>
              </w:rPr>
              <w:t>聚苯乙烯(PS)、聚甲基丙烯酸甲酯(PMMA)或具有核壳结构的微球</w:t>
            </w:r>
          </w:p>
        </w:tc>
      </w:tr>
      <w:tr w14:paraId="5212AFB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335" w:type="pct"/>
            <w:vAlign w:val="center"/>
          </w:tcPr>
          <w:p w14:paraId="00D5436C">
            <w:pPr>
              <w:widowControl/>
              <w:spacing w:line="360" w:lineRule="auto"/>
              <w:rPr>
                <w:rFonts w:hint="eastAsia" w:ascii="宋体" w:hAnsi="宋体" w:cs="宋体"/>
                <w:sz w:val="24"/>
              </w:rPr>
            </w:pPr>
            <w:r>
              <w:rPr>
                <w:rFonts w:hint="eastAsia" w:ascii="宋体" w:hAnsi="宋体" w:cs="宋体"/>
                <w:sz w:val="24"/>
              </w:rPr>
              <w:t>无机纳米微球</w:t>
            </w:r>
          </w:p>
        </w:tc>
        <w:tc>
          <w:tcPr>
            <w:tcW w:w="3665" w:type="pct"/>
            <w:vAlign w:val="center"/>
          </w:tcPr>
          <w:p w14:paraId="1088257C">
            <w:pPr>
              <w:widowControl/>
              <w:spacing w:line="360" w:lineRule="auto"/>
              <w:rPr>
                <w:rFonts w:hint="eastAsia" w:ascii="宋体" w:hAnsi="宋体" w:cs="宋体"/>
                <w:sz w:val="24"/>
              </w:rPr>
            </w:pPr>
            <w:r>
              <w:rPr>
                <w:rFonts w:hint="eastAsia" w:ascii="宋体" w:hAnsi="宋体" w:cs="宋体"/>
                <w:sz w:val="24"/>
              </w:rPr>
              <w:t>SiO2、CuO2、ZnS、TiO2和Zn</w:t>
            </w:r>
            <w:r>
              <w:rPr>
                <w:rFonts w:ascii="宋体" w:hAnsi="宋体" w:cs="宋体"/>
                <w:sz w:val="24"/>
              </w:rPr>
              <w:t>O</w:t>
            </w:r>
            <w:r>
              <w:rPr>
                <w:rFonts w:hint="eastAsia" w:ascii="宋体" w:hAnsi="宋体" w:cs="宋体"/>
                <w:sz w:val="24"/>
              </w:rPr>
              <w:t>等</w:t>
            </w:r>
          </w:p>
        </w:tc>
      </w:tr>
    </w:tbl>
    <w:p w14:paraId="7B691877">
      <w:pPr>
        <w:widowControl/>
        <w:spacing w:line="360" w:lineRule="auto"/>
        <w:rPr>
          <w:rFonts w:hint="eastAsia" w:ascii="宋体" w:hAnsi="宋体" w:cs="宋体"/>
          <w:sz w:val="24"/>
        </w:rPr>
      </w:pPr>
    </w:p>
    <w:p w14:paraId="598B5E1D">
      <w:pPr>
        <w:widowControl/>
        <w:spacing w:line="360" w:lineRule="auto"/>
        <w:jc w:val="left"/>
        <w:rPr>
          <w:rFonts w:hint="eastAsia" w:ascii="黑体" w:hAnsi="黑体" w:eastAsia="黑体" w:cs="黑体"/>
          <w:sz w:val="24"/>
          <w:szCs w:val="24"/>
        </w:rPr>
      </w:pPr>
      <w:r>
        <w:rPr>
          <w:rFonts w:hint="eastAsia" w:ascii="黑体" w:hAnsi="黑体" w:eastAsia="黑体" w:cs="黑体"/>
          <w:sz w:val="24"/>
          <w:szCs w:val="24"/>
          <w:lang w:val="en-US" w:eastAsia="zh-CN"/>
        </w:rPr>
        <w:t>三、</w:t>
      </w:r>
      <w:r>
        <w:rPr>
          <w:rFonts w:hint="eastAsia" w:ascii="黑体" w:hAnsi="黑体" w:eastAsia="黑体" w:cs="黑体"/>
          <w:sz w:val="24"/>
          <w:szCs w:val="24"/>
        </w:rPr>
        <w:t>变色纤维的制备方法</w:t>
      </w:r>
    </w:p>
    <w:p w14:paraId="35CC62CE">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按生产工艺不同，常见的、对变色纤维的直接研发的制备技术主要包括溶液纺丝法、熔融纺丝法以及后整理法（如图3）。这三类工艺路线分别对应不同的材料体系与结构构筑方式，决定了变色纤维在显色效率、循环稳定性、加工适应性及产业化潜力方面的差异。</w:t>
      </w:r>
    </w:p>
    <w:p w14:paraId="2CC34FD9">
      <w:pPr>
        <w:widowControl/>
        <w:spacing w:line="360" w:lineRule="auto"/>
        <w:jc w:val="left"/>
        <w:rPr>
          <w:rFonts w:ascii="宋体" w:hAnsi="宋体" w:cs="宋体"/>
          <w:sz w:val="24"/>
        </w:rPr>
      </w:pPr>
    </w:p>
    <w:p w14:paraId="79599DAB">
      <w:pPr>
        <w:widowControl/>
        <w:spacing w:line="360" w:lineRule="auto"/>
        <w:jc w:val="center"/>
        <w:rPr>
          <w:rFonts w:ascii="宋体" w:hAnsi="宋体" w:cs="宋体"/>
          <w:sz w:val="24"/>
        </w:rPr>
      </w:pPr>
      <w:r>
        <w:drawing>
          <wp:inline distT="0" distB="0" distL="0" distR="0">
            <wp:extent cx="3914775" cy="19050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rcRect l="3574" t="4977" r="4170" b="4044"/>
                    <a:stretch>
                      <a:fillRect/>
                    </a:stretch>
                  </pic:blipFill>
                  <pic:spPr>
                    <a:xfrm>
                      <a:off x="0" y="0"/>
                      <a:ext cx="3936180" cy="1915660"/>
                    </a:xfrm>
                    <a:prstGeom prst="rect">
                      <a:avLst/>
                    </a:prstGeom>
                    <a:ln>
                      <a:noFill/>
                    </a:ln>
                  </pic:spPr>
                </pic:pic>
              </a:graphicData>
            </a:graphic>
          </wp:inline>
        </w:drawing>
      </w:r>
    </w:p>
    <w:p w14:paraId="0E65C510">
      <w:pPr>
        <w:widowControl/>
        <w:spacing w:line="360" w:lineRule="auto"/>
        <w:ind w:firstLine="420"/>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图3. 常见的变色纤维制备技术</w:t>
      </w:r>
    </w:p>
    <w:p w14:paraId="49A4C611">
      <w:pPr>
        <w:widowControl/>
        <w:spacing w:line="360" w:lineRule="auto"/>
        <w:jc w:val="left"/>
        <w:rPr>
          <w:rFonts w:hint="eastAsia" w:asciiTheme="majorEastAsia" w:hAnsiTheme="majorEastAsia" w:eastAsiaTheme="majorEastAsia" w:cstheme="majorEastAsia"/>
          <w:b/>
          <w:bCs/>
          <w:sz w:val="21"/>
          <w:szCs w:val="21"/>
          <w:lang w:eastAsia="zh-CN"/>
        </w:rPr>
      </w:pP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lang w:val="en-US" w:eastAsia="zh-CN"/>
        </w:rPr>
        <w:t>一</w:t>
      </w:r>
      <w:r>
        <w:rPr>
          <w:rFonts w:hint="eastAsia" w:asciiTheme="majorEastAsia" w:hAnsiTheme="majorEastAsia" w:eastAsiaTheme="majorEastAsia" w:cstheme="majorEastAsia"/>
          <w:b/>
          <w:bCs/>
          <w:sz w:val="21"/>
          <w:szCs w:val="21"/>
          <w:lang w:eastAsia="zh-CN"/>
        </w:rPr>
        <w:t>） 溶液纺丝法</w:t>
      </w:r>
    </w:p>
    <w:p w14:paraId="7F75614F">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与常规溶液纺丝法相近，但要在成纤的纺丝液中加入具有可逆变色功能的染料和防止染料转移的试剂。由丙烯腈 / 苯乙烯 / 氯乙烯共聚物、变色类化合物组成的溶液纺丝后放入水浴中凝固成纤，经水洗得到光致变色纤维。</w:t>
      </w:r>
    </w:p>
    <w:p w14:paraId="75F6F95A">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在制备过程中，变色染料通常以分子态或微胶囊包覆态分散于纺丝液中，通过溶剂挥发与凝固浴的相分离作用，将其均匀嵌入高分子链网结构。这一方法的核心在于：在溶液体系内形成稳定的分散状态，使变色组分能够在纤维成形时随聚合物链段一起定型，避免后续加工阶段出现迁移、析出或聚集，从而保证变色性能的可逆性与循环耐久性。</w:t>
      </w:r>
    </w:p>
    <w:p w14:paraId="4ECE3625">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此外，溶液纺丝法所形成的纤维微观结构通常较为均匀，孔隙率较低，有利于提高变色分子的光响应效率。由于其成纤环境温度相对较低，这一工艺尤其适用于对热敏材料较为敏感的光致变色体系，有助于保持变色分子的光化学活性。与此同时，纤维在凝固浴中的成形速度和溶剂扩散速率也会影响变色剂的分布状态，因此通过调控溶剂体系、凝固介质及浴温，可进一步优化纤维的显色强度、响应速率和稳定性。</w:t>
      </w:r>
    </w:p>
    <w:p w14:paraId="7E725562">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总体而言，溶液纺丝法能够实现在纤维内部均匀嵌入变色功能材料，是制备高均质性、高响应性的变色纤维的重要技术途径。其优势在于适用范围广、工艺稳定性好，但也存在成本较高、环保压力较大等限制，仍需结合溶剂回收与绿色纺丝技术进一步改进。</w:t>
      </w:r>
    </w:p>
    <w:p w14:paraId="6AC73597">
      <w:pPr>
        <w:widowControl/>
        <w:spacing w:line="360" w:lineRule="auto"/>
        <w:jc w:val="left"/>
        <w:rPr>
          <w:rFonts w:hint="eastAsia" w:asciiTheme="majorEastAsia" w:hAnsiTheme="majorEastAsia" w:eastAsiaTheme="majorEastAsia" w:cstheme="majorEastAsia"/>
          <w:b/>
          <w:bCs/>
          <w:sz w:val="21"/>
          <w:szCs w:val="21"/>
          <w:lang w:eastAsia="zh-CN"/>
        </w:rPr>
      </w:pP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lang w:val="en-US" w:eastAsia="zh-CN"/>
        </w:rPr>
        <w:t>二</w:t>
      </w:r>
      <w:r>
        <w:rPr>
          <w:rFonts w:hint="eastAsia" w:asciiTheme="majorEastAsia" w:hAnsiTheme="majorEastAsia" w:eastAsiaTheme="majorEastAsia" w:cstheme="majorEastAsia"/>
          <w:b/>
          <w:bCs/>
          <w:sz w:val="21"/>
          <w:szCs w:val="21"/>
          <w:lang w:eastAsia="zh-CN"/>
        </w:rPr>
        <w:t>） 熔融纺丝法</w:t>
      </w:r>
    </w:p>
    <w:p w14:paraId="20B28532">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熔融纺丝法分为聚合法、共混纺丝法、皮芯复合纺丝法。</w:t>
      </w:r>
      <w:r>
        <w:rPr>
          <w:rFonts w:hint="eastAsia" w:asciiTheme="minorEastAsia" w:hAnsiTheme="minorEastAsia" w:eastAsiaTheme="minorEastAsia" w:cstheme="minorEastAsia"/>
          <w:sz w:val="21"/>
          <w:szCs w:val="21"/>
        </w:rPr>
        <w:br w:type="textWrapping"/>
      </w:r>
      <w:r>
        <w:rPr>
          <w:rFonts w:hint="eastAsia" w:asciiTheme="minorEastAsia" w:hAnsiTheme="minorEastAsia" w:eastAsiaTheme="minorEastAsia" w:cstheme="minorEastAsia"/>
          <w:sz w:val="21"/>
          <w:szCs w:val="21"/>
        </w:rPr>
        <w:t>此类方法以聚合物熔体为加工基础，具有连续性高、生产效率高、适用于大规模工业化的显著优势，是当前变色纤维制备中最具产业化潜力的技术路线之一。</w:t>
      </w:r>
    </w:p>
    <w:p w14:paraId="7197DFDF">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rPr>
        <w:t>聚合法：</w:t>
      </w:r>
    </w:p>
    <w:p w14:paraId="775BA3AE">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将变色基团引入聚合物中，再将聚合物纺成纤维。如合成含硫衍生物的聚合体纺成纤维，它能在可见光下发生氧化还原反应，在光照和湿度变化时颜色由青色变为无色。</w:t>
      </w:r>
    </w:p>
    <w:p w14:paraId="483D1C06">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一方法的关键在于通过化学键将变色基团牢固地接枝或嵌段到高分子主链或侧链中，使变色材料不再以物理分散状态存在，从而显著提高抗迁移性、耐光性和耐洗性。由于变色基团成为聚合物结构的一部分，其光化学或热化学行为受基体微环境调控，可实现较高的循环稳定性。然而，聚合法通常涉及多步有机合成、纯化和聚合反应，反应条件严格、成本较高，因此目前多用于性能要求极高的特种领域。</w:t>
      </w:r>
    </w:p>
    <w:p w14:paraId="37844067">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共混纺丝法：</w:t>
      </w:r>
    </w:p>
    <w:p w14:paraId="7E8E88F6">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将变色聚合物与聚酯、聚丙烯、聚酰胺等聚合物熔融共混纺丝，或把变色化合物分散在能和抽丝高聚物混融的树脂载体中制成色母粒，再混入聚酯、聚丙烯、聚酰胺等聚合物中熔融纺丝。</w:t>
      </w:r>
    </w:p>
    <w:p w14:paraId="75E4B52B">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共混法是工业化应用最常见的技术路线。其优势在于工艺灵活、适用聚合物种类广、对变色材料的化学结构要求较低。色母粒工艺更可有效改善变色材料的分散均匀性，并避免直接添加染料带来的热分解问题。但由于变色成分主要以物理分散态存在，其迁移性、疲劳耐久性和显色均匀性容易受到聚合物结晶度、相容性以及加工温度等因素影响，因此需通过相容剂、微胶囊包覆或组分改性等手段进一步优化。</w:t>
      </w:r>
    </w:p>
    <w:p w14:paraId="34DE447C">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皮芯复合纺丝法：</w:t>
      </w:r>
    </w:p>
    <w:p w14:paraId="1AD5FAC5">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皮芯复合纺丝法是生产变色纤维的主要技术。它以含有光敏剂的组分为芯，以普通纤维为皮，共熔纺丝得到光敏变色皮芯复合纤维，单独规定芯组与皮组的具体参数（如表3），维持纤维力学性能。由这种光致变色复合纤维制成的布料无论是在手感、耐洗性方面，还是在耐光性、发色效果等方面都得到了很大提高。</w:t>
      </w:r>
    </w:p>
    <w:p w14:paraId="09B56E67">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皮芯结构的显著优势在于能够实现“功能核心—保护外层”的双层结构：光敏或热敏变色剂集中分布于芯层内部，提高其光响应效率，而皮层的存在则能有效阻隔氧、湿气及外界机械摩擦对变色剂的破坏，从而显著提升产品的服用性能与耐久性。此外，皮层与芯层的熔点、黏度匹配是该工艺的关键技术指标，通过合理控制两相的流变行为，可确保纤维形态稳定、界面结合良好以及结构色或光致变色效果的高一致性。</w:t>
      </w:r>
    </w:p>
    <w:p w14:paraId="164CB9B2">
      <w:pPr>
        <w:widowControl/>
        <w:spacing w:line="360" w:lineRule="auto"/>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表3. 皮芯复合纺丝法技术参数</w:t>
      </w:r>
    </w:p>
    <w:tbl>
      <w:tblPr>
        <w:tblStyle w:val="12"/>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060"/>
        <w:gridCol w:w="1686"/>
        <w:gridCol w:w="3209"/>
      </w:tblGrid>
      <w:tr w14:paraId="3914A2B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vAlign w:val="center"/>
          </w:tcPr>
          <w:p w14:paraId="25397D9A">
            <w:pPr>
              <w:widowControl/>
              <w:spacing w:line="360" w:lineRule="auto"/>
              <w:rPr>
                <w:rFonts w:hint="eastAsia" w:ascii="宋体" w:hAnsi="宋体" w:cs="宋体"/>
                <w:b/>
                <w:bCs/>
                <w:szCs w:val="21"/>
              </w:rPr>
            </w:pPr>
            <w:r>
              <w:rPr>
                <w:rFonts w:hint="eastAsia" w:ascii="宋体" w:hAnsi="宋体" w:cs="宋体"/>
                <w:b/>
                <w:bCs/>
                <w:szCs w:val="21"/>
              </w:rPr>
              <w:t>主要要求</w:t>
            </w:r>
          </w:p>
        </w:tc>
        <w:tc>
          <w:tcPr>
            <w:tcW w:w="0" w:type="auto"/>
            <w:vAlign w:val="center"/>
          </w:tcPr>
          <w:p w14:paraId="71D45A85">
            <w:pPr>
              <w:widowControl/>
              <w:spacing w:line="360" w:lineRule="auto"/>
              <w:rPr>
                <w:rFonts w:hint="eastAsia" w:ascii="宋体" w:hAnsi="宋体" w:cs="宋体"/>
                <w:b/>
                <w:bCs/>
                <w:szCs w:val="21"/>
              </w:rPr>
            </w:pPr>
            <w:r>
              <w:rPr>
                <w:rFonts w:hint="eastAsia" w:ascii="宋体" w:hAnsi="宋体" w:cs="宋体"/>
                <w:b/>
                <w:bCs/>
                <w:szCs w:val="21"/>
              </w:rPr>
              <w:t>参数类型</w:t>
            </w:r>
          </w:p>
        </w:tc>
        <w:tc>
          <w:tcPr>
            <w:tcW w:w="0" w:type="auto"/>
            <w:vAlign w:val="center"/>
          </w:tcPr>
          <w:p w14:paraId="29944B2C">
            <w:pPr>
              <w:widowControl/>
              <w:spacing w:line="360" w:lineRule="auto"/>
              <w:rPr>
                <w:rFonts w:hint="eastAsia" w:ascii="宋体" w:hAnsi="宋体" w:cs="宋体"/>
                <w:b/>
                <w:bCs/>
                <w:szCs w:val="21"/>
              </w:rPr>
            </w:pPr>
            <w:r>
              <w:rPr>
                <w:rFonts w:hint="eastAsia" w:ascii="宋体" w:hAnsi="宋体" w:cs="宋体"/>
                <w:b/>
                <w:bCs/>
                <w:szCs w:val="21"/>
              </w:rPr>
              <w:t>参数要求</w:t>
            </w:r>
          </w:p>
        </w:tc>
      </w:tr>
      <w:tr w14:paraId="5397A19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vMerge w:val="restart"/>
            <w:vAlign w:val="center"/>
          </w:tcPr>
          <w:p w14:paraId="67B3F8A3">
            <w:pPr>
              <w:widowControl/>
              <w:spacing w:line="360" w:lineRule="auto"/>
              <w:rPr>
                <w:rFonts w:hint="eastAsia" w:ascii="宋体" w:hAnsi="宋体" w:cs="宋体"/>
                <w:szCs w:val="21"/>
              </w:rPr>
            </w:pPr>
            <w:r>
              <w:rPr>
                <w:rFonts w:hint="eastAsia" w:ascii="宋体" w:hAnsi="宋体" w:cs="宋体"/>
                <w:szCs w:val="21"/>
              </w:rPr>
              <w:t>芯组</w:t>
            </w:r>
          </w:p>
        </w:tc>
        <w:tc>
          <w:tcPr>
            <w:tcW w:w="0" w:type="auto"/>
            <w:vAlign w:val="center"/>
          </w:tcPr>
          <w:p w14:paraId="242DB05C">
            <w:pPr>
              <w:widowControl/>
              <w:spacing w:line="360" w:lineRule="auto"/>
              <w:rPr>
                <w:rFonts w:hint="eastAsia" w:ascii="宋体" w:hAnsi="宋体" w:cs="宋体"/>
                <w:szCs w:val="21"/>
              </w:rPr>
            </w:pPr>
            <w:r>
              <w:rPr>
                <w:rFonts w:hint="eastAsia" w:ascii="宋体" w:hAnsi="宋体" w:cs="宋体"/>
                <w:szCs w:val="21"/>
              </w:rPr>
              <w:t>热塑性树脂熔点</w:t>
            </w:r>
          </w:p>
        </w:tc>
        <w:tc>
          <w:tcPr>
            <w:tcW w:w="0" w:type="auto"/>
            <w:vAlign w:val="center"/>
          </w:tcPr>
          <w:p w14:paraId="7E566618">
            <w:pPr>
              <w:widowControl/>
              <w:spacing w:line="360" w:lineRule="auto"/>
              <w:rPr>
                <w:rFonts w:hint="eastAsia" w:ascii="宋体" w:hAnsi="宋体" w:cs="宋体"/>
                <w:szCs w:val="21"/>
              </w:rPr>
            </w:pPr>
            <w:r>
              <w:rPr>
                <w:rFonts w:hint="eastAsia" w:ascii="宋体" w:hAnsi="宋体" w:cs="宋体"/>
                <w:szCs w:val="21"/>
              </w:rPr>
              <w:t>≤2</w:t>
            </w:r>
            <w:r>
              <w:rPr>
                <w:rFonts w:ascii="宋体" w:hAnsi="宋体" w:cs="宋体"/>
                <w:szCs w:val="21"/>
              </w:rPr>
              <w:t>30</w:t>
            </w:r>
            <w:r>
              <w:rPr>
                <w:rFonts w:hint="eastAsia" w:ascii="宋体" w:hAnsi="宋体" w:cs="宋体"/>
                <w:szCs w:val="21"/>
              </w:rPr>
              <w:t>℃</w:t>
            </w:r>
          </w:p>
        </w:tc>
      </w:tr>
      <w:tr w14:paraId="2CE59F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vMerge w:val="continue"/>
            <w:vAlign w:val="center"/>
          </w:tcPr>
          <w:p w14:paraId="7B1F6696">
            <w:pPr>
              <w:widowControl/>
              <w:spacing w:line="360" w:lineRule="auto"/>
              <w:rPr>
                <w:rFonts w:hint="eastAsia" w:ascii="宋体" w:hAnsi="宋体" w:cs="宋体"/>
                <w:szCs w:val="21"/>
              </w:rPr>
            </w:pPr>
          </w:p>
        </w:tc>
        <w:tc>
          <w:tcPr>
            <w:tcW w:w="0" w:type="auto"/>
            <w:vAlign w:val="center"/>
          </w:tcPr>
          <w:p w14:paraId="59161669">
            <w:pPr>
              <w:widowControl/>
              <w:spacing w:line="360" w:lineRule="auto"/>
              <w:rPr>
                <w:rFonts w:hint="eastAsia" w:ascii="宋体" w:hAnsi="宋体" w:cs="宋体"/>
                <w:szCs w:val="21"/>
              </w:rPr>
            </w:pPr>
            <w:r>
              <w:rPr>
                <w:rFonts w:hint="eastAsia" w:ascii="宋体" w:hAnsi="宋体" w:cs="宋体"/>
                <w:szCs w:val="21"/>
              </w:rPr>
              <w:t>热塑性树脂含量</w:t>
            </w:r>
          </w:p>
        </w:tc>
        <w:tc>
          <w:tcPr>
            <w:tcW w:w="0" w:type="auto"/>
            <w:vAlign w:val="center"/>
          </w:tcPr>
          <w:p w14:paraId="7EAF79EE">
            <w:pPr>
              <w:widowControl/>
              <w:spacing w:line="360" w:lineRule="auto"/>
              <w:rPr>
                <w:rFonts w:hint="eastAsia" w:ascii="宋体" w:hAnsi="宋体" w:cs="宋体"/>
                <w:szCs w:val="21"/>
              </w:rPr>
            </w:pPr>
            <w:r>
              <w:rPr>
                <w:rFonts w:hint="eastAsia" w:ascii="宋体" w:hAnsi="宋体" w:cs="宋体"/>
                <w:szCs w:val="21"/>
              </w:rPr>
              <w:t>1%-</w:t>
            </w:r>
            <w:r>
              <w:rPr>
                <w:rFonts w:ascii="宋体" w:hAnsi="宋体" w:cs="宋体"/>
                <w:szCs w:val="21"/>
              </w:rPr>
              <w:t>40</w:t>
            </w:r>
            <w:r>
              <w:rPr>
                <w:rFonts w:hint="eastAsia" w:ascii="宋体" w:hAnsi="宋体" w:cs="宋体"/>
                <w:szCs w:val="21"/>
              </w:rPr>
              <w:t>%</w:t>
            </w:r>
          </w:p>
        </w:tc>
      </w:tr>
      <w:tr w14:paraId="27FBD4A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vMerge w:val="continue"/>
            <w:vAlign w:val="center"/>
          </w:tcPr>
          <w:p w14:paraId="00368DFE">
            <w:pPr>
              <w:widowControl/>
              <w:spacing w:line="360" w:lineRule="auto"/>
              <w:rPr>
                <w:rFonts w:hint="eastAsia" w:ascii="宋体" w:hAnsi="宋体" w:cs="宋体"/>
                <w:szCs w:val="21"/>
              </w:rPr>
            </w:pPr>
          </w:p>
        </w:tc>
        <w:tc>
          <w:tcPr>
            <w:tcW w:w="0" w:type="auto"/>
            <w:vAlign w:val="center"/>
          </w:tcPr>
          <w:p w14:paraId="5DDD757E">
            <w:pPr>
              <w:widowControl/>
              <w:spacing w:line="360" w:lineRule="auto"/>
              <w:rPr>
                <w:rFonts w:hint="eastAsia" w:ascii="宋体" w:hAnsi="宋体" w:cs="宋体"/>
                <w:szCs w:val="21"/>
              </w:rPr>
            </w:pPr>
            <w:r>
              <w:rPr>
                <w:rFonts w:hint="eastAsia" w:ascii="宋体" w:hAnsi="宋体" w:cs="宋体"/>
                <w:szCs w:val="21"/>
              </w:rPr>
              <w:t>变色粒子的尺寸</w:t>
            </w:r>
          </w:p>
        </w:tc>
        <w:tc>
          <w:tcPr>
            <w:tcW w:w="0" w:type="auto"/>
            <w:vAlign w:val="center"/>
          </w:tcPr>
          <w:p w14:paraId="47F1F2C9">
            <w:pPr>
              <w:widowControl/>
              <w:spacing w:line="360" w:lineRule="auto"/>
              <w:rPr>
                <w:rFonts w:hint="eastAsia" w:ascii="宋体" w:hAnsi="宋体" w:cs="宋体"/>
                <w:szCs w:val="21"/>
              </w:rPr>
            </w:pPr>
            <w:r>
              <w:rPr>
                <w:rFonts w:hint="eastAsia" w:ascii="宋体" w:hAnsi="宋体" w:cs="宋体"/>
                <w:szCs w:val="21"/>
              </w:rPr>
              <w:t>1-</w:t>
            </w:r>
            <w:r>
              <w:rPr>
                <w:rFonts w:ascii="宋体" w:hAnsi="宋体" w:cs="宋体"/>
                <w:szCs w:val="21"/>
              </w:rPr>
              <w:t>50</w:t>
            </w:r>
            <w:r>
              <w:rPr>
                <w:rFonts w:hint="eastAsia" w:ascii="宋体" w:hAnsi="宋体" w:cs="宋体"/>
                <w:szCs w:val="21"/>
              </w:rPr>
              <w:t>μm</w:t>
            </w:r>
          </w:p>
        </w:tc>
      </w:tr>
      <w:tr w14:paraId="097771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vMerge w:val="continue"/>
            <w:vAlign w:val="center"/>
          </w:tcPr>
          <w:p w14:paraId="172280E2">
            <w:pPr>
              <w:widowControl/>
              <w:spacing w:line="360" w:lineRule="auto"/>
              <w:rPr>
                <w:rFonts w:hint="eastAsia" w:ascii="宋体" w:hAnsi="宋体" w:cs="宋体"/>
                <w:szCs w:val="21"/>
              </w:rPr>
            </w:pPr>
          </w:p>
        </w:tc>
        <w:tc>
          <w:tcPr>
            <w:tcW w:w="0" w:type="auto"/>
            <w:vAlign w:val="center"/>
          </w:tcPr>
          <w:p w14:paraId="2AFF4A11">
            <w:pPr>
              <w:widowControl/>
              <w:spacing w:line="360" w:lineRule="auto"/>
              <w:rPr>
                <w:rFonts w:hint="eastAsia" w:ascii="宋体" w:hAnsi="宋体" w:cs="宋体"/>
                <w:szCs w:val="21"/>
              </w:rPr>
            </w:pPr>
            <w:r>
              <w:rPr>
                <w:rFonts w:hint="eastAsia" w:ascii="宋体" w:hAnsi="宋体" w:cs="宋体"/>
                <w:szCs w:val="21"/>
              </w:rPr>
              <w:t>耐光性</w:t>
            </w:r>
          </w:p>
        </w:tc>
        <w:tc>
          <w:tcPr>
            <w:tcW w:w="0" w:type="auto"/>
            <w:vAlign w:val="center"/>
          </w:tcPr>
          <w:p w14:paraId="21B720F1">
            <w:pPr>
              <w:widowControl/>
              <w:spacing w:line="360" w:lineRule="auto"/>
              <w:rPr>
                <w:rFonts w:hint="eastAsia" w:ascii="宋体" w:hAnsi="宋体" w:cs="宋体"/>
                <w:szCs w:val="21"/>
              </w:rPr>
            </w:pPr>
            <w:r>
              <w:rPr>
                <w:rFonts w:hint="eastAsia" w:ascii="宋体" w:hAnsi="宋体" w:cs="宋体"/>
                <w:szCs w:val="21"/>
              </w:rPr>
              <w:t>≥2</w:t>
            </w:r>
            <w:r>
              <w:rPr>
                <w:rFonts w:ascii="宋体" w:hAnsi="宋体" w:cs="宋体"/>
                <w:szCs w:val="21"/>
              </w:rPr>
              <w:t>00</w:t>
            </w:r>
            <w:r>
              <w:rPr>
                <w:rFonts w:hint="eastAsia" w:ascii="宋体" w:hAnsi="宋体" w:cs="宋体"/>
                <w:szCs w:val="21"/>
              </w:rPr>
              <w:t>℃（3</w:t>
            </w:r>
            <w:r>
              <w:rPr>
                <w:rFonts w:ascii="宋体" w:hAnsi="宋体" w:cs="宋体"/>
                <w:szCs w:val="21"/>
              </w:rPr>
              <w:t>0</w:t>
            </w:r>
            <w:r>
              <w:rPr>
                <w:rFonts w:hint="eastAsia" w:ascii="宋体" w:hAnsi="宋体" w:cs="宋体"/>
                <w:szCs w:val="21"/>
              </w:rPr>
              <w:t>min后无颜色变化）</w:t>
            </w:r>
          </w:p>
        </w:tc>
      </w:tr>
      <w:tr w14:paraId="7116E65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0" w:type="auto"/>
            <w:vAlign w:val="center"/>
          </w:tcPr>
          <w:p w14:paraId="4243A839">
            <w:pPr>
              <w:widowControl/>
              <w:spacing w:line="360" w:lineRule="auto"/>
              <w:rPr>
                <w:rFonts w:hint="eastAsia" w:ascii="宋体" w:hAnsi="宋体" w:cs="宋体"/>
                <w:szCs w:val="21"/>
              </w:rPr>
            </w:pPr>
            <w:r>
              <w:rPr>
                <w:rFonts w:hint="eastAsia" w:ascii="宋体" w:hAnsi="宋体" w:cs="宋体"/>
                <w:szCs w:val="21"/>
              </w:rPr>
              <w:t>皮组</w:t>
            </w:r>
          </w:p>
        </w:tc>
        <w:tc>
          <w:tcPr>
            <w:tcW w:w="0" w:type="auto"/>
            <w:vAlign w:val="center"/>
          </w:tcPr>
          <w:p w14:paraId="2A0D9C70">
            <w:pPr>
              <w:widowControl/>
              <w:spacing w:line="360" w:lineRule="auto"/>
              <w:rPr>
                <w:rFonts w:hint="eastAsia" w:ascii="宋体" w:hAnsi="宋体" w:cs="宋体"/>
                <w:szCs w:val="21"/>
              </w:rPr>
            </w:pPr>
            <w:r>
              <w:rPr>
                <w:rFonts w:hint="eastAsia" w:ascii="宋体" w:hAnsi="宋体" w:cs="宋体"/>
                <w:szCs w:val="21"/>
              </w:rPr>
              <w:t>热塑性树脂熔点</w:t>
            </w:r>
          </w:p>
        </w:tc>
        <w:tc>
          <w:tcPr>
            <w:tcW w:w="0" w:type="auto"/>
            <w:vAlign w:val="center"/>
          </w:tcPr>
          <w:p w14:paraId="38996DD2">
            <w:pPr>
              <w:widowControl/>
              <w:spacing w:line="360" w:lineRule="auto"/>
              <w:rPr>
                <w:rFonts w:hint="eastAsia" w:ascii="宋体" w:hAnsi="宋体" w:cs="宋体"/>
                <w:szCs w:val="21"/>
              </w:rPr>
            </w:pPr>
            <w:r>
              <w:rPr>
                <w:rFonts w:hint="eastAsia" w:ascii="宋体" w:hAnsi="宋体" w:cs="宋体"/>
                <w:szCs w:val="21"/>
              </w:rPr>
              <w:t>≤2</w:t>
            </w:r>
            <w:r>
              <w:rPr>
                <w:rFonts w:ascii="宋体" w:hAnsi="宋体" w:cs="宋体"/>
                <w:szCs w:val="21"/>
              </w:rPr>
              <w:t>80</w:t>
            </w:r>
            <w:r>
              <w:rPr>
                <w:rFonts w:hint="eastAsia" w:ascii="宋体" w:hAnsi="宋体" w:cs="宋体"/>
                <w:szCs w:val="21"/>
              </w:rPr>
              <w:t>℃</w:t>
            </w:r>
          </w:p>
        </w:tc>
      </w:tr>
    </w:tbl>
    <w:p w14:paraId="18B9A605">
      <w:pPr>
        <w:widowControl/>
        <w:spacing w:line="360" w:lineRule="auto"/>
        <w:jc w:val="left"/>
        <w:rPr>
          <w:rFonts w:hint="eastAsia" w:ascii="宋体" w:hAnsi="宋体" w:cs="宋体"/>
          <w:b/>
          <w:bCs/>
          <w:sz w:val="24"/>
          <w:lang w:eastAsia="zh-CN"/>
        </w:rPr>
      </w:pPr>
    </w:p>
    <w:p w14:paraId="05C00CF3">
      <w:pPr>
        <w:widowControl/>
        <w:spacing w:line="360" w:lineRule="auto"/>
        <w:ind w:firstLine="420"/>
        <w:jc w:val="left"/>
        <w:rPr>
          <w:rFonts w:hint="eastAsia" w:ascii="宋体" w:hAnsi="宋体" w:cs="宋体"/>
          <w:b/>
          <w:bCs/>
          <w:sz w:val="24"/>
          <w:lang w:eastAsia="zh-CN"/>
        </w:rPr>
      </w:pPr>
      <w:r>
        <w:rPr>
          <w:rFonts w:hint="eastAsia" w:asciiTheme="minorEastAsia" w:hAnsiTheme="minorEastAsia" w:eastAsiaTheme="minorEastAsia" w:cstheme="minorEastAsia"/>
          <w:sz w:val="21"/>
          <w:szCs w:val="21"/>
        </w:rPr>
        <w:t>总体来看，熔融纺丝体系中的三类技术路线从分子设计、材料共混到结构构筑层面，呈现出不同维度上的功能集成策略，为实现高稳定、高效率的变色纤维提供了丰富的加工途径，其中皮芯复合纺丝法因兼顾性能与可加工性，被认为是当前最具应用前景的工业化方案。</w:t>
      </w:r>
    </w:p>
    <w:p w14:paraId="073CAF28">
      <w:pPr>
        <w:widowControl/>
        <w:spacing w:line="360" w:lineRule="auto"/>
        <w:jc w:val="left"/>
        <w:rPr>
          <w:rFonts w:hint="eastAsia" w:asciiTheme="majorEastAsia" w:hAnsiTheme="majorEastAsia" w:eastAsiaTheme="majorEastAsia" w:cstheme="majorEastAsia"/>
          <w:b/>
          <w:bCs/>
          <w:sz w:val="21"/>
          <w:szCs w:val="21"/>
          <w:lang w:eastAsia="zh-CN"/>
        </w:rPr>
      </w:pPr>
      <w:r>
        <w:rPr>
          <w:rFonts w:hint="eastAsia" w:asciiTheme="majorEastAsia" w:hAnsiTheme="majorEastAsia" w:eastAsiaTheme="majorEastAsia" w:cstheme="majorEastAsia"/>
          <w:b/>
          <w:bCs/>
          <w:sz w:val="21"/>
          <w:szCs w:val="21"/>
          <w:lang w:eastAsia="zh-CN"/>
        </w:rPr>
        <w:t>（</w:t>
      </w:r>
      <w:r>
        <w:rPr>
          <w:rFonts w:hint="eastAsia" w:asciiTheme="majorEastAsia" w:hAnsiTheme="majorEastAsia" w:eastAsiaTheme="majorEastAsia" w:cstheme="majorEastAsia"/>
          <w:b/>
          <w:bCs/>
          <w:sz w:val="21"/>
          <w:szCs w:val="21"/>
          <w:lang w:val="en-US" w:eastAsia="zh-CN"/>
        </w:rPr>
        <w:t>三</w:t>
      </w:r>
      <w:r>
        <w:rPr>
          <w:rFonts w:hint="eastAsia" w:asciiTheme="majorEastAsia" w:hAnsiTheme="majorEastAsia" w:eastAsiaTheme="majorEastAsia" w:cstheme="majorEastAsia"/>
          <w:b/>
          <w:bCs/>
          <w:sz w:val="21"/>
          <w:szCs w:val="21"/>
          <w:lang w:eastAsia="zh-CN"/>
        </w:rPr>
        <w:t>） 后整理法</w:t>
      </w:r>
    </w:p>
    <w:p w14:paraId="4C6D6DC9">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将光敏变色材料与织物结合，最简便的方法是涂料印花和单体浸渍技术。</w:t>
      </w:r>
    </w:p>
    <w:p w14:paraId="1DCC4A2A">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这两类方法属于典型的后整理加工路线，能够在不改变纤维成形工艺的情况下赋予织物光致变色功能，因而具有工艺灵活、适用面广、成本可控等显著特点，是当前变色纺织品产业化中应用最广的技术体系之一。</w:t>
      </w:r>
    </w:p>
    <w:p w14:paraId="5D57A379">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涂料印花法将光敏变色染料粉末混合于树脂液等粘合剂中，再使用此色浆对织物进行印花处理，获得光敏变色织物。印花工艺采用常用的筛网、辊筒印花设备操作，基本过程为：织物前处理 → 印花 → 烘干 → 焙烘（如图4）。烘干温度为80–90℃，主要用于维持微胶囊中的溶剂和添加剂的稳定性并防止破壁；焙烘温度取决于印花色浆的粘合剂与增稠剂性质，一般为140–150℃，时间控制3–10分钟，以确保成膜致密及变色粒子的有效固着。</w:t>
      </w:r>
    </w:p>
    <w:p w14:paraId="79501AF0">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用于纺织品印花加工的变色涂料应满足手感柔软、耐洗涤性好、摩擦牢度高以及与常规印花设备兼容等要求。这些性能可通过合理选择粘合剂、交联剂、柔软剂以及采用微胶囊包覆技术等方式实现。例如，LJSeppialilites公司的热变色染料、以及通过吸收紫外线而发生显色反应的光致变色微胶囊染料，均被广泛应用于此类工艺中。微胶囊壁材如聚氨酯、脲醛树脂等既能保护光敏染料免受氧化与光热降解，又可提升其分散性与纤维粘附力，是提高成品耐久性的关键。</w:t>
      </w:r>
    </w:p>
    <w:p w14:paraId="6F9D6058">
      <w:pPr>
        <w:widowControl/>
        <w:spacing w:line="360" w:lineRule="auto"/>
        <w:jc w:val="left"/>
        <w:rPr>
          <w:rFonts w:ascii="宋体" w:hAnsi="宋体" w:cs="宋体"/>
          <w:b/>
          <w:bCs/>
          <w:sz w:val="24"/>
        </w:rPr>
      </w:pPr>
      <w:r>
        <w:drawing>
          <wp:inline distT="0" distB="0" distL="0" distR="0">
            <wp:extent cx="5274310" cy="289369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4310" cy="2893695"/>
                    </a:xfrm>
                    <a:prstGeom prst="rect">
                      <a:avLst/>
                    </a:prstGeom>
                  </pic:spPr>
                </pic:pic>
              </a:graphicData>
            </a:graphic>
          </wp:inline>
        </w:drawing>
      </w:r>
    </w:p>
    <w:p w14:paraId="09B4525B">
      <w:pPr>
        <w:widowControl/>
        <w:spacing w:line="360" w:lineRule="auto"/>
        <w:ind w:firstLine="42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 涂料印花法基本流程图</w:t>
      </w:r>
    </w:p>
    <w:p w14:paraId="2A36F33A">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单体浸渍法将纤维或织物用含螺吡喃衍生物的单体浸渍，单体一般为苯乙烯或醋酸乙烯，单体在纤维内进行聚合，使纤维具有光致变色性。如丝织物在60℃下于上述组分的溶液中聚合1小时，可保持光致变色性6个月以上。</w:t>
      </w:r>
    </w:p>
    <w:p w14:paraId="0F562328">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该方法的核心在于使变色单体在纤维内部发生原位聚合，通过化学键作用实现变色功能在纤维中的稳定固定。由于反应温度低且无需经历高温熔融过程，后整理聚合技术对变色材料的热稳定性要求较低，尤其适用于热敏性强或易分解的光致变色化合物。</w:t>
      </w:r>
    </w:p>
    <w:p w14:paraId="458D347E">
      <w:pPr>
        <w:widowControl/>
        <w:spacing w:line="360" w:lineRule="auto"/>
        <w:ind w:firstLine="420"/>
        <w:jc w:val="left"/>
        <w:rPr>
          <w:rFonts w:hint="eastAsia" w:ascii="宋体" w:hAnsi="宋体" w:cs="宋体"/>
          <w:b/>
          <w:bCs/>
          <w:sz w:val="24"/>
        </w:rPr>
      </w:pPr>
      <w:r>
        <w:rPr>
          <w:rFonts w:hint="eastAsia" w:asciiTheme="minorEastAsia" w:hAnsiTheme="minorEastAsia" w:eastAsiaTheme="minorEastAsia" w:cstheme="minorEastAsia"/>
          <w:sz w:val="21"/>
          <w:szCs w:val="21"/>
        </w:rPr>
        <w:t>此外，由于变色材料在纤维成形后引入，因此不干扰纺丝工艺，也不会影响纤维原有的力学性能与结构形态。工艺操作简单、适配纤维种类多样，是一种较易推广且适合中小规模加工企业使用的变色纤维生产技术。其可通过调整单体浓度、浸渍时间、交联程度等工艺参数实现不同显色强度与持久性，为智能纺织品提供多样化的功能构建方式。</w:t>
      </w:r>
    </w:p>
    <w:p w14:paraId="0757AC63">
      <w:pPr>
        <w:widowControl/>
        <w:spacing w:line="360" w:lineRule="auto"/>
        <w:jc w:val="left"/>
        <w:rPr>
          <w:rFonts w:hint="eastAsia" w:ascii="黑体" w:hAnsi="黑体" w:eastAsia="黑体" w:cs="黑体"/>
          <w:b w:val="0"/>
          <w:bCs w:val="0"/>
          <w:sz w:val="24"/>
        </w:rPr>
      </w:pPr>
      <w:r>
        <w:rPr>
          <w:rFonts w:hint="eastAsia" w:ascii="黑体" w:hAnsi="黑体" w:eastAsia="黑体" w:cs="黑体"/>
          <w:b w:val="0"/>
          <w:bCs w:val="0"/>
          <w:sz w:val="24"/>
          <w:lang w:val="en-US" w:eastAsia="zh-CN"/>
        </w:rPr>
        <w:t>四、</w:t>
      </w:r>
      <w:r>
        <w:rPr>
          <w:rFonts w:hint="eastAsia" w:ascii="黑体" w:hAnsi="黑体" w:eastAsia="黑体" w:cs="黑体"/>
          <w:b w:val="0"/>
          <w:bCs w:val="0"/>
          <w:sz w:val="24"/>
        </w:rPr>
        <w:t>变色纤维的应用现状</w:t>
      </w:r>
    </w:p>
    <w:p w14:paraId="7A59C5DE">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近年智能制造水平的飞速提升，变色纤维在民用领域的应用也愈加广泛，已从早期的实验室探索逐步迈向产业化制造和多场景融合应用。我国研制的见光变色睛纶线可在自然光照强度变化下呈现不同色彩，由其编织成的服装具有动态视觉效果。优尔创工作室与美国Radiate公司合作推出了全球首款热感应变色T恤Radiate，在运动、健身等场景中可随体表温度变化而显现不同色彩。日本KANEBO公司更早在 1989 年便将其光敏变色织物推向市场，是光致变色纺织品产业化的先驱。美国CLEMSON大学、GEORGIA理工学院等科研机构近年进一步开展光敏纤维表面涂层材料的研究，使纤维能够根据外界光照条件自动调控显色行为，为智能显示型纤维的开发奠定了技术基础</w:t>
      </w:r>
      <w:r>
        <w:rPr>
          <w:rFonts w:hint="eastAsia" w:asciiTheme="minorEastAsia" w:hAnsiTheme="minorEastAsia" w:eastAsiaTheme="minorEastAsia" w:cstheme="minorEastAsia"/>
          <w:sz w:val="21"/>
          <w:szCs w:val="21"/>
          <w:vertAlign w:val="superscript"/>
        </w:rPr>
        <w:fldChar w:fldCharType="begin"/>
      </w:r>
      <w:r>
        <w:rPr>
          <w:rFonts w:hint="eastAsia" w:asciiTheme="minorEastAsia" w:hAnsiTheme="minorEastAsia" w:eastAsiaTheme="minorEastAsia" w:cstheme="minorEastAsia"/>
          <w:sz w:val="21"/>
          <w:szCs w:val="21"/>
          <w:vertAlign w:val="superscript"/>
        </w:rPr>
        <w:instrText xml:space="preserve"> REF _Ref11991 \r \h </w:instrText>
      </w:r>
      <w:r>
        <w:rPr>
          <w:rFonts w:hint="eastAsia" w:asciiTheme="minorEastAsia" w:hAnsiTheme="minorEastAsia" w:eastAsiaTheme="minorEastAsia" w:cstheme="minorEastAsia"/>
          <w:sz w:val="21"/>
          <w:szCs w:val="21"/>
          <w:vertAlign w:val="superscript"/>
        </w:rPr>
        <w:fldChar w:fldCharType="separate"/>
      </w:r>
      <w:r>
        <w:rPr>
          <w:rFonts w:hint="eastAsia" w:asciiTheme="minorEastAsia" w:hAnsiTheme="minorEastAsia" w:eastAsiaTheme="minorEastAsia" w:cstheme="minorEastAsia"/>
          <w:sz w:val="21"/>
          <w:szCs w:val="21"/>
          <w:vertAlign w:val="superscript"/>
        </w:rPr>
        <w:t>[7]</w:t>
      </w:r>
      <w:r>
        <w:rPr>
          <w:rFonts w:hint="eastAsia" w:asciiTheme="minorEastAsia" w:hAnsiTheme="minorEastAsia" w:eastAsiaTheme="minorEastAsia" w:cstheme="minorEastAsia"/>
          <w:sz w:val="21"/>
          <w:szCs w:val="21"/>
          <w:vertAlign w:val="superscript"/>
        </w:rPr>
        <w:fldChar w:fldCharType="end"/>
      </w:r>
      <w:r>
        <w:rPr>
          <w:rFonts w:hint="eastAsia" w:asciiTheme="minorEastAsia" w:hAnsiTheme="minorEastAsia" w:eastAsiaTheme="minorEastAsia" w:cstheme="minorEastAsia"/>
          <w:sz w:val="21"/>
          <w:szCs w:val="21"/>
        </w:rPr>
        <w:t>。</w:t>
      </w:r>
    </w:p>
    <w:p w14:paraId="6BED4610">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利用光致变色和热致变色纤维的响应特性，可以使墙布、窗帘、软装涂层等在不同光照或温度条件下呈现不同颜色和图案，增强空间氛围的可调控性。通过合理设计变色响应温区，还可使纺织品实现随季节或环境变化自动调整视觉效果，拓展智能家居与室内装饰的设计空间。</w:t>
      </w:r>
    </w:p>
    <w:p w14:paraId="072751D8">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构色纤维因其绿色环保、永不褪色、色彩饱和度高、亮度强等特点，已被广泛应用于高端时尚及美学设计领域。此类纤维通过微结构与光的相互作用产生独特的视觉质感，使纺织品具有动感色彩效果，在晚礼服、舞台表演服、工艺品及车内装饰等方面表现尤为突出</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_Ref12057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[8]</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。结构色纤维无需传统染料体系，因而在可持续纺织与环保制造方面具有显著优势。</w:t>
      </w:r>
    </w:p>
    <w:p w14:paraId="01108EA3">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此外，变色纤维在标识与防伪领域也发挥着重要作用。温变识别、光变识别及立体触感文字等技术可用于证件、票据及贵重商品的防伪设计，通过温度触发、光照触发或特殊触摸体验实现多重验证。在关键场景中还可结合红外检测技术，使变色信息在特定光源下显现，从而显著提升防伪难度与可靠性。</w:t>
      </w:r>
    </w:p>
    <w:p w14:paraId="5FE0336D">
      <w:pPr>
        <w:widowControl/>
        <w:spacing w:line="360" w:lineRule="auto"/>
        <w:ind w:firstLine="420"/>
        <w:jc w:val="left"/>
        <w:rPr>
          <w:rFonts w:hint="eastAsia" w:ascii="宋体" w:hAnsi="宋体" w:cs="宋体"/>
          <w:sz w:val="24"/>
        </w:rPr>
      </w:pPr>
      <w:r>
        <w:rPr>
          <w:rFonts w:hint="eastAsia" w:asciiTheme="minorEastAsia" w:hAnsiTheme="minorEastAsia" w:eastAsiaTheme="minorEastAsia" w:cstheme="minorEastAsia"/>
          <w:sz w:val="21"/>
          <w:szCs w:val="21"/>
        </w:rPr>
        <w:t>尽管应用前景广阔，但仍需正视当前变色纤维发展中的限制。不同温度或光照下的显色可控性仍不足，颜色精确调节及均匀性难以全面满足商用需求；同时，变色材料的耐久性、长周期稳定性以及大规模制备成本仍是限制其进一步推广的关键瓶颈。如何在保持高响应性能的同时提升纤维的机械稳定性、耐洗性及生产可持续性，仍是该领域未来需要重点突破的问题。</w:t>
      </w:r>
    </w:p>
    <w:p w14:paraId="4AB81CC4">
      <w:pPr>
        <w:widowControl/>
        <w:spacing w:line="360" w:lineRule="auto"/>
        <w:jc w:val="left"/>
        <w:rPr>
          <w:rFonts w:hint="eastAsia" w:ascii="黑体" w:hAnsi="黑体" w:eastAsia="黑体" w:cs="黑体"/>
          <w:sz w:val="24"/>
        </w:rPr>
      </w:pPr>
      <w:r>
        <w:rPr>
          <w:rFonts w:hint="eastAsia" w:ascii="黑体" w:hAnsi="黑体" w:eastAsia="黑体" w:cs="黑体"/>
          <w:sz w:val="24"/>
        </w:rPr>
        <w:t>五、变色纤维发展问题的解决策略与未来展望</w:t>
      </w:r>
    </w:p>
    <w:p w14:paraId="77DD12C4">
      <w:pPr>
        <w:widowControl/>
        <w:numPr>
          <w:ilvl w:val="0"/>
          <w:numId w:val="0"/>
        </w:numPr>
        <w:spacing w:line="360" w:lineRule="auto"/>
        <w:jc w:val="left"/>
        <w:rPr>
          <w:rFonts w:hint="eastAsia" w:ascii="宋体" w:hAnsi="宋体" w:cs="宋体"/>
          <w:sz w:val="21"/>
          <w:szCs w:val="21"/>
        </w:rPr>
      </w:pPr>
      <w:r>
        <w:rPr>
          <w:rFonts w:hint="eastAsia" w:asciiTheme="majorEastAsia" w:hAnsiTheme="majorEastAsia" w:eastAsiaTheme="majorEastAsia" w:cstheme="majorEastAsia"/>
          <w:b/>
          <w:bCs/>
          <w:sz w:val="21"/>
          <w:szCs w:val="21"/>
          <w:lang w:val="en-US" w:eastAsia="zh-CN"/>
        </w:rPr>
        <w:t>（一）变色纤维发展中关键问题的解决策略</w:t>
      </w:r>
      <w:r>
        <w:rPr>
          <w:rFonts w:hint="eastAsia" w:ascii="宋体" w:hAnsi="宋体" w:cs="宋体"/>
          <w:sz w:val="21"/>
          <w:szCs w:val="21"/>
        </w:rPr>
        <w:t xml:space="preserve"> </w:t>
      </w:r>
    </w:p>
    <w:p w14:paraId="4D8C6CE4">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目前，变色纤维的发展仍受到显色可控性不足、耐久性较低、生产成本偏高以及难以实现规模化等问题制约。针对光致、热致及结构色三类纤维的原理与技术特点，可从以下几个方面提出针对性的解决措施。</w:t>
      </w:r>
    </w:p>
    <w:p w14:paraId="6E863325">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针对显色可控性不足的问题，关键在于改进变色材料的分子结构设计与微环境调控。光致与热致变色纤维的显色不均、响应速度受环境干扰显著，其根本原因在于变色分子对光、温度及极性环境高度敏感。因此，可通过分子工程优化光致变色结构，例如提高螺吡喃、二芳基乙烯等分子的光疲劳稳定性、开环/闭环效率以及量子产率，使其在纤维内部更易实现快速而稳定的显色-褪色循环</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_Ref12112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[9]</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同时，构建稳定化微环境也至关重要，如在溶液纺丝和熔融纺丝中引入有机硅弹性体、聚酰亚胺或功能接枝共聚物，形成“分子缓冲层”，以降低纤维内部极性波动对变色行为的影响。此外，微胶囊包覆技术能有效隔离变色材料与外界湿热环境，是目前提高显色可控性应用最成熟的技术方向之一</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_Ref12164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[10]</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75D0F2CA">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耐久性（如耐洗性、耐光性）不足是制约变色纤维商业化的重要因素。为解决这一问题，可通过结构复合与界面工程增强其耐久性。例如，皮芯复合纺丝结构设计是常用策略，皮层能有效保护芯层中的光敏剂或热敏剂，显著提升耐磨性与耐洗性，并减少变色组分暴露于环境中的风险</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_Ref12217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[11]</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构建核–壳型微结构，通过纳米涂层或自组装薄膜使变色材料更稳定地嵌入纤维结构中，也是提升稳定性的有效途径。此外，界面增强技术，如在变色粒子表面进行硅烷化改性或引入界面相容剂，可提升与聚合物基体的结合强度，减少使用过程中的迁移与脱落</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_Ref12292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[12]</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w:t>
      </w:r>
    </w:p>
    <w:p w14:paraId="289845B0">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高成本与规模化生产的挑战同样亟待解决。从工艺工程角度优化，可有效降低制备成本并提升规模化生产能力。一方面，应推广熔融共混纺丝与色母粒技术，该路线设备通用性强，可在现有聚酯、聚丙烯、锦纶生产线上直接实现改造，较溶液纺丝更适合大规模制造</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_Ref12341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[13]</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。另一方面，针对结构色纤维，需开发连续化的光子晶体结构构建技术，例如采用滚涂、自组装诱导拉伸等方式提升生产效率，减少对纳米尺度精细加工的依赖</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_Ref12409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[14]</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。同时，引入无溶剂化熔融体系、低能耗微胶囊制备等绿色制备工艺，是进一步降低单位成本并提升环境友好性的重要路径。</w:t>
      </w:r>
    </w:p>
    <w:p w14:paraId="195675FA">
      <w:pPr>
        <w:widowControl/>
        <w:numPr>
          <w:ilvl w:val="0"/>
          <w:numId w:val="0"/>
        </w:numPr>
        <w:spacing w:line="360" w:lineRule="auto"/>
        <w:jc w:val="left"/>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 xml:space="preserve">（二）变色纤维未来的技术发展趋势与应用展望 </w:t>
      </w:r>
    </w:p>
    <w:p w14:paraId="0D18C7F9">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未来的变色纤维将不仅限于光致或热致单一刺激，而是向光、热、电、湿度、力等多刺激协同响应方向发展。通过在纤维中复合导电聚合物、纳米金属、二维材料等功能组分，可实现电控或智能调色，使纤维具备“可编程色彩”</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_Ref12458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[15]</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。这种可编程性极大地推动了其在柔性显示、智能交互系统以及动态美学设计中的应用。</w:t>
      </w:r>
    </w:p>
    <w:p w14:paraId="35E2E94F">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构色纤维将在可持续纺织领域占据重要地位。结构色源于材料表面的微纳光学结构，不依赖任何染料或颜料分子，因此具有环保、无光漂白、色彩饱和度高等固有优势。在“双碳”背景与绿色纺织理念推动下，结构色纤维有望加速替代部分传统染整工艺，成为生态友好型纺织品的重要组成部分</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_Ref12504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[16]</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。未来的研究将更关注低成本连续化光子晶体构建技术，以及实现色彩动态可调谐的结构色机制。</w:t>
      </w:r>
    </w:p>
    <w:p w14:paraId="370C7CBA">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变色纤维对温度、光照和辐射的可视化反馈能力，其在智能安全、健康监测等功能化场景中将成为新的增长点。例如，可用于开发智能防晒服饰（实时显示紫外强度）、医疗监护织物（通过色变监测体温或炎症区域温升）、安全预警系统（火灾高温或化学泄露可视化提示）以及军事伪装材料（实现光谱自调节以响应环境隐身）</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_Ref12576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[17]</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。这些应用将变色纤维的功能从被动响应拓展至主动防护与信息交互。</w:t>
      </w:r>
    </w:p>
    <w:p w14:paraId="10E6B984">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未来变色纤维的发展趋势将从“单一材料”向“纤维—织物—系统一体化”延伸。工艺集成化与材料智能化将推动产业全面升级。例如，将变色纤维与柔性传感器、微型电源模块进行织物级集成，实现真正意义上的智能可穿戴系统。同时，通过人工智能（AI）辅助设计变色分子结构与光子晶体排布，可极大提高材料性能预测与工艺优化速度</w:t>
      </w:r>
      <w:r>
        <w:rPr>
          <w:rFonts w:hint="eastAsia" w:asciiTheme="minorEastAsia" w:hAnsiTheme="minorEastAsia" w:eastAsiaTheme="minorEastAsia" w:cstheme="minorEastAsia"/>
          <w:sz w:val="21"/>
          <w:szCs w:val="21"/>
          <w:vertAlign w:val="superscript"/>
          <w:lang w:eastAsia="zh-CN"/>
        </w:rPr>
        <w:fldChar w:fldCharType="begin"/>
      </w:r>
      <w:r>
        <w:rPr>
          <w:rFonts w:hint="eastAsia" w:asciiTheme="minorEastAsia" w:hAnsiTheme="minorEastAsia" w:eastAsiaTheme="minorEastAsia" w:cstheme="minorEastAsia"/>
          <w:sz w:val="21"/>
          <w:szCs w:val="21"/>
          <w:vertAlign w:val="superscript"/>
          <w:lang w:eastAsia="zh-CN"/>
        </w:rPr>
        <w:instrText xml:space="preserve"> REF _Ref12622 \r \h </w:instrText>
      </w:r>
      <w:r>
        <w:rPr>
          <w:rFonts w:hint="eastAsia" w:asciiTheme="minorEastAsia" w:hAnsiTheme="minorEastAsia" w:eastAsiaTheme="minorEastAsia" w:cstheme="minorEastAsia"/>
          <w:sz w:val="21"/>
          <w:szCs w:val="21"/>
          <w:vertAlign w:val="superscript"/>
          <w:lang w:eastAsia="zh-CN"/>
        </w:rPr>
        <w:fldChar w:fldCharType="separate"/>
      </w:r>
      <w:r>
        <w:rPr>
          <w:rFonts w:hint="eastAsia" w:asciiTheme="minorEastAsia" w:hAnsiTheme="minorEastAsia" w:eastAsiaTheme="minorEastAsia" w:cstheme="minorEastAsia"/>
          <w:sz w:val="21"/>
          <w:szCs w:val="21"/>
          <w:vertAlign w:val="superscript"/>
          <w:lang w:eastAsia="zh-CN"/>
        </w:rPr>
        <w:t>[18]</w:t>
      </w:r>
      <w:r>
        <w:rPr>
          <w:rFonts w:hint="eastAsia" w:asciiTheme="minorEastAsia" w:hAnsiTheme="minorEastAsia" w:eastAsiaTheme="minorEastAsia" w:cstheme="minorEastAsia"/>
          <w:sz w:val="21"/>
          <w:szCs w:val="21"/>
          <w:vertAlign w:val="superscript"/>
          <w:lang w:eastAsia="zh-CN"/>
        </w:rPr>
        <w:fldChar w:fldCharType="end"/>
      </w:r>
      <w:r>
        <w:rPr>
          <w:rFonts w:hint="eastAsia" w:asciiTheme="minorEastAsia" w:hAnsiTheme="minorEastAsia" w:eastAsiaTheme="minorEastAsia" w:cstheme="minorEastAsia"/>
          <w:sz w:val="21"/>
          <w:szCs w:val="21"/>
        </w:rPr>
        <w:t>。此外，构建可循环、可降解的变色纤维体系，使其符合可持续材料工程的整体发展方向，也将是未来的重要议题。</w:t>
      </w:r>
    </w:p>
    <w:p w14:paraId="6983CDAB">
      <w:pPr>
        <w:widowControl/>
        <w:spacing w:line="360" w:lineRule="auto"/>
        <w:jc w:val="left"/>
        <w:rPr>
          <w:rFonts w:hint="default" w:ascii="黑体" w:hAnsi="黑体" w:eastAsia="黑体" w:cs="黑体"/>
          <w:b w:val="0"/>
          <w:bCs w:val="0"/>
          <w:sz w:val="24"/>
          <w:lang w:val="en-US" w:eastAsia="zh-CN"/>
        </w:rPr>
      </w:pPr>
      <w:r>
        <w:rPr>
          <w:rFonts w:hint="eastAsia" w:ascii="黑体" w:hAnsi="黑体" w:eastAsia="黑体" w:cs="黑体"/>
          <w:b w:val="0"/>
          <w:bCs w:val="0"/>
          <w:sz w:val="24"/>
          <w:lang w:val="en-US" w:eastAsia="zh-CN"/>
        </w:rPr>
        <w:t>六、</w:t>
      </w:r>
      <w:r>
        <w:rPr>
          <w:rFonts w:hint="eastAsia" w:ascii="黑体" w:hAnsi="黑体" w:eastAsia="黑体" w:cs="黑体"/>
          <w:b w:val="0"/>
          <w:bCs w:val="0"/>
          <w:sz w:val="24"/>
        </w:rPr>
        <w:t>结论</w:t>
      </w:r>
      <w:bookmarkStart w:id="0" w:name="_Hlk38207924"/>
      <w:r>
        <w:rPr>
          <w:rFonts w:hint="eastAsia" w:ascii="黑体" w:hAnsi="黑体" w:eastAsia="黑体" w:cs="黑体"/>
          <w:b w:val="0"/>
          <w:bCs w:val="0"/>
          <w:sz w:val="24"/>
          <w:lang w:val="en-US" w:eastAsia="zh-CN"/>
        </w:rPr>
        <w:t>ss</w:t>
      </w:r>
    </w:p>
    <w:bookmarkEnd w:id="0"/>
    <w:p w14:paraId="4D9B14D5">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变色纤维作为智能纺织材料领域最具发展空间的重要方向之一，是材料科学、光学工程与纺织技术深度交叉融合的成果。本文系统梳理了光致变色、热致变色与结构色三类纤维的变色机理、材料体系与性能特征，并比较了溶液纺丝、熔融纺丝（聚合法、共混法、皮芯复合）及后整理技术（涂料印花、单体浸渍）等关键制备工艺在适用性、成本与产业化潜力方面的差异，为变色纤维的结构设计与工艺路线选择提供了理论参考。</w:t>
      </w:r>
    </w:p>
    <w:p w14:paraId="6C48D40D">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尽管变色纤维已在智能服饰、室内装饰、防伪识别等领域展现出良好应用前景，但其发展仍存在显著局限：光致变色纤维依赖特定光源激发，显色调控性能受限；热致变色纤维常采用液晶微胶囊实现温敏显色，分布不均与泄漏风险影响其可靠性；结构色纤维需构建精细的周期性光子结构，制备复杂且成本较高，难以满足规模化生产需求。这些问题导致变色纤维在可控性、耐久性、结构稳定性以及大规模制造等方面仍有较大提升空间。</w:t>
      </w:r>
    </w:p>
    <w:p w14:paraId="35091F47">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针对上述瓶颈，本文从材料设计与工艺工程两个层面提出了可行的改进方向：通过优化变色分子结构、构建稳定化微环境、采用微胶囊包覆及开发皮芯复合结构，可显著提升变色性能与循环稳定性；通过推广熔融共混纺丝、连续化色母粒技术与绿色加工路线，可有效降低制造成本并增强规模化可行性。此外，通过光子结构工程提高结构色构建效率，有望进一步推动绿色无染纺织品体系的发展。</w:t>
      </w:r>
    </w:p>
    <w:p w14:paraId="7B69EAF4">
      <w:pPr>
        <w:widowControl/>
        <w:spacing w:line="360" w:lineRule="auto"/>
        <w:ind w:firstLine="42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变色纤维将突破单一刺激响应的局限，向多刺激协同响应、可编程色彩调控以及智能交互系统集成方向发展。随着微纳制造、人工智能辅助材料设计与柔性电子技术的不断进步，变色纤维不仅将在时尚纺织品中展现更丰富的视觉效果，还将在健康监测、安全预警、环境传感与军事伪装等高附加值领域发挥更关键的功能性作用。可以预见，随着核心难题的逐步突破，变色纤维将从单纯的视觉变色材料演进为下一代智能可穿戴系统的重要构件，推动纺织产业向高性能、数字化和智能化方向实现里程碑式跨越。</w:t>
      </w:r>
    </w:p>
    <w:p w14:paraId="671B17F5">
      <w:pPr>
        <w:rPr>
          <w:rFonts w:hint="eastAsia" w:ascii="宋体" w:hAnsi="宋体" w:cs="宋体"/>
          <w:b/>
          <w:bCs/>
          <w:sz w:val="24"/>
        </w:rPr>
      </w:pPr>
      <w:r>
        <w:rPr>
          <w:rFonts w:hint="eastAsia" w:ascii="宋体" w:hAnsi="宋体" w:cs="宋体"/>
          <w:b/>
          <w:bCs/>
          <w:sz w:val="24"/>
        </w:rPr>
        <w:br w:type="page"/>
      </w:r>
    </w:p>
    <w:p w14:paraId="5819F6BC">
      <w:pPr>
        <w:widowControl/>
        <w:spacing w:line="360" w:lineRule="auto"/>
        <w:jc w:val="left"/>
        <w:rPr>
          <w:rFonts w:hint="eastAsia" w:ascii="黑体" w:hAnsi="黑体" w:eastAsia="黑体" w:cs="黑体"/>
          <w:b/>
          <w:bCs/>
          <w:sz w:val="24"/>
        </w:rPr>
      </w:pPr>
      <w:r>
        <w:rPr>
          <w:rFonts w:hint="eastAsia" w:ascii="黑体" w:hAnsi="黑体" w:eastAsia="黑体" w:cs="黑体"/>
          <w:b/>
          <w:bCs/>
          <w:sz w:val="24"/>
        </w:rPr>
        <w:t>参考文献</w:t>
      </w:r>
    </w:p>
    <w:p w14:paraId="25907C04">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 w:name="_Ref11430"/>
      <w:r>
        <w:rPr>
          <w:rFonts w:hint="eastAsia" w:ascii="楷体" w:hAnsi="楷体" w:eastAsia="楷体" w:cs="楷体"/>
          <w:sz w:val="21"/>
          <w:szCs w:val="21"/>
        </w:rPr>
        <w:t>史增芳, 徐铭辰. 智能制造技术在纺织服装行业中的应用研究[J]. 棉纺织技术, 2022, 50(03): 93.</w:t>
      </w:r>
      <w:bookmarkEnd w:id="1"/>
    </w:p>
    <w:p w14:paraId="6B014AF9">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2" w:name="_Ref11609"/>
      <w:r>
        <w:rPr>
          <w:rFonts w:hint="eastAsia" w:ascii="楷体" w:hAnsi="楷体" w:eastAsia="楷体" w:cs="楷体"/>
          <w:sz w:val="21"/>
          <w:szCs w:val="21"/>
        </w:rPr>
        <w:t>李雅娟, 张林星, 黄璇, 胡建臣, 张克勤. 智能变色纤维的研究与应用进展[J]. 纺织导报,(11): 44–48.</w:t>
      </w:r>
      <w:bookmarkEnd w:id="2"/>
    </w:p>
    <w:p w14:paraId="45EA52B6">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3" w:name="_Ref11655"/>
      <w:r>
        <w:rPr>
          <w:rFonts w:hint="eastAsia" w:ascii="楷体" w:hAnsi="楷体" w:eastAsia="楷体" w:cs="楷体"/>
          <w:sz w:val="21"/>
          <w:szCs w:val="21"/>
        </w:rPr>
        <w:t>毛秦岑. 光/温致变色纤维的制备及其性能研究[D]. 武汉: 武汉纺织大学, 2020. DOI:10.27698/d.cnki.gwhxj.2020.000241.</w:t>
      </w:r>
      <w:bookmarkEnd w:id="3"/>
    </w:p>
    <w:p w14:paraId="4A5A0099">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4" w:name="_Ref11724"/>
      <w:r>
        <w:rPr>
          <w:rFonts w:hint="eastAsia" w:ascii="楷体" w:hAnsi="楷体" w:eastAsia="楷体" w:cs="楷体"/>
          <w:sz w:val="21"/>
          <w:szCs w:val="21"/>
        </w:rPr>
        <w:t>杨佳庆, 顾利霞. 热敏变色纤维材料[J]. 合成技术及应用, 1998(04): 23–26.</w:t>
      </w:r>
      <w:bookmarkEnd w:id="4"/>
    </w:p>
    <w:p w14:paraId="494AE4D2">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5" w:name="_Ref11828"/>
      <w:r>
        <w:rPr>
          <w:rFonts w:hint="eastAsia" w:ascii="楷体" w:hAnsi="楷体" w:eastAsia="楷体" w:cs="楷体"/>
          <w:sz w:val="21"/>
          <w:szCs w:val="21"/>
        </w:rPr>
        <w:t xml:space="preserve"> 柴春鹏, 李国平. 高分子合成材料学[M]. 北京: 北京理工大学出版社, 2019: 8–11.</w:t>
      </w:r>
      <w:bookmarkEnd w:id="5"/>
    </w:p>
    <w:p w14:paraId="3D0F6DF9">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6" w:name="_Ref11910"/>
      <w:r>
        <w:rPr>
          <w:rFonts w:hint="eastAsia" w:ascii="楷体" w:hAnsi="楷体" w:eastAsia="楷体" w:cs="楷体"/>
          <w:sz w:val="21"/>
          <w:szCs w:val="21"/>
        </w:rPr>
        <w:t>杜蘅, 侯宇梦, 李昕, 关芳兰, 郭晟材, 王锐. 结构色纤维的制备及应用进展[J]. 北京服装学院学报(自然科学版), 2022, 42(01): 95–104.</w:t>
      </w:r>
      <w:bookmarkEnd w:id="6"/>
    </w:p>
    <w:p w14:paraId="70014E81">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7" w:name="_Ref11991"/>
      <w:r>
        <w:rPr>
          <w:rFonts w:hint="eastAsia" w:ascii="楷体" w:hAnsi="楷体" w:eastAsia="楷体" w:cs="楷体"/>
          <w:sz w:val="21"/>
          <w:szCs w:val="21"/>
        </w:rPr>
        <w:t>徐娜, 苏云, 李俊. 智能变色材料的研究及应用进展[J]. 棉纺织技术, 2022, 50(04): 78–84.</w:t>
      </w:r>
      <w:bookmarkEnd w:id="7"/>
    </w:p>
    <w:p w14:paraId="5110FB31">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8" w:name="_Ref12057"/>
      <w:r>
        <w:rPr>
          <w:rFonts w:hint="eastAsia" w:ascii="楷体" w:hAnsi="楷体" w:eastAsia="楷体" w:cs="楷体"/>
          <w:sz w:val="21"/>
          <w:szCs w:val="21"/>
        </w:rPr>
        <w:t>孟佳意, 县泽宇, 李昕, 等. 光子晶体纤维的制备及应用[J]. 材料导报A, 2017, 31(3): 106–111.</w:t>
      </w:r>
      <w:bookmarkEnd w:id="8"/>
    </w:p>
    <w:p w14:paraId="2B919D25">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9" w:name="_Ref12112"/>
      <w:r>
        <w:rPr>
          <w:rFonts w:hint="eastAsia" w:ascii="楷体" w:hAnsi="楷体" w:eastAsia="楷体" w:cs="楷体"/>
          <w:sz w:val="21"/>
          <w:szCs w:val="21"/>
        </w:rPr>
        <w:t>Liu Y, Zhang Y, et al. Recent Advances in Spiropyran-Based Solid-State Photochromic Materials: From Molecular Design to Functional Applications[J]. Advanced Functional Materials, 2024, 34(25): 2311438.</w:t>
      </w:r>
      <w:bookmarkEnd w:id="9"/>
    </w:p>
    <w:p w14:paraId="74817220">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0" w:name="_Ref12164"/>
      <w:r>
        <w:rPr>
          <w:rFonts w:hint="eastAsia" w:ascii="楷体" w:hAnsi="楷体" w:eastAsia="楷体" w:cs="楷体"/>
          <w:sz w:val="21"/>
          <w:szCs w:val="21"/>
        </w:rPr>
        <w:t>魏梦柯, 刘金龙, 王建. 热感应变色材料在服装设计中的应用研究[J]. 艺术与设计, 2017, 1: 116-118.</w:t>
      </w:r>
      <w:bookmarkEnd w:id="10"/>
    </w:p>
    <w:p w14:paraId="462455AA">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1" w:name="_Ref12217"/>
      <w:r>
        <w:rPr>
          <w:rFonts w:hint="eastAsia" w:ascii="楷体" w:hAnsi="楷体" w:eastAsia="楷体" w:cs="楷体"/>
          <w:sz w:val="21"/>
          <w:szCs w:val="21"/>
        </w:rPr>
        <w:t xml:space="preserve"> Gao Y, Zhang S, et al. Recent Advances in Core-Shell Smart Fibers for Sensing and Actuation[J]. Materials Chemistry Frontiers, 2023, 7(12): 2297-2317.</w:t>
      </w:r>
      <w:bookmarkEnd w:id="11"/>
    </w:p>
    <w:p w14:paraId="767285BB">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2" w:name="_Ref12292"/>
      <w:r>
        <w:rPr>
          <w:rFonts w:hint="eastAsia" w:ascii="楷体" w:hAnsi="楷体" w:eastAsia="楷体" w:cs="楷体"/>
          <w:sz w:val="21"/>
          <w:szCs w:val="21"/>
        </w:rPr>
        <w:t>Salah M, El-Khatib A M. Interfacial Polymerization Synthesis and Characterization of Reversible Thermochromic Microcapsules for Anticounterfeiting Applications[J]. Journal of Materials Science: Materials in Electronics, 2023, 34(24): 2056.</w:t>
      </w:r>
      <w:bookmarkEnd w:id="12"/>
    </w:p>
    <w:p w14:paraId="15F3B173">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3" w:name="_Ref12341"/>
      <w:r>
        <w:rPr>
          <w:rFonts w:hint="eastAsia" w:ascii="楷体" w:hAnsi="楷体" w:eastAsia="楷体" w:cs="楷体"/>
          <w:sz w:val="21"/>
          <w:szCs w:val="21"/>
        </w:rPr>
        <w:t>刘遵峰, 夏明, 等. 一种光致变色纤维及其制备方法: 中国, CN112323168A [P]. 2021-02-09.</w:t>
      </w:r>
      <w:bookmarkEnd w:id="13"/>
    </w:p>
    <w:p w14:paraId="3089FAA3">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4" w:name="_Ref12409"/>
      <w:r>
        <w:rPr>
          <w:rFonts w:hint="eastAsia" w:ascii="楷体" w:hAnsi="楷体" w:eastAsia="楷体" w:cs="楷体"/>
          <w:sz w:val="21"/>
          <w:szCs w:val="21"/>
        </w:rPr>
        <w:t>Kolle M, Lee A F, et al. Bio-Inspired Fibers Change Color When Stretched[J]. Advanced Materials, 2013, 25(16): 2248-2252.</w:t>
      </w:r>
      <w:bookmarkEnd w:id="14"/>
    </w:p>
    <w:p w14:paraId="11874920">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5" w:name="_Ref12458"/>
      <w:r>
        <w:rPr>
          <w:rFonts w:hint="eastAsia" w:ascii="楷体" w:hAnsi="楷体" w:eastAsia="楷体" w:cs="楷体"/>
          <w:sz w:val="21"/>
          <w:szCs w:val="21"/>
        </w:rPr>
        <w:t>Wang F, Min M, et al. A Review of Stimuli-Responsive Polymers for Smart Textile Applications[J]. Journal of Materials Chemistry C, 2013, 1(44): 7320-7333.</w:t>
      </w:r>
      <w:bookmarkEnd w:id="15"/>
    </w:p>
    <w:p w14:paraId="3823A6FB">
      <w:pPr>
        <w:pStyle w:val="10"/>
        <w:keepNext w:val="0"/>
        <w:keepLines w:val="0"/>
        <w:widowControl/>
        <w:numPr>
          <w:ilvl w:val="0"/>
          <w:numId w:val="0"/>
        </w:numPr>
        <w:suppressLineNumbers w:val="0"/>
        <w:spacing w:line="360" w:lineRule="auto"/>
        <w:jc w:val="left"/>
        <w:rPr>
          <w:rFonts w:hint="eastAsia" w:ascii="楷体" w:hAnsi="楷体" w:eastAsia="楷体" w:cs="楷体"/>
          <w:sz w:val="21"/>
          <w:szCs w:val="21"/>
        </w:rPr>
      </w:pPr>
    </w:p>
    <w:p w14:paraId="4CA176AE">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6" w:name="_Ref12504"/>
      <w:r>
        <w:rPr>
          <w:rFonts w:hint="eastAsia" w:ascii="楷体" w:hAnsi="楷体" w:eastAsia="楷体" w:cs="楷体"/>
          <w:sz w:val="21"/>
          <w:szCs w:val="21"/>
        </w:rPr>
        <w:t>Xiang Y, Zhang R, et al. Bio-Inspired Structural Color Materials: Principles, Fabrication, and Applications in Sustainable Textiles[J]. Journal of Materials Science &amp; Technology, 2022, 124: 1-20.</w:t>
      </w:r>
      <w:bookmarkEnd w:id="16"/>
    </w:p>
    <w:p w14:paraId="5E66FF11">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7" w:name="_Ref12576"/>
      <w:r>
        <w:rPr>
          <w:rFonts w:hint="eastAsia" w:ascii="楷体" w:hAnsi="楷体" w:eastAsia="楷体" w:cs="楷体"/>
          <w:sz w:val="21"/>
          <w:szCs w:val="21"/>
        </w:rPr>
        <w:t>Li H, Liu Z, et al. Materials with Tunable Optical Properties for Wearable Epidermal Sensing in Health Monitoring[J]. Advanced Materials, 2022, 34(20): 2108216.</w:t>
      </w:r>
      <w:bookmarkEnd w:id="17"/>
    </w:p>
    <w:p w14:paraId="46F9A960">
      <w:pPr>
        <w:pStyle w:val="10"/>
        <w:keepNext w:val="0"/>
        <w:keepLines w:val="0"/>
        <w:widowControl/>
        <w:numPr>
          <w:ilvl w:val="0"/>
          <w:numId w:val="1"/>
        </w:numPr>
        <w:suppressLineNumbers w:val="0"/>
        <w:spacing w:line="360" w:lineRule="auto"/>
        <w:jc w:val="left"/>
        <w:rPr>
          <w:rFonts w:hint="eastAsia" w:ascii="楷体" w:hAnsi="楷体" w:eastAsia="楷体" w:cs="楷体"/>
          <w:sz w:val="21"/>
          <w:szCs w:val="21"/>
        </w:rPr>
      </w:pPr>
      <w:bookmarkStart w:id="18" w:name="_Ref12622"/>
      <w:r>
        <w:rPr>
          <w:rFonts w:hint="eastAsia" w:ascii="楷体" w:hAnsi="楷体" w:eastAsia="楷体" w:cs="楷体"/>
          <w:sz w:val="21"/>
          <w:szCs w:val="21"/>
        </w:rPr>
        <w:t>Ma W, Liu Z, et al. Deep Learning for the Design of Photonic Structures[J]. Nature Photonics, 2021, 15(2): 77-90.</w:t>
      </w:r>
      <w:bookmarkEnd w:id="18"/>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83EA92"/>
    <w:multiLevelType w:val="singleLevel"/>
    <w:tmpl w:val="7E83EA9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D50"/>
    <w:rsid w:val="00040D4B"/>
    <w:rsid w:val="00044C67"/>
    <w:rsid w:val="00051026"/>
    <w:rsid w:val="00076AC8"/>
    <w:rsid w:val="00084443"/>
    <w:rsid w:val="000855BC"/>
    <w:rsid w:val="000939DC"/>
    <w:rsid w:val="00093FFC"/>
    <w:rsid w:val="000B4E4A"/>
    <w:rsid w:val="000E6C81"/>
    <w:rsid w:val="000F0D9F"/>
    <w:rsid w:val="000F6601"/>
    <w:rsid w:val="00100375"/>
    <w:rsid w:val="00132811"/>
    <w:rsid w:val="00140ABB"/>
    <w:rsid w:val="00163BA1"/>
    <w:rsid w:val="001721F8"/>
    <w:rsid w:val="00172A38"/>
    <w:rsid w:val="001D0425"/>
    <w:rsid w:val="00200ADF"/>
    <w:rsid w:val="00213561"/>
    <w:rsid w:val="0022438D"/>
    <w:rsid w:val="00224EBD"/>
    <w:rsid w:val="00236B9F"/>
    <w:rsid w:val="002C3AF6"/>
    <w:rsid w:val="00323B43"/>
    <w:rsid w:val="00340169"/>
    <w:rsid w:val="00386513"/>
    <w:rsid w:val="00386BD5"/>
    <w:rsid w:val="003A5CCC"/>
    <w:rsid w:val="003C13CD"/>
    <w:rsid w:val="003D216F"/>
    <w:rsid w:val="003D37D8"/>
    <w:rsid w:val="003F4094"/>
    <w:rsid w:val="003F5651"/>
    <w:rsid w:val="00426133"/>
    <w:rsid w:val="004358AB"/>
    <w:rsid w:val="00437BDF"/>
    <w:rsid w:val="00471886"/>
    <w:rsid w:val="00480749"/>
    <w:rsid w:val="00484A39"/>
    <w:rsid w:val="004851E8"/>
    <w:rsid w:val="0048664D"/>
    <w:rsid w:val="00490EB8"/>
    <w:rsid w:val="00491C29"/>
    <w:rsid w:val="004A400A"/>
    <w:rsid w:val="004C7588"/>
    <w:rsid w:val="004D1F8E"/>
    <w:rsid w:val="004F3FD6"/>
    <w:rsid w:val="00537C5F"/>
    <w:rsid w:val="0055233A"/>
    <w:rsid w:val="00552BA3"/>
    <w:rsid w:val="00556712"/>
    <w:rsid w:val="00561831"/>
    <w:rsid w:val="00587692"/>
    <w:rsid w:val="00596920"/>
    <w:rsid w:val="005A25AA"/>
    <w:rsid w:val="005B751C"/>
    <w:rsid w:val="005D03DF"/>
    <w:rsid w:val="005E1073"/>
    <w:rsid w:val="006165EB"/>
    <w:rsid w:val="006420E4"/>
    <w:rsid w:val="00647970"/>
    <w:rsid w:val="006B6DFE"/>
    <w:rsid w:val="006D665F"/>
    <w:rsid w:val="00703BA3"/>
    <w:rsid w:val="00720DD8"/>
    <w:rsid w:val="00731C1B"/>
    <w:rsid w:val="00782A09"/>
    <w:rsid w:val="007C21FB"/>
    <w:rsid w:val="007D0455"/>
    <w:rsid w:val="007D76B6"/>
    <w:rsid w:val="007F153A"/>
    <w:rsid w:val="007F2956"/>
    <w:rsid w:val="007F4EBE"/>
    <w:rsid w:val="008001DF"/>
    <w:rsid w:val="008352A5"/>
    <w:rsid w:val="00840A98"/>
    <w:rsid w:val="008569DB"/>
    <w:rsid w:val="00857AA1"/>
    <w:rsid w:val="008A1323"/>
    <w:rsid w:val="008B7726"/>
    <w:rsid w:val="008F1F5D"/>
    <w:rsid w:val="00900F18"/>
    <w:rsid w:val="00902E08"/>
    <w:rsid w:val="00913849"/>
    <w:rsid w:val="00914F83"/>
    <w:rsid w:val="00923BAC"/>
    <w:rsid w:val="00962A1B"/>
    <w:rsid w:val="00984857"/>
    <w:rsid w:val="00992CA3"/>
    <w:rsid w:val="009E0503"/>
    <w:rsid w:val="009F1B4E"/>
    <w:rsid w:val="00A00648"/>
    <w:rsid w:val="00A07712"/>
    <w:rsid w:val="00A17B97"/>
    <w:rsid w:val="00A405F1"/>
    <w:rsid w:val="00A56B02"/>
    <w:rsid w:val="00A95B4D"/>
    <w:rsid w:val="00B1183C"/>
    <w:rsid w:val="00BA0841"/>
    <w:rsid w:val="00C07A72"/>
    <w:rsid w:val="00C2309C"/>
    <w:rsid w:val="00C42772"/>
    <w:rsid w:val="00C46A09"/>
    <w:rsid w:val="00C66056"/>
    <w:rsid w:val="00C7733B"/>
    <w:rsid w:val="00C82085"/>
    <w:rsid w:val="00C85407"/>
    <w:rsid w:val="00C912CC"/>
    <w:rsid w:val="00D01E64"/>
    <w:rsid w:val="00D13118"/>
    <w:rsid w:val="00D31D50"/>
    <w:rsid w:val="00D82A4D"/>
    <w:rsid w:val="00DA798A"/>
    <w:rsid w:val="00DC08F9"/>
    <w:rsid w:val="00DC7D49"/>
    <w:rsid w:val="00DD6B14"/>
    <w:rsid w:val="00DF3B8C"/>
    <w:rsid w:val="00E0642C"/>
    <w:rsid w:val="00E26BD3"/>
    <w:rsid w:val="00E43CD9"/>
    <w:rsid w:val="00E71C94"/>
    <w:rsid w:val="00E86E2E"/>
    <w:rsid w:val="00EA13D6"/>
    <w:rsid w:val="00EC59A8"/>
    <w:rsid w:val="00EC6145"/>
    <w:rsid w:val="00EE6D81"/>
    <w:rsid w:val="00F04DCC"/>
    <w:rsid w:val="00F12565"/>
    <w:rsid w:val="00F24990"/>
    <w:rsid w:val="00F55E3A"/>
    <w:rsid w:val="00F57C4E"/>
    <w:rsid w:val="00F668F2"/>
    <w:rsid w:val="00FB02A2"/>
    <w:rsid w:val="00FB519D"/>
    <w:rsid w:val="00FC5E7A"/>
    <w:rsid w:val="00FD03C4"/>
    <w:rsid w:val="00FF2146"/>
    <w:rsid w:val="00FF55CC"/>
    <w:rsid w:val="01DA39BB"/>
    <w:rsid w:val="02BC15CE"/>
    <w:rsid w:val="02F46CE1"/>
    <w:rsid w:val="03485D29"/>
    <w:rsid w:val="03B20FE3"/>
    <w:rsid w:val="048E3ED3"/>
    <w:rsid w:val="04DF0581"/>
    <w:rsid w:val="05686B16"/>
    <w:rsid w:val="06607E14"/>
    <w:rsid w:val="0678193E"/>
    <w:rsid w:val="067E75E6"/>
    <w:rsid w:val="07DC41D3"/>
    <w:rsid w:val="080C59BD"/>
    <w:rsid w:val="085C76D0"/>
    <w:rsid w:val="08767656"/>
    <w:rsid w:val="09C24671"/>
    <w:rsid w:val="0A2E3BF1"/>
    <w:rsid w:val="0AAB56BB"/>
    <w:rsid w:val="0B4D544F"/>
    <w:rsid w:val="0BA23811"/>
    <w:rsid w:val="0BB21CA6"/>
    <w:rsid w:val="0BD557D0"/>
    <w:rsid w:val="0C077DFF"/>
    <w:rsid w:val="0C212F8B"/>
    <w:rsid w:val="0C2D426B"/>
    <w:rsid w:val="0D8E2166"/>
    <w:rsid w:val="0DEC0DBE"/>
    <w:rsid w:val="0E35209A"/>
    <w:rsid w:val="0F82057E"/>
    <w:rsid w:val="0F9C40F4"/>
    <w:rsid w:val="10F520D6"/>
    <w:rsid w:val="11795B4C"/>
    <w:rsid w:val="13496B0F"/>
    <w:rsid w:val="14753414"/>
    <w:rsid w:val="150C5ECA"/>
    <w:rsid w:val="15400323"/>
    <w:rsid w:val="16CF5688"/>
    <w:rsid w:val="179B3AC7"/>
    <w:rsid w:val="186110B3"/>
    <w:rsid w:val="194C3418"/>
    <w:rsid w:val="196E54E0"/>
    <w:rsid w:val="19E06B72"/>
    <w:rsid w:val="19EC06EA"/>
    <w:rsid w:val="1A120E57"/>
    <w:rsid w:val="1A14712F"/>
    <w:rsid w:val="1B157BBA"/>
    <w:rsid w:val="1BB95F7B"/>
    <w:rsid w:val="1C0F0A4F"/>
    <w:rsid w:val="1C474ECF"/>
    <w:rsid w:val="1CD61806"/>
    <w:rsid w:val="1CEB3059"/>
    <w:rsid w:val="1D0F4695"/>
    <w:rsid w:val="1DC74EE3"/>
    <w:rsid w:val="1DDD317D"/>
    <w:rsid w:val="1E425C20"/>
    <w:rsid w:val="1E6474F2"/>
    <w:rsid w:val="1E8920CD"/>
    <w:rsid w:val="1F1729BE"/>
    <w:rsid w:val="1F415AB4"/>
    <w:rsid w:val="1F541C04"/>
    <w:rsid w:val="1FDE4630"/>
    <w:rsid w:val="20825BB7"/>
    <w:rsid w:val="20F26CF2"/>
    <w:rsid w:val="20F43858"/>
    <w:rsid w:val="214D75E9"/>
    <w:rsid w:val="21B92A4A"/>
    <w:rsid w:val="23571061"/>
    <w:rsid w:val="23C060BE"/>
    <w:rsid w:val="23E359D6"/>
    <w:rsid w:val="243E3DB2"/>
    <w:rsid w:val="24542388"/>
    <w:rsid w:val="24E81F0D"/>
    <w:rsid w:val="25394522"/>
    <w:rsid w:val="254D505A"/>
    <w:rsid w:val="259C2B9E"/>
    <w:rsid w:val="25A922CB"/>
    <w:rsid w:val="25AD3E07"/>
    <w:rsid w:val="25B206AC"/>
    <w:rsid w:val="263D3B52"/>
    <w:rsid w:val="26523A6E"/>
    <w:rsid w:val="274B3FF0"/>
    <w:rsid w:val="27F70DF8"/>
    <w:rsid w:val="28051E73"/>
    <w:rsid w:val="28065B35"/>
    <w:rsid w:val="285C0DF6"/>
    <w:rsid w:val="28A00748"/>
    <w:rsid w:val="28D9666D"/>
    <w:rsid w:val="28F76011"/>
    <w:rsid w:val="294452E2"/>
    <w:rsid w:val="2A294D5A"/>
    <w:rsid w:val="2A923162"/>
    <w:rsid w:val="2B9C1377"/>
    <w:rsid w:val="2C1A5F5D"/>
    <w:rsid w:val="2C4F4A8F"/>
    <w:rsid w:val="2C9F197B"/>
    <w:rsid w:val="2CFD6BF1"/>
    <w:rsid w:val="2DB96A6D"/>
    <w:rsid w:val="2EAE60AC"/>
    <w:rsid w:val="2ECD7763"/>
    <w:rsid w:val="2EF8147B"/>
    <w:rsid w:val="2F8D1B25"/>
    <w:rsid w:val="30C12FDF"/>
    <w:rsid w:val="32ED4920"/>
    <w:rsid w:val="339833CB"/>
    <w:rsid w:val="34DF3145"/>
    <w:rsid w:val="35163D10"/>
    <w:rsid w:val="36657792"/>
    <w:rsid w:val="36A70802"/>
    <w:rsid w:val="375B6CEF"/>
    <w:rsid w:val="37700F4E"/>
    <w:rsid w:val="37AB6B2C"/>
    <w:rsid w:val="37F6445D"/>
    <w:rsid w:val="383C2564"/>
    <w:rsid w:val="388A4C1D"/>
    <w:rsid w:val="392D03F3"/>
    <w:rsid w:val="393B1FA3"/>
    <w:rsid w:val="3A0E1257"/>
    <w:rsid w:val="3A1D6BB8"/>
    <w:rsid w:val="3AA93379"/>
    <w:rsid w:val="3B36471B"/>
    <w:rsid w:val="3B59624B"/>
    <w:rsid w:val="3BB35CBB"/>
    <w:rsid w:val="3C0E31A4"/>
    <w:rsid w:val="3C73217D"/>
    <w:rsid w:val="3CEF6A4E"/>
    <w:rsid w:val="3CFC32BE"/>
    <w:rsid w:val="3D121DAE"/>
    <w:rsid w:val="3DE55E6A"/>
    <w:rsid w:val="3FCC45EE"/>
    <w:rsid w:val="4070745F"/>
    <w:rsid w:val="427967FA"/>
    <w:rsid w:val="43352B70"/>
    <w:rsid w:val="434030E3"/>
    <w:rsid w:val="437F3235"/>
    <w:rsid w:val="44200E6D"/>
    <w:rsid w:val="44867444"/>
    <w:rsid w:val="453B3273"/>
    <w:rsid w:val="453C68F0"/>
    <w:rsid w:val="457A542A"/>
    <w:rsid w:val="465C32AC"/>
    <w:rsid w:val="467668FB"/>
    <w:rsid w:val="46A25FA4"/>
    <w:rsid w:val="46AD62EA"/>
    <w:rsid w:val="46D41117"/>
    <w:rsid w:val="47D9713A"/>
    <w:rsid w:val="47E61451"/>
    <w:rsid w:val="49003768"/>
    <w:rsid w:val="49347744"/>
    <w:rsid w:val="493D65A8"/>
    <w:rsid w:val="4A3301D9"/>
    <w:rsid w:val="4AC25AC2"/>
    <w:rsid w:val="4B0B76FA"/>
    <w:rsid w:val="4B9B7557"/>
    <w:rsid w:val="4E474C64"/>
    <w:rsid w:val="4F5B0505"/>
    <w:rsid w:val="4FB446C1"/>
    <w:rsid w:val="50933F06"/>
    <w:rsid w:val="50D054FD"/>
    <w:rsid w:val="511357EC"/>
    <w:rsid w:val="51473186"/>
    <w:rsid w:val="51FB57A4"/>
    <w:rsid w:val="548B543A"/>
    <w:rsid w:val="548F42D1"/>
    <w:rsid w:val="5544698D"/>
    <w:rsid w:val="5584340D"/>
    <w:rsid w:val="5612024F"/>
    <w:rsid w:val="566E223B"/>
    <w:rsid w:val="5687272C"/>
    <w:rsid w:val="57054CCE"/>
    <w:rsid w:val="571D166C"/>
    <w:rsid w:val="57BC61C4"/>
    <w:rsid w:val="58505A3D"/>
    <w:rsid w:val="59480B21"/>
    <w:rsid w:val="59B2243E"/>
    <w:rsid w:val="5A620F84"/>
    <w:rsid w:val="5A87336C"/>
    <w:rsid w:val="5AA058F8"/>
    <w:rsid w:val="5ACB2502"/>
    <w:rsid w:val="5AE03DE2"/>
    <w:rsid w:val="5B176A78"/>
    <w:rsid w:val="5B490B80"/>
    <w:rsid w:val="5BB60ADD"/>
    <w:rsid w:val="5DE17D47"/>
    <w:rsid w:val="5E0F744B"/>
    <w:rsid w:val="5E124D8D"/>
    <w:rsid w:val="5E5F4704"/>
    <w:rsid w:val="5E6B69C5"/>
    <w:rsid w:val="6006029D"/>
    <w:rsid w:val="60B60BEC"/>
    <w:rsid w:val="60BF576F"/>
    <w:rsid w:val="613411F8"/>
    <w:rsid w:val="619C7C5C"/>
    <w:rsid w:val="61A03FA7"/>
    <w:rsid w:val="622F287E"/>
    <w:rsid w:val="637C44BD"/>
    <w:rsid w:val="63996E71"/>
    <w:rsid w:val="63B30014"/>
    <w:rsid w:val="64343CF5"/>
    <w:rsid w:val="645E162F"/>
    <w:rsid w:val="64B47DF0"/>
    <w:rsid w:val="660B53B0"/>
    <w:rsid w:val="66B700F6"/>
    <w:rsid w:val="67540C4F"/>
    <w:rsid w:val="67625E9D"/>
    <w:rsid w:val="67C13398"/>
    <w:rsid w:val="68CC673C"/>
    <w:rsid w:val="68EF3AAB"/>
    <w:rsid w:val="693C1828"/>
    <w:rsid w:val="6A401B7F"/>
    <w:rsid w:val="6A943A0E"/>
    <w:rsid w:val="6ABC7E0D"/>
    <w:rsid w:val="6B2479C9"/>
    <w:rsid w:val="6B6E300F"/>
    <w:rsid w:val="6CB50533"/>
    <w:rsid w:val="6D503B46"/>
    <w:rsid w:val="6E4128E2"/>
    <w:rsid w:val="6EC073CE"/>
    <w:rsid w:val="6F45485E"/>
    <w:rsid w:val="703C6883"/>
    <w:rsid w:val="70BC61FE"/>
    <w:rsid w:val="71DB3C5B"/>
    <w:rsid w:val="720444D6"/>
    <w:rsid w:val="72486A40"/>
    <w:rsid w:val="72550CBB"/>
    <w:rsid w:val="72D23B8E"/>
    <w:rsid w:val="72D52FCE"/>
    <w:rsid w:val="74F55AC3"/>
    <w:rsid w:val="76405E78"/>
    <w:rsid w:val="76684159"/>
    <w:rsid w:val="76823688"/>
    <w:rsid w:val="771502F1"/>
    <w:rsid w:val="77B93D87"/>
    <w:rsid w:val="78276297"/>
    <w:rsid w:val="783915FD"/>
    <w:rsid w:val="78952202"/>
    <w:rsid w:val="78EB386F"/>
    <w:rsid w:val="793A1DDD"/>
    <w:rsid w:val="797C0D36"/>
    <w:rsid w:val="79A1534A"/>
    <w:rsid w:val="79AC2BDE"/>
    <w:rsid w:val="79AC3D08"/>
    <w:rsid w:val="79D20F71"/>
    <w:rsid w:val="79D3577B"/>
    <w:rsid w:val="79DF4732"/>
    <w:rsid w:val="79F97C76"/>
    <w:rsid w:val="7A907467"/>
    <w:rsid w:val="7BD54929"/>
    <w:rsid w:val="7CC53FE8"/>
    <w:rsid w:val="7DF45E58"/>
    <w:rsid w:val="7E720B14"/>
    <w:rsid w:val="7EDC45B5"/>
    <w:rsid w:val="7FAF7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qFormat/>
    <w:uiPriority w:val="1"/>
    <w:pPr>
      <w:spacing w:before="43"/>
      <w:ind w:left="540"/>
    </w:pPr>
    <w:rPr>
      <w:rFonts w:ascii="宋体" w:hAnsi="宋体" w:cs="宋体"/>
      <w:b/>
      <w:bCs/>
      <w:szCs w:val="21"/>
      <w:lang w:val="zh-CN" w:bidi="zh-CN"/>
    </w:rPr>
  </w:style>
  <w:style w:type="paragraph" w:styleId="4">
    <w:name w:val="Plain Text"/>
    <w:basedOn w:val="1"/>
    <w:qFormat/>
    <w:uiPriority w:val="0"/>
    <w:rPr>
      <w:rFonts w:ascii="宋体" w:hAnsi="Courier New"/>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pBdr>
        <w:bottom w:val="single" w:color="auto" w:sz="6" w:space="1"/>
      </w:pBdr>
      <w:tabs>
        <w:tab w:val="center" w:pos="4153"/>
        <w:tab w:val="right" w:pos="8306"/>
      </w:tabs>
      <w:jc w:val="center"/>
    </w:pPr>
    <w:rPr>
      <w:sz w:val="18"/>
      <w:szCs w:val="18"/>
    </w:rPr>
  </w:style>
  <w:style w:type="paragraph" w:styleId="7">
    <w:name w:val="toc 1"/>
    <w:basedOn w:val="1"/>
    <w:next w:val="1"/>
    <w:qFormat/>
    <w:uiPriority w:val="1"/>
    <w:pPr>
      <w:spacing w:before="43"/>
      <w:ind w:left="120"/>
    </w:pPr>
    <w:rPr>
      <w:rFonts w:ascii="宋体" w:hAnsi="宋体" w:cs="宋体"/>
      <w:b/>
      <w:bCs/>
      <w:szCs w:val="21"/>
      <w:lang w:val="zh-CN" w:bidi="zh-CN"/>
    </w:rPr>
  </w:style>
  <w:style w:type="paragraph" w:styleId="8">
    <w:name w:val="toc 4"/>
    <w:basedOn w:val="1"/>
    <w:next w:val="1"/>
    <w:qFormat/>
    <w:uiPriority w:val="1"/>
    <w:pPr>
      <w:spacing w:before="43"/>
      <w:ind w:left="960"/>
    </w:pPr>
    <w:rPr>
      <w:rFonts w:ascii="宋体" w:hAnsi="宋体" w:cs="宋体"/>
      <w:b/>
      <w:bCs/>
      <w:szCs w:val="21"/>
      <w:lang w:val="zh-CN" w:bidi="zh-CN"/>
    </w:rPr>
  </w:style>
  <w:style w:type="paragraph" w:styleId="9">
    <w:name w:val="toc 2"/>
    <w:basedOn w:val="1"/>
    <w:next w:val="1"/>
    <w:qFormat/>
    <w:uiPriority w:val="1"/>
    <w:pPr>
      <w:spacing w:before="43"/>
      <w:ind w:left="120"/>
    </w:pPr>
    <w:rPr>
      <w:rFonts w:ascii="宋体" w:hAnsi="宋体" w:cs="宋体"/>
      <w:b/>
      <w:bCs/>
      <w:i/>
      <w:lang w:val="zh-CN" w:bidi="zh-CN"/>
    </w:rPr>
  </w:style>
  <w:style w:type="paragraph" w:styleId="10">
    <w:name w:val="Normal (Web)"/>
    <w:basedOn w:val="1"/>
    <w:unhideWhenUsed/>
    <w:qFormat/>
    <w:uiPriority w:val="99"/>
    <w:pPr>
      <w:spacing w:beforeAutospacing="1" w:afterAutospacing="1"/>
      <w:jc w:val="left"/>
    </w:pPr>
    <w:rPr>
      <w:kern w:val="0"/>
      <w:sz w:val="24"/>
    </w:r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Emphasis"/>
    <w:basedOn w:val="13"/>
    <w:qFormat/>
    <w:uiPriority w:val="20"/>
    <w:rPr>
      <w:i/>
    </w:rPr>
  </w:style>
  <w:style w:type="character" w:customStyle="1" w:styleId="16">
    <w:name w:val="页眉 字符"/>
    <w:basedOn w:val="13"/>
    <w:link w:val="6"/>
    <w:qFormat/>
    <w:uiPriority w:val="99"/>
    <w:rPr>
      <w:rFonts w:ascii="Tahoma" w:hAnsi="Tahoma"/>
      <w:sz w:val="18"/>
      <w:szCs w:val="18"/>
    </w:rPr>
  </w:style>
  <w:style w:type="character" w:customStyle="1" w:styleId="17">
    <w:name w:val="页脚 字符"/>
    <w:basedOn w:val="13"/>
    <w:link w:val="5"/>
    <w:qFormat/>
    <w:uiPriority w:val="99"/>
    <w:rPr>
      <w:rFonts w:ascii="Tahoma" w:hAnsi="Tahoma"/>
      <w:sz w:val="18"/>
      <w:szCs w:val="18"/>
    </w:rPr>
  </w:style>
  <w:style w:type="paragraph" w:styleId="18">
    <w:name w:val="List Paragraph"/>
    <w:basedOn w:val="1"/>
    <w:qFormat/>
    <w:uiPriority w:val="34"/>
    <w:pPr>
      <w:ind w:firstLine="420" w:firstLineChars="200"/>
    </w:pPr>
  </w:style>
  <w:style w:type="table" w:customStyle="1" w:styleId="19">
    <w:name w:val="无格式表格 31"/>
    <w:basedOn w:val="11"/>
    <w:qFormat/>
    <w:uiPriority w:val="0"/>
    <w:rPr>
      <w:rFonts w:ascii="Calibri" w:hAnsi="Calibri" w:eastAsia="宋体" w:cs="Times New Roman"/>
    </w:rPr>
    <w:tblStylePr w:type="firstRow">
      <w:rPr>
        <w:b/>
        <w:bCs/>
        <w:caps/>
      </w:rPr>
      <w:tcPr>
        <w:tcBorders>
          <w:bottom w:val="single" w:color="7F7F7F" w:sz="4" w:space="0"/>
        </w:tcBorders>
      </w:tcPr>
    </w:tblStylePr>
    <w:tblStylePr w:type="lastRow">
      <w:rPr>
        <w:b/>
        <w:bCs/>
        <w:caps/>
      </w:rPr>
      <w:tcPr>
        <w:tcBorders>
          <w:top w:val="nil"/>
        </w:tcBorders>
      </w:tcPr>
    </w:tblStylePr>
    <w:tblStylePr w:type="firstCol">
      <w:rPr>
        <w:b/>
        <w:bCs/>
        <w:caps/>
      </w:rPr>
      <w:tcPr>
        <w:tcBorders>
          <w:right w:val="single" w:color="7F7F7F" w:sz="4" w:space="0"/>
        </w:tcBorders>
      </w:tcPr>
    </w:tblStylePr>
    <w:tblStylePr w:type="lastCol">
      <w:rPr>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paragraph" w:customStyle="1" w:styleId="20">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2867</Words>
  <Characters>2918</Characters>
  <Lines>27</Lines>
  <Paragraphs>7</Paragraphs>
  <TotalTime>5</TotalTime>
  <ScaleCrop>false</ScaleCrop>
  <LinksUpToDate>false</LinksUpToDate>
  <CharactersWithSpaces>2927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2008-09-11T17:20:00Z</dcterms:created>
  <dc:creator>lenovo</dc:creator>
  <cp:lastModifiedBy>黄红洲</cp:lastModifiedBy>
  <dcterms:modified xsi:type="dcterms:W3CDTF">2026-01-05T03:25:16Z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eyJoZGlkIjoiNzczYWZhYjQ0NTFjNDQxYmFlN2E0MDRmMDc2NzI1ZjIiLCJ1c2VySWQiOiIxNTU1NDExMDcxIn0=</vt:lpwstr>
  </property>
  <property fmtid="{D5CDD505-2E9C-101B-9397-08002B2CF9AE}" pid="4" name="ICV">
    <vt:lpwstr>77F0B506FFAC4E62BFDE5A50A9EE7C24_12</vt:lpwstr>
  </property>
</Properties>
</file>