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D17189">
      <w:pPr>
        <w:keepNext/>
        <w:keepLines/>
        <w:spacing w:before="374" w:beforeLines="120" w:after="374" w:afterLines="120"/>
        <w:jc w:val="center"/>
        <w:outlineLvl w:val="0"/>
        <w:rPr>
          <w:rFonts w:ascii="华文中宋" w:hAnsi="华文中宋" w:eastAsia="华文中宋" w:cs="Times New Roman"/>
          <w:b/>
          <w:bCs/>
          <w:kern w:val="44"/>
          <w:sz w:val="36"/>
          <w:szCs w:val="36"/>
        </w:rPr>
      </w:pPr>
      <w:bookmarkStart w:id="0" w:name="_Toc3048801"/>
      <w:bookmarkStart w:id="1" w:name="_Toc174545521"/>
      <w:r>
        <w:rPr>
          <w:rFonts w:hint="eastAsia" w:ascii="华文中宋" w:hAnsi="华文中宋" w:eastAsia="华文中宋" w:cs="Times New Roman"/>
          <w:b/>
          <w:bCs/>
          <w:kern w:val="44"/>
          <w:sz w:val="36"/>
          <w:szCs w:val="36"/>
        </w:rPr>
        <w:t>计算机网络实验报告</w:t>
      </w:r>
      <w:bookmarkEnd w:id="0"/>
      <w:bookmarkEnd w:id="1"/>
      <w:r>
        <w:rPr>
          <w:rFonts w:hint="eastAsia" w:ascii="华文中宋" w:hAnsi="华文中宋" w:eastAsia="华文中宋" w:cs="Times New Roman"/>
          <w:b/>
          <w:bCs/>
          <w:kern w:val="44"/>
          <w:sz w:val="36"/>
          <w:szCs w:val="36"/>
        </w:rPr>
        <w:t>（实验1）</w:t>
      </w:r>
    </w:p>
    <w:p w14:paraId="16798F82">
      <w:pPr>
        <w:rPr>
          <w:rFonts w:ascii="Times New Roman" w:hAnsi="Times New Roman" w:eastAsia="宋体" w:cs="Times New Roman"/>
          <w:sz w:val="24"/>
          <w:szCs w:val="24"/>
          <w:u w:val="single"/>
        </w:rPr>
      </w:pPr>
      <w:r>
        <w:rPr>
          <w:rFonts w:ascii="Times New Roman" w:hAnsi="Times New Roman" w:eastAsia="宋体" w:cs="Times New Roman"/>
          <w:sz w:val="24"/>
          <w:szCs w:val="24"/>
        </w:rPr>
        <w:t>班级</w:t>
      </w:r>
      <w:r>
        <w:rPr>
          <w:rFonts w:hint="eastAsia" w:ascii="Times New Roman" w:hAnsi="Times New Roman" w:eastAsia="宋体" w:cs="Times New Roman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宋体" w:cs="Times New Roman"/>
          <w:sz w:val="24"/>
          <w:szCs w:val="24"/>
          <w:u w:val="single"/>
          <w:lang w:val="en-US" w:eastAsia="zh-CN"/>
        </w:rPr>
        <w:t>23</w:t>
      </w:r>
      <w:r>
        <w:rPr>
          <w:rFonts w:hint="eastAsia" w:ascii="Times New Roman" w:hAnsi="Times New Roman" w:eastAsia="宋体" w:cs="Times New Roman"/>
          <w:sz w:val="24"/>
          <w:szCs w:val="24"/>
          <w:u w:val="single"/>
        </w:rPr>
        <w:t xml:space="preserve">计算机科学与技术（）班   </w:t>
      </w:r>
      <w:r>
        <w:rPr>
          <w:rFonts w:ascii="Times New Roman" w:hAnsi="Times New Roman" w:eastAsia="宋体" w:cs="Times New Roman"/>
          <w:sz w:val="24"/>
          <w:szCs w:val="24"/>
        </w:rPr>
        <w:t> 学号</w:t>
      </w:r>
      <w:r>
        <w:rPr>
          <w:rFonts w:hint="eastAsia" w:ascii="Times New Roman" w:hAnsi="Times New Roman" w:eastAsia="宋体" w:cs="Times New Roman"/>
          <w:sz w:val="24"/>
          <w:szCs w:val="24"/>
          <w:u w:val="single"/>
        </w:rPr>
        <w:t xml:space="preserve">   </w:t>
      </w:r>
      <w:r>
        <w:rPr>
          <w:rFonts w:ascii="Times New Roman" w:hAnsi="Times New Roman" w:eastAsia="宋体" w:cs="Times New Roman"/>
          <w:sz w:val="24"/>
          <w:szCs w:val="24"/>
        </w:rPr>
        <w:t xml:space="preserve">姓名 </w:t>
      </w:r>
      <w:r>
        <w:rPr>
          <w:rFonts w:hint="eastAsia" w:ascii="Times New Roman" w:hAnsi="Times New Roman" w:eastAsia="宋体" w:cs="Times New Roman"/>
          <w:sz w:val="24"/>
          <w:szCs w:val="24"/>
          <w:u w:val="single"/>
        </w:rPr>
        <w:t xml:space="preserve"> </w:t>
      </w:r>
      <w:bookmarkStart w:id="2" w:name="_GoBack"/>
      <w:bookmarkEnd w:id="2"/>
      <w:r>
        <w:rPr>
          <w:rFonts w:hint="eastAsia" w:ascii="Times New Roman" w:hAnsi="Times New Roman" w:eastAsia="宋体" w:cs="Times New Roman"/>
          <w:sz w:val="24"/>
          <w:szCs w:val="24"/>
          <w:u w:val="single"/>
        </w:rPr>
        <w:t xml:space="preserve">        </w:t>
      </w:r>
    </w:p>
    <w:p w14:paraId="7F8F3FFB">
      <w:pPr>
        <w:ind w:left="780" w:firstLine="480"/>
        <w:rPr>
          <w:rFonts w:ascii="Times New Roman" w:hAnsi="Times New Roman" w:eastAsia="宋体" w:cs="Times New Roman"/>
          <w:sz w:val="24"/>
          <w:szCs w:val="24"/>
          <w:u w:val="single"/>
        </w:rPr>
      </w:pPr>
    </w:p>
    <w:p w14:paraId="2DE33CAC">
      <w:pPr>
        <w:ind w:firstLine="540" w:firstLineChars="225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实验时间：</w:t>
      </w:r>
      <w:r>
        <w:rPr>
          <w:rFonts w:hint="eastAsia" w:ascii="Times New Roman" w:hAnsi="Times New Roman" w:eastAsia="宋体" w:cs="Times New Roman"/>
          <w:sz w:val="24"/>
          <w:szCs w:val="24"/>
          <w:u w:val="single"/>
        </w:rPr>
        <w:t xml:space="preserve">     </w:t>
      </w:r>
      <w:r>
        <w:rPr>
          <w:rFonts w:hint="eastAsia" w:ascii="Times New Roman" w:hAnsi="Times New Roman" w:eastAsia="宋体" w:cs="Times New Roman"/>
          <w:sz w:val="24"/>
          <w:szCs w:val="24"/>
          <w:u w:val="single"/>
          <w:lang w:val="en-US" w:eastAsia="zh-CN"/>
        </w:rPr>
        <w:t>2025.9.30</w:t>
      </w:r>
      <w:r>
        <w:rPr>
          <w:rFonts w:hint="eastAsia" w:ascii="Times New Roman" w:hAnsi="Times New Roman" w:eastAsia="宋体" w:cs="Times New Roman"/>
          <w:sz w:val="24"/>
          <w:szCs w:val="24"/>
          <w:u w:val="single"/>
        </w:rPr>
        <w:t xml:space="preserve">                </w:t>
      </w:r>
    </w:p>
    <w:p w14:paraId="6491040C">
      <w:pPr>
        <w:ind w:firstLine="480"/>
        <w:rPr>
          <w:rFonts w:ascii="Times New Roman" w:hAnsi="Times New Roman" w:eastAsia="宋体" w:cs="Times New Roman"/>
          <w:szCs w:val="24"/>
        </w:rPr>
      </w:pP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060"/>
      </w:tblGrid>
      <w:tr w14:paraId="71B65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BEBEBE" w:themeFill="background1" w:themeFillShade="BF"/>
            <w:vAlign w:val="center"/>
          </w:tcPr>
          <w:p w14:paraId="4DA69799">
            <w:pPr>
              <w:jc w:val="left"/>
              <w:rPr>
                <w:rFonts w:ascii="Times New Roman" w:hAnsi="Times New Roman" w:eastAsia="宋体" w:cs="Times New Roman"/>
                <w:b/>
                <w:bCs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Cs w:val="24"/>
              </w:rPr>
              <w:t>课程目标2</w:t>
            </w:r>
            <w:r>
              <w:rPr>
                <w:rFonts w:ascii="Times New Roman" w:hAnsi="Times New Roman" w:eastAsia="宋体" w:cs="Times New Roman"/>
                <w:b/>
                <w:bCs/>
                <w:szCs w:val="24"/>
              </w:rPr>
              <w:t xml:space="preserve"> </w:t>
            </w:r>
          </w:p>
        </w:tc>
        <w:tc>
          <w:tcPr>
            <w:tcW w:w="0" w:type="auto"/>
            <w:shd w:val="clear" w:color="auto" w:fill="BEBEBE" w:themeFill="background1" w:themeFillShade="BF"/>
            <w:vAlign w:val="center"/>
          </w:tcPr>
          <w:p w14:paraId="0ABBF3E9">
            <w:pPr>
              <w:jc w:val="left"/>
              <w:rPr>
                <w:rFonts w:ascii="Times New Roman" w:hAnsi="Times New Roman" w:eastAsia="宋体" w:cs="Times New Roman"/>
                <w:b/>
                <w:bCs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Cs w:val="24"/>
              </w:rPr>
              <w:t>课程目标3</w:t>
            </w:r>
            <w:r>
              <w:rPr>
                <w:rFonts w:ascii="Times New Roman" w:hAnsi="Times New Roman" w:eastAsia="宋体" w:cs="Times New Roman"/>
                <w:b/>
                <w:bCs/>
                <w:szCs w:val="24"/>
              </w:rPr>
              <w:t xml:space="preserve"> </w:t>
            </w:r>
          </w:p>
        </w:tc>
        <w:tc>
          <w:tcPr>
            <w:tcW w:w="0" w:type="auto"/>
            <w:shd w:val="clear" w:color="auto" w:fill="BEBEBE" w:themeFill="background1" w:themeFillShade="BF"/>
            <w:vAlign w:val="center"/>
          </w:tcPr>
          <w:p w14:paraId="563097CF">
            <w:pPr>
              <w:jc w:val="left"/>
              <w:rPr>
                <w:rFonts w:ascii="Times New Roman" w:hAnsi="Times New Roman" w:eastAsia="宋体" w:cs="Times New Roman"/>
                <w:b/>
                <w:bCs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Cs w:val="24"/>
              </w:rPr>
              <w:t>报告成绩</w:t>
            </w:r>
          </w:p>
        </w:tc>
      </w:tr>
      <w:tr w14:paraId="47452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0" w:hRule="atLeast"/>
          <w:jc w:val="center"/>
        </w:trPr>
        <w:tc>
          <w:tcPr>
            <w:tcW w:w="0" w:type="auto"/>
            <w:vAlign w:val="center"/>
          </w:tcPr>
          <w:p w14:paraId="023B9D27">
            <w:pPr>
              <w:jc w:val="left"/>
              <w:rPr>
                <w:rFonts w:ascii="Times New Roman" w:hAnsi="Times New Roman" w:eastAsia="宋体" w:cs="Times New Roman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7B6C409">
            <w:pPr>
              <w:jc w:val="left"/>
              <w:rPr>
                <w:rFonts w:ascii="Times New Roman" w:hAnsi="Times New Roman" w:eastAsia="宋体" w:cs="Times New Roman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4EB9FF5">
            <w:pPr>
              <w:jc w:val="left"/>
              <w:rPr>
                <w:rFonts w:ascii="Times New Roman" w:hAnsi="Times New Roman" w:eastAsia="宋体" w:cs="Times New Roman"/>
                <w:szCs w:val="24"/>
              </w:rPr>
            </w:pPr>
          </w:p>
        </w:tc>
      </w:tr>
    </w:tbl>
    <w:p w14:paraId="1329D3B8">
      <w:pPr>
        <w:ind w:firstLine="420"/>
        <w:rPr>
          <w:rFonts w:ascii="Times New Roman" w:hAnsi="Times New Roman" w:eastAsia="宋体" w:cs="Times New Roman"/>
          <w:szCs w:val="24"/>
        </w:rPr>
      </w:pPr>
    </w:p>
    <w:p w14:paraId="4AB87ED5">
      <w:pPr>
        <w:numPr>
          <w:ilvl w:val="0"/>
          <w:numId w:val="1"/>
        </w:numPr>
        <w:adjustRightInd w:val="0"/>
        <w:rPr>
          <w:rFonts w:ascii="黑体" w:hAnsi="Times New Roman" w:eastAsia="黑体" w:cs="Times New Roman"/>
          <w:sz w:val="28"/>
          <w:szCs w:val="24"/>
        </w:rPr>
      </w:pPr>
      <w:r>
        <w:rPr>
          <w:rFonts w:hint="eastAsia" w:ascii="黑体" w:hAnsi="Times New Roman" w:eastAsia="黑体" w:cs="Times New Roman"/>
          <w:sz w:val="28"/>
          <w:szCs w:val="24"/>
        </w:rPr>
        <w:t xml:space="preserve">实验名称： </w:t>
      </w:r>
    </w:p>
    <w:p w14:paraId="53692FB6">
      <w:pPr>
        <w:ind w:left="420" w:firstLine="420"/>
        <w:rPr>
          <w:rFonts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网线制作和局域网组建</w:t>
      </w:r>
    </w:p>
    <w:p w14:paraId="6B3A9553">
      <w:pPr>
        <w:ind w:firstLine="420"/>
        <w:rPr>
          <w:rFonts w:ascii="宋体" w:hAnsi="宋体" w:eastAsia="宋体" w:cs="宋体"/>
          <w:sz w:val="24"/>
          <w:szCs w:val="24"/>
        </w:rPr>
      </w:pPr>
    </w:p>
    <w:p w14:paraId="17226F4F">
      <w:pPr>
        <w:numPr>
          <w:ilvl w:val="0"/>
          <w:numId w:val="1"/>
        </w:numPr>
        <w:adjustRightInd w:val="0"/>
        <w:rPr>
          <w:rFonts w:ascii="黑体" w:hAnsi="Times New Roman" w:eastAsia="黑体" w:cs="Times New Roman"/>
          <w:sz w:val="28"/>
          <w:szCs w:val="24"/>
        </w:rPr>
      </w:pPr>
      <w:r>
        <w:rPr>
          <w:rFonts w:hint="eastAsia" w:ascii="黑体" w:hAnsi="Times New Roman" w:eastAsia="黑体" w:cs="Times New Roman"/>
          <w:sz w:val="28"/>
          <w:szCs w:val="24"/>
        </w:rPr>
        <w:t>实验目的：</w:t>
      </w:r>
    </w:p>
    <w:p w14:paraId="4AC8DC42">
      <w:pPr>
        <w:pStyle w:val="14"/>
        <w:numPr>
          <w:ilvl w:val="2"/>
          <w:numId w:val="2"/>
        </w:numPr>
        <w:ind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了解双绞线特性，掌握双绞线的分类与典型应用。</w:t>
      </w:r>
    </w:p>
    <w:p w14:paraId="2FDD9402">
      <w:pPr>
        <w:pStyle w:val="14"/>
        <w:numPr>
          <w:ilvl w:val="2"/>
          <w:numId w:val="2"/>
        </w:numPr>
        <w:ind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熟悉无屏蔽双绞线网线制作的标准和方法。</w:t>
      </w:r>
    </w:p>
    <w:p w14:paraId="6BB95B94">
      <w:pPr>
        <w:pStyle w:val="14"/>
        <w:numPr>
          <w:ilvl w:val="2"/>
          <w:numId w:val="2"/>
        </w:numPr>
        <w:ind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了解网线制作的技能技巧。</w:t>
      </w:r>
    </w:p>
    <w:p w14:paraId="00F7AB02">
      <w:pPr>
        <w:pStyle w:val="14"/>
        <w:numPr>
          <w:ilvl w:val="2"/>
          <w:numId w:val="2"/>
        </w:numPr>
        <w:ind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掌握测试仪的使用。</w:t>
      </w:r>
    </w:p>
    <w:p w14:paraId="738746CD">
      <w:pPr>
        <w:pStyle w:val="14"/>
        <w:numPr>
          <w:ilvl w:val="2"/>
          <w:numId w:val="2"/>
        </w:numPr>
        <w:ind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利用做好的网线通过</w:t>
      </w:r>
      <w:r>
        <w:rPr>
          <w:rFonts w:ascii="Times New Roman" w:hAnsi="Times New Roman" w:eastAsia="宋体" w:cs="Times New Roman"/>
          <w:sz w:val="24"/>
          <w:szCs w:val="24"/>
        </w:rPr>
        <w:t>HUB</w:t>
      </w:r>
      <w:r>
        <w:rPr>
          <w:rFonts w:hint="eastAsia" w:ascii="Times New Roman" w:hAnsi="Times New Roman" w:eastAsia="宋体" w:cs="Times New Roman"/>
          <w:sz w:val="24"/>
          <w:szCs w:val="24"/>
        </w:rPr>
        <w:t>和</w:t>
      </w:r>
      <w:r>
        <w:rPr>
          <w:rFonts w:ascii="Times New Roman" w:hAnsi="Times New Roman" w:eastAsia="宋体" w:cs="Times New Roman"/>
          <w:sz w:val="24"/>
          <w:szCs w:val="24"/>
        </w:rPr>
        <w:t>SWITCH</w:t>
      </w:r>
      <w:r>
        <w:rPr>
          <w:rFonts w:hint="eastAsia" w:ascii="Times New Roman" w:hAnsi="Times New Roman" w:eastAsia="宋体" w:cs="Times New Roman"/>
          <w:sz w:val="24"/>
          <w:szCs w:val="24"/>
        </w:rPr>
        <w:t>组建局域网。</w:t>
      </w:r>
    </w:p>
    <w:p w14:paraId="7BAEC78B">
      <w:pPr>
        <w:ind w:left="840"/>
        <w:rPr>
          <w:rFonts w:ascii="Times New Roman" w:hAnsi="Times New Roman" w:eastAsia="宋体" w:cs="Times New Roman"/>
          <w:sz w:val="24"/>
          <w:szCs w:val="24"/>
        </w:rPr>
      </w:pPr>
    </w:p>
    <w:p w14:paraId="2E1254B5">
      <w:pPr>
        <w:ind w:firstLine="420"/>
        <w:rPr>
          <w:rFonts w:ascii="黑体" w:hAnsi="Times New Roman" w:eastAsia="黑体" w:cs="Times New Roman"/>
          <w:sz w:val="28"/>
          <w:szCs w:val="24"/>
        </w:rPr>
      </w:pPr>
    </w:p>
    <w:p w14:paraId="4EEC813F">
      <w:pPr>
        <w:numPr>
          <w:ilvl w:val="0"/>
          <w:numId w:val="1"/>
        </w:numPr>
        <w:adjustRightInd w:val="0"/>
        <w:rPr>
          <w:rFonts w:ascii="黑体" w:hAnsi="Times New Roman" w:eastAsia="黑体" w:cs="Times New Roman"/>
          <w:sz w:val="28"/>
          <w:szCs w:val="24"/>
        </w:rPr>
      </w:pPr>
      <w:r>
        <w:rPr>
          <w:rFonts w:hint="eastAsia" w:ascii="黑体" w:hAnsi="Times New Roman" w:eastAsia="黑体" w:cs="Times New Roman"/>
          <w:sz w:val="28"/>
          <w:szCs w:val="24"/>
        </w:rPr>
        <w:t>实验方案：</w:t>
      </w:r>
    </w:p>
    <w:p w14:paraId="4E2D4EE1">
      <w:pPr>
        <w:rPr>
          <w:rFonts w:hint="eastAsia"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（1）研究问题：了解双绞线特性，掌握双绞线的分类与典型应用。</w:t>
      </w:r>
    </w:p>
    <w:p w14:paraId="13C0DB13">
      <w:pPr>
        <w:rPr>
          <w:rFonts w:hint="eastAsia"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思路：通过查阅教材与网络资料，系统了解双绞线的物理结构、信号传输特性及抗干扰原理，掌握常见的双绞线分类（如UTP、STP、FTP等）及其在不同网络场景中的典型应用。</w:t>
      </w:r>
    </w:p>
    <w:p w14:paraId="6128DAF6">
      <w:pPr>
        <w:rPr>
          <w:rFonts w:hint="eastAsia"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假设：无。</w:t>
      </w:r>
    </w:p>
    <w:p w14:paraId="1478BB2F">
      <w:pPr>
        <w:rPr>
          <w:rFonts w:hint="eastAsia"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观察点：双绞线的传输特性、分类方式及实际应用。</w:t>
      </w:r>
    </w:p>
    <w:p w14:paraId="668B8274">
      <w:pPr>
        <w:rPr>
          <w:rFonts w:hint="eastAsia"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工具选择：教材、互联网资源。</w:t>
      </w:r>
    </w:p>
    <w:p w14:paraId="4F43623E">
      <w:pPr>
        <w:rPr>
          <w:rFonts w:hint="eastAsia" w:ascii="Times New Roman" w:hAnsi="Times New Roman" w:eastAsia="宋体" w:cs="Times New Roman"/>
          <w:szCs w:val="24"/>
        </w:rPr>
      </w:pPr>
    </w:p>
    <w:p w14:paraId="47E80DDD">
      <w:pPr>
        <w:rPr>
          <w:rFonts w:hint="eastAsia"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（2）研究问题：熟悉无屏蔽双绞线网线制作的标准和方法。</w:t>
      </w:r>
    </w:p>
    <w:p w14:paraId="18F87376">
      <w:pPr>
        <w:rPr>
          <w:rFonts w:hint="eastAsia"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思路：通过教材和网络资料，学习无屏蔽双绞线（UTP）的制作标准与规范，理解T568A与T568B两种国际标准的接线方式及直通线、交叉线的应用区别。</w:t>
      </w:r>
    </w:p>
    <w:p w14:paraId="44730179">
      <w:pPr>
        <w:rPr>
          <w:rFonts w:hint="eastAsia"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假设：无。</w:t>
      </w:r>
    </w:p>
    <w:p w14:paraId="41FDFFC6">
      <w:pPr>
        <w:rPr>
          <w:rFonts w:hint="eastAsia"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观察点：无屏蔽双绞线网线的接线顺序与制作标准。</w:t>
      </w:r>
    </w:p>
    <w:p w14:paraId="523D1CBB">
      <w:pPr>
        <w:rPr>
          <w:rFonts w:hint="eastAsia"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工具选择：教材、互联网资源。</w:t>
      </w:r>
    </w:p>
    <w:p w14:paraId="0B59F0C2">
      <w:pPr>
        <w:rPr>
          <w:rFonts w:hint="eastAsia" w:ascii="Times New Roman" w:hAnsi="Times New Roman" w:eastAsia="宋体" w:cs="Times New Roman"/>
          <w:szCs w:val="24"/>
        </w:rPr>
      </w:pPr>
    </w:p>
    <w:p w14:paraId="1456975F">
      <w:pPr>
        <w:rPr>
          <w:rFonts w:hint="eastAsia"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（3）研究问题：了解网线制作的技能与技巧。</w:t>
      </w:r>
    </w:p>
    <w:p w14:paraId="07A3E446">
      <w:pPr>
        <w:rPr>
          <w:rFonts w:hint="eastAsia"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思路：依据实验指导书与网络教程，掌握网线制作的具体操作步骤，包括剥皮、理线、压接和检测等关键环节，并注重规范操作与细节处理。</w:t>
      </w:r>
    </w:p>
    <w:p w14:paraId="68D3485E">
      <w:pPr>
        <w:rPr>
          <w:rFonts w:hint="eastAsia"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假设：无。</w:t>
      </w:r>
    </w:p>
    <w:p w14:paraId="6FFA8215">
      <w:pPr>
        <w:rPr>
          <w:rFonts w:hint="eastAsia"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观察点：制作完成后网线的连通性及线序正确性。</w:t>
      </w:r>
    </w:p>
    <w:p w14:paraId="468E1BBF">
      <w:pPr>
        <w:rPr>
          <w:rFonts w:hint="eastAsia"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工具选择：水晶头、剥线钳、压线钳、交换机、双绞线电缆。</w:t>
      </w:r>
    </w:p>
    <w:p w14:paraId="4B485AE5">
      <w:pPr>
        <w:rPr>
          <w:rFonts w:hint="eastAsia" w:ascii="Times New Roman" w:hAnsi="Times New Roman" w:eastAsia="宋体" w:cs="Times New Roman"/>
          <w:szCs w:val="24"/>
        </w:rPr>
      </w:pPr>
    </w:p>
    <w:p w14:paraId="17F03652">
      <w:pPr>
        <w:rPr>
          <w:rFonts w:hint="eastAsia"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（4）研究问题：掌握测试仪的使用方法。</w:t>
      </w:r>
    </w:p>
    <w:p w14:paraId="22F22238">
      <w:pPr>
        <w:rPr>
          <w:rFonts w:hint="eastAsia"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思路：依据实验指导书和相关资料，学习RJ-45网络测试仪的操作流程，掌握通过指示灯信号判断网线通断性与线序正确性的技能。</w:t>
      </w:r>
    </w:p>
    <w:p w14:paraId="0336E69B">
      <w:pPr>
        <w:rPr>
          <w:rFonts w:hint="eastAsia"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假设：无。</w:t>
      </w:r>
    </w:p>
    <w:p w14:paraId="570FE31C">
      <w:pPr>
        <w:rPr>
          <w:rFonts w:hint="eastAsia"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观察点：测试仪信号灯的亮灭顺序与状态变化。</w:t>
      </w:r>
    </w:p>
    <w:p w14:paraId="39ADB998">
      <w:pPr>
        <w:rPr>
          <w:rFonts w:hint="eastAsia"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工具选择：RJ-45网络测试仪。</w:t>
      </w:r>
    </w:p>
    <w:p w14:paraId="37FA00AA">
      <w:pPr>
        <w:rPr>
          <w:rFonts w:hint="eastAsia" w:ascii="Times New Roman" w:hAnsi="Times New Roman" w:eastAsia="宋体" w:cs="Times New Roman"/>
          <w:szCs w:val="24"/>
        </w:rPr>
      </w:pPr>
    </w:p>
    <w:p w14:paraId="3CCD54A4">
      <w:pPr>
        <w:rPr>
          <w:rFonts w:hint="eastAsia"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（5）研究问题：利用制作好的网线通过HUB和SWITCH组建局域网。</w:t>
      </w:r>
    </w:p>
    <w:p w14:paraId="25794163">
      <w:pPr>
        <w:rPr>
          <w:rFonts w:hint="eastAsia"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思路：使用自制网线连接多台主机，通过HUB或SWITCH设备实现局域网组建；配置主机IP地址，并利用Ping命令测试网络连通性与数据传输情况。</w:t>
      </w:r>
    </w:p>
    <w:p w14:paraId="4DAEB4BF">
      <w:pPr>
        <w:rPr>
          <w:rFonts w:hint="eastAsia"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假设：成功建立局域网并实现主机间通信。</w:t>
      </w:r>
    </w:p>
    <w:p w14:paraId="61AAA6AB">
      <w:pPr>
        <w:rPr>
          <w:rFonts w:hint="eastAsia"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观察点：Ping命令的返回结果（是否连通、延迟情况）。</w:t>
      </w:r>
    </w:p>
    <w:p w14:paraId="03593ED0">
      <w:pPr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工具选择：自制网线、HUB、SWITCH、计算机主机、Ping命令。</w:t>
      </w:r>
    </w:p>
    <w:p w14:paraId="78F122AE">
      <w:pPr>
        <w:rPr>
          <w:rFonts w:ascii="黑体" w:hAnsi="Times New Roman" w:eastAsia="黑体" w:cs="Times New Roman"/>
          <w:sz w:val="28"/>
          <w:szCs w:val="24"/>
        </w:rPr>
      </w:pPr>
    </w:p>
    <w:p w14:paraId="7F409CFC">
      <w:pPr>
        <w:ind w:firstLine="420"/>
        <w:rPr>
          <w:rFonts w:ascii="黑体" w:hAnsi="Times New Roman" w:eastAsia="黑体" w:cs="Times New Roman"/>
          <w:sz w:val="28"/>
          <w:szCs w:val="24"/>
        </w:rPr>
      </w:pPr>
    </w:p>
    <w:p w14:paraId="1485173F">
      <w:pPr>
        <w:numPr>
          <w:ilvl w:val="0"/>
          <w:numId w:val="1"/>
        </w:numPr>
        <w:tabs>
          <w:tab w:val="left" w:pos="-1440"/>
        </w:tabs>
        <w:adjustRightInd w:val="0"/>
        <w:rPr>
          <w:rFonts w:ascii="黑体" w:hAnsi="Times New Roman" w:eastAsia="黑体" w:cs="Times New Roman"/>
          <w:sz w:val="28"/>
          <w:szCs w:val="24"/>
        </w:rPr>
      </w:pPr>
      <w:r>
        <w:rPr>
          <w:rFonts w:hint="eastAsia" w:ascii="黑体" w:hAnsi="Times New Roman" w:eastAsia="黑体" w:cs="Times New Roman"/>
          <w:sz w:val="28"/>
          <w:szCs w:val="24"/>
        </w:rPr>
        <w:t>实验数据及数据的解释与对比分析：</w:t>
      </w:r>
    </w:p>
    <w:p w14:paraId="6643BEDD">
      <w:pPr>
        <w:numPr>
          <w:ilvl w:val="0"/>
          <w:numId w:val="0"/>
        </w:numPr>
        <w:tabs>
          <w:tab w:val="left" w:pos="-1440"/>
        </w:tabs>
        <w:adjustRightInd w:val="0"/>
        <w:ind w:leftChars="0"/>
        <w:rPr>
          <w:rFonts w:ascii="黑体" w:hAnsi="Times New Roman" w:eastAsia="黑体" w:cs="Times New Roman"/>
          <w:sz w:val="28"/>
          <w:szCs w:val="24"/>
        </w:rPr>
      </w:pPr>
      <w:r>
        <w:rPr>
          <w:rFonts w:ascii="黑体" w:hAnsi="Times New Roman" w:eastAsia="黑体" w:cs="Times New Roman"/>
          <w:sz w:val="28"/>
          <w:szCs w:val="24"/>
        </w:rPr>
        <w:t>第一部分　制作网线（双绞线）</w:t>
      </w:r>
    </w:p>
    <w:p w14:paraId="403BC585">
      <w:pPr>
        <w:rPr>
          <w:rFonts w:ascii="宋体" w:hAnsi="宋体" w:cs="宋体"/>
          <w:kern w:val="0"/>
          <w:szCs w:val="21"/>
        </w:rPr>
      </w:pPr>
      <w:r>
        <w:rPr>
          <w:rFonts w:ascii="宋体" w:hAnsi="宋体" w:cs="宋体"/>
          <w:kern w:val="0"/>
          <w:szCs w:val="21"/>
        </w:rPr>
        <w:t>1. EIA／TIA-568 标准学习</w:t>
      </w:r>
    </w:p>
    <w:p w14:paraId="1653A78B">
      <w:pPr>
        <w:rPr>
          <w:rFonts w:ascii="宋体" w:hAnsi="宋体" w:cs="宋体"/>
          <w:kern w:val="0"/>
          <w:szCs w:val="21"/>
        </w:rPr>
      </w:pPr>
      <w:r>
        <w:rPr>
          <w:rFonts w:ascii="宋体" w:hAnsi="宋体" w:cs="宋体"/>
          <w:kern w:val="0"/>
          <w:szCs w:val="21"/>
        </w:rPr>
        <w:t>通过查阅 EIA／TIA-568 国际布线标准，了解无屏蔽双绞线（UTP）的分类、带宽范围、传输性能与典型应用场景。无屏蔽双绞线根据传输速率和抗干扰能力不同分为多个类别，常用类别及其特性如下：</w:t>
      </w:r>
    </w:p>
    <w:p w14:paraId="4A41255F">
      <w:pPr>
        <w:rPr>
          <w:rFonts w:ascii="宋体" w:hAnsi="宋体" w:cs="宋体"/>
          <w:kern w:val="0"/>
          <w:szCs w:val="21"/>
        </w:rPr>
      </w:pPr>
      <w:r>
        <w:rPr>
          <w:rFonts w:ascii="宋体" w:hAnsi="宋体" w:cs="宋体"/>
          <w:kern w:val="0"/>
          <w:szCs w:val="21"/>
        </w:rPr>
        <w:t>无屏蔽双绞线的带宽、特点与典型应用：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9"/>
        <w:gridCol w:w="1559"/>
        <w:gridCol w:w="3260"/>
        <w:gridCol w:w="2744"/>
      </w:tblGrid>
      <w:tr w14:paraId="339F77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  <w:shd w:val="clear" w:color="auto" w:fill="auto"/>
          </w:tcPr>
          <w:p w14:paraId="73FE8EE5">
            <w:pPr>
              <w:jc w:val="center"/>
              <w:rPr>
                <w:rFonts w:hint="eastAsia" w:ascii="宋体" w:hAnsi="宋体" w:eastAsia="宋体" w:cs="宋体"/>
                <w:b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Cs w:val="21"/>
              </w:rPr>
              <w:t>类别</w:t>
            </w:r>
          </w:p>
        </w:tc>
        <w:tc>
          <w:tcPr>
            <w:tcW w:w="1559" w:type="dxa"/>
            <w:shd w:val="clear" w:color="auto" w:fill="auto"/>
          </w:tcPr>
          <w:p w14:paraId="07BCDD35">
            <w:pPr>
              <w:jc w:val="center"/>
              <w:rPr>
                <w:rFonts w:hint="eastAsia" w:ascii="宋体" w:hAnsi="宋体" w:eastAsia="宋体" w:cs="宋体"/>
                <w:b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Cs w:val="21"/>
              </w:rPr>
              <w:t>带宽</w:t>
            </w:r>
          </w:p>
        </w:tc>
        <w:tc>
          <w:tcPr>
            <w:tcW w:w="3260" w:type="dxa"/>
            <w:shd w:val="clear" w:color="auto" w:fill="auto"/>
          </w:tcPr>
          <w:p w14:paraId="737EF106">
            <w:pPr>
              <w:jc w:val="center"/>
              <w:rPr>
                <w:rFonts w:hint="eastAsia" w:ascii="宋体" w:hAnsi="宋体" w:eastAsia="宋体" w:cs="宋体"/>
                <w:b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Cs w:val="21"/>
              </w:rPr>
              <w:t>特点</w:t>
            </w:r>
          </w:p>
        </w:tc>
        <w:tc>
          <w:tcPr>
            <w:tcW w:w="2744" w:type="dxa"/>
            <w:shd w:val="clear" w:color="auto" w:fill="auto"/>
          </w:tcPr>
          <w:p w14:paraId="67F16AEA">
            <w:pPr>
              <w:jc w:val="center"/>
              <w:rPr>
                <w:rFonts w:hint="eastAsia" w:ascii="宋体" w:hAnsi="宋体" w:eastAsia="宋体" w:cs="宋体"/>
                <w:b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典型应用</w:t>
            </w:r>
          </w:p>
        </w:tc>
      </w:tr>
      <w:tr w14:paraId="46B4A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  <w:shd w:val="clear" w:color="auto" w:fill="auto"/>
          </w:tcPr>
          <w:p w14:paraId="07A680EB">
            <w:pPr>
              <w:jc w:val="center"/>
              <w:rPr>
                <w:rFonts w:hint="eastAsia" w:ascii="宋体" w:hAnsi="宋体" w:eastAsia="宋体" w:cs="宋体"/>
                <w:b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Cs w:val="21"/>
              </w:rPr>
              <w:t>3</w:t>
            </w:r>
          </w:p>
        </w:tc>
        <w:tc>
          <w:tcPr>
            <w:tcW w:w="1559" w:type="dxa"/>
            <w:shd w:val="clear" w:color="auto" w:fill="auto"/>
          </w:tcPr>
          <w:p w14:paraId="19AC7963">
            <w:pPr>
              <w:widowControl/>
              <w:jc w:val="left"/>
              <w:rPr>
                <w:rFonts w:hint="eastAsia" w:ascii="宋体" w:hAnsi="宋体" w:eastAsia="宋体" w:cs="宋体"/>
                <w:b/>
                <w:szCs w:val="21"/>
              </w:rPr>
            </w:pPr>
            <w:r>
              <w:rPr>
                <w:rFonts w:hint="eastAsia" w:ascii="宋体" w:hAnsi="宋体" w:eastAsia="宋体" w:cs="宋体"/>
                <w:color w:val="24292F"/>
                <w:kern w:val="0"/>
                <w:szCs w:val="21"/>
                <w:lang w:bidi="ar"/>
              </w:rPr>
              <w:t>16 MHz</w:t>
            </w:r>
          </w:p>
        </w:tc>
        <w:tc>
          <w:tcPr>
            <w:tcW w:w="3260" w:type="dxa"/>
            <w:shd w:val="clear" w:color="auto" w:fill="auto"/>
          </w:tcPr>
          <w:p w14:paraId="08B97F6B">
            <w:pPr>
              <w:widowControl/>
              <w:jc w:val="left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color w:val="24292F"/>
                <w:kern w:val="0"/>
                <w:szCs w:val="21"/>
                <w:lang w:bidi="ar"/>
              </w:rPr>
              <w:t>适用于传输最高速率为10 Mbps的数据信号</w:t>
            </w:r>
          </w:p>
        </w:tc>
        <w:tc>
          <w:tcPr>
            <w:tcW w:w="2744" w:type="dxa"/>
            <w:shd w:val="clear" w:color="auto" w:fill="auto"/>
          </w:tcPr>
          <w:p w14:paraId="4F59E50A">
            <w:pPr>
              <w:widowControl/>
              <w:jc w:val="left"/>
              <w:rPr>
                <w:rFonts w:hint="eastAsia" w:ascii="宋体" w:hAnsi="宋体" w:eastAsia="宋体" w:cs="宋体"/>
                <w:b/>
                <w:szCs w:val="21"/>
              </w:rPr>
            </w:pPr>
            <w:r>
              <w:rPr>
                <w:rFonts w:hint="eastAsia" w:ascii="宋体" w:hAnsi="宋体" w:eastAsia="宋体" w:cs="宋体"/>
                <w:color w:val="24292F"/>
                <w:kern w:val="0"/>
                <w:szCs w:val="21"/>
                <w:lang w:bidi="ar"/>
              </w:rPr>
              <w:t>电话系统和10BASE-T以太网</w:t>
            </w:r>
          </w:p>
        </w:tc>
      </w:tr>
      <w:tr w14:paraId="4E690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  <w:shd w:val="clear" w:color="auto" w:fill="auto"/>
          </w:tcPr>
          <w:p w14:paraId="1A980E72">
            <w:pPr>
              <w:jc w:val="center"/>
              <w:rPr>
                <w:rFonts w:hint="eastAsia" w:ascii="宋体" w:hAnsi="宋体" w:eastAsia="宋体" w:cs="宋体"/>
                <w:b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Cs w:val="21"/>
              </w:rPr>
              <w:t>4</w:t>
            </w:r>
          </w:p>
        </w:tc>
        <w:tc>
          <w:tcPr>
            <w:tcW w:w="1559" w:type="dxa"/>
            <w:shd w:val="clear" w:color="auto" w:fill="auto"/>
          </w:tcPr>
          <w:p w14:paraId="566EEFBF">
            <w:pPr>
              <w:widowControl/>
              <w:jc w:val="left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color w:val="24292F"/>
                <w:kern w:val="0"/>
                <w:szCs w:val="21"/>
                <w:lang w:bidi="ar"/>
              </w:rPr>
              <w:t>20 MHz</w:t>
            </w:r>
          </w:p>
          <w:p w14:paraId="78F06566">
            <w:pPr>
              <w:jc w:val="center"/>
              <w:rPr>
                <w:rFonts w:hint="eastAsia" w:ascii="宋体" w:hAnsi="宋体" w:eastAsia="宋体" w:cs="宋体"/>
                <w:b/>
                <w:szCs w:val="21"/>
              </w:rPr>
            </w:pPr>
          </w:p>
        </w:tc>
        <w:tc>
          <w:tcPr>
            <w:tcW w:w="3260" w:type="dxa"/>
            <w:shd w:val="clear" w:color="auto" w:fill="auto"/>
          </w:tcPr>
          <w:p w14:paraId="396EF34A">
            <w:pPr>
              <w:widowControl/>
              <w:jc w:val="left"/>
              <w:rPr>
                <w:rFonts w:hint="eastAsia" w:ascii="宋体" w:hAnsi="宋体" w:eastAsia="宋体" w:cs="宋体"/>
                <w:b/>
                <w:szCs w:val="21"/>
              </w:rPr>
            </w:pPr>
            <w:r>
              <w:rPr>
                <w:rFonts w:hint="eastAsia" w:ascii="宋体" w:hAnsi="宋体" w:eastAsia="宋体" w:cs="宋体"/>
                <w:color w:val="24292F"/>
                <w:kern w:val="0"/>
                <w:szCs w:val="21"/>
                <w:lang w:bidi="ar"/>
              </w:rPr>
              <w:t>适用于传输最高速率为16 Mbps的数据信号</w:t>
            </w:r>
          </w:p>
        </w:tc>
        <w:tc>
          <w:tcPr>
            <w:tcW w:w="2744" w:type="dxa"/>
            <w:shd w:val="clear" w:color="auto" w:fill="auto"/>
          </w:tcPr>
          <w:p w14:paraId="707833D3">
            <w:pPr>
              <w:widowControl/>
              <w:jc w:val="left"/>
              <w:rPr>
                <w:rFonts w:hint="eastAsia" w:ascii="宋体" w:hAnsi="宋体" w:eastAsia="宋体" w:cs="宋体"/>
                <w:b/>
                <w:szCs w:val="21"/>
              </w:rPr>
            </w:pPr>
            <w:r>
              <w:rPr>
                <w:rFonts w:hint="eastAsia" w:ascii="宋体" w:hAnsi="宋体" w:eastAsia="宋体" w:cs="宋体"/>
                <w:color w:val="24292F"/>
                <w:kern w:val="0"/>
                <w:szCs w:val="21"/>
                <w:lang w:bidi="ar"/>
              </w:rPr>
              <w:t>传输速率较高的局域网和Token Ring网络</w:t>
            </w:r>
          </w:p>
        </w:tc>
      </w:tr>
      <w:tr w14:paraId="7C1C4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  <w:shd w:val="clear" w:color="auto" w:fill="auto"/>
          </w:tcPr>
          <w:p w14:paraId="2F155FF7">
            <w:pPr>
              <w:jc w:val="center"/>
              <w:rPr>
                <w:rFonts w:hint="eastAsia" w:ascii="宋体" w:hAnsi="宋体" w:eastAsia="宋体" w:cs="宋体"/>
                <w:b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Cs w:val="21"/>
              </w:rPr>
              <w:t>5</w:t>
            </w:r>
          </w:p>
        </w:tc>
        <w:tc>
          <w:tcPr>
            <w:tcW w:w="1559" w:type="dxa"/>
            <w:shd w:val="clear" w:color="auto" w:fill="auto"/>
          </w:tcPr>
          <w:p w14:paraId="620F4F69">
            <w:pPr>
              <w:widowControl/>
              <w:jc w:val="left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color w:val="24292F"/>
                <w:kern w:val="0"/>
                <w:szCs w:val="21"/>
                <w:lang w:bidi="ar"/>
              </w:rPr>
              <w:t>100 MHz</w:t>
            </w:r>
          </w:p>
          <w:p w14:paraId="00665055">
            <w:pPr>
              <w:jc w:val="center"/>
              <w:rPr>
                <w:rFonts w:hint="eastAsia" w:ascii="宋体" w:hAnsi="宋体" w:eastAsia="宋体" w:cs="宋体"/>
                <w:b/>
                <w:szCs w:val="21"/>
              </w:rPr>
            </w:pPr>
          </w:p>
        </w:tc>
        <w:tc>
          <w:tcPr>
            <w:tcW w:w="3260" w:type="dxa"/>
            <w:shd w:val="clear" w:color="auto" w:fill="auto"/>
          </w:tcPr>
          <w:p w14:paraId="7024708B">
            <w:pPr>
              <w:widowControl/>
              <w:jc w:val="left"/>
              <w:rPr>
                <w:rFonts w:hint="eastAsia" w:ascii="宋体" w:hAnsi="宋体" w:eastAsia="宋体" w:cs="宋体"/>
                <w:b/>
                <w:szCs w:val="21"/>
              </w:rPr>
            </w:pPr>
            <w:r>
              <w:rPr>
                <w:rFonts w:hint="eastAsia" w:ascii="宋体" w:hAnsi="宋体" w:eastAsia="宋体" w:cs="宋体"/>
                <w:color w:val="24292F"/>
                <w:kern w:val="0"/>
                <w:szCs w:val="21"/>
                <w:lang w:bidi="ar"/>
              </w:rPr>
              <w:t>适用于传输最高速率为100 Mbps的数据信号，支持10BASE-T、100BASE-TX以太网，以及传输语音和视频信号</w:t>
            </w:r>
          </w:p>
        </w:tc>
        <w:tc>
          <w:tcPr>
            <w:tcW w:w="2744" w:type="dxa"/>
            <w:shd w:val="clear" w:color="auto" w:fill="auto"/>
          </w:tcPr>
          <w:p w14:paraId="40FE7005">
            <w:pPr>
              <w:widowControl/>
              <w:jc w:val="left"/>
              <w:rPr>
                <w:rFonts w:hint="eastAsia" w:ascii="宋体" w:hAnsi="宋体" w:eastAsia="宋体" w:cs="宋体"/>
                <w:b/>
                <w:szCs w:val="21"/>
              </w:rPr>
            </w:pPr>
            <w:r>
              <w:rPr>
                <w:rFonts w:hint="eastAsia" w:ascii="宋体" w:hAnsi="宋体" w:eastAsia="宋体" w:cs="宋体"/>
                <w:color w:val="24292F"/>
                <w:kern w:val="0"/>
                <w:szCs w:val="21"/>
                <w:lang w:bidi="ar"/>
              </w:rPr>
              <w:t>局域网、互联网接入和电话系统</w:t>
            </w:r>
          </w:p>
        </w:tc>
      </w:tr>
      <w:tr w14:paraId="40C46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  <w:shd w:val="clear" w:color="auto" w:fill="auto"/>
          </w:tcPr>
          <w:p w14:paraId="647081A2">
            <w:pPr>
              <w:jc w:val="center"/>
              <w:rPr>
                <w:rFonts w:hint="eastAsia" w:ascii="宋体" w:hAnsi="宋体" w:eastAsia="宋体" w:cs="宋体"/>
                <w:b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Cs w:val="21"/>
              </w:rPr>
              <w:t>6</w:t>
            </w:r>
          </w:p>
        </w:tc>
        <w:tc>
          <w:tcPr>
            <w:tcW w:w="1559" w:type="dxa"/>
            <w:shd w:val="clear" w:color="auto" w:fill="auto"/>
          </w:tcPr>
          <w:p w14:paraId="4B2A082E">
            <w:pPr>
              <w:widowControl/>
              <w:jc w:val="left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color w:val="24292F"/>
                <w:kern w:val="0"/>
                <w:szCs w:val="21"/>
                <w:lang w:bidi="ar"/>
              </w:rPr>
              <w:t>250 MHz</w:t>
            </w:r>
          </w:p>
          <w:p w14:paraId="2688AEDE">
            <w:pPr>
              <w:jc w:val="center"/>
              <w:rPr>
                <w:rFonts w:hint="eastAsia" w:ascii="宋体" w:hAnsi="宋体" w:eastAsia="宋体" w:cs="宋体"/>
                <w:b/>
                <w:szCs w:val="21"/>
              </w:rPr>
            </w:pPr>
          </w:p>
        </w:tc>
        <w:tc>
          <w:tcPr>
            <w:tcW w:w="3260" w:type="dxa"/>
            <w:shd w:val="clear" w:color="auto" w:fill="auto"/>
          </w:tcPr>
          <w:p w14:paraId="64A9528A">
            <w:pPr>
              <w:widowControl/>
              <w:jc w:val="left"/>
              <w:rPr>
                <w:rFonts w:hint="eastAsia" w:ascii="宋体" w:hAnsi="宋体" w:eastAsia="宋体" w:cs="宋体"/>
                <w:b/>
                <w:szCs w:val="21"/>
              </w:rPr>
            </w:pPr>
            <w:r>
              <w:rPr>
                <w:rFonts w:hint="eastAsia" w:ascii="宋体" w:hAnsi="宋体" w:eastAsia="宋体" w:cs="宋体"/>
                <w:color w:val="24292F"/>
                <w:kern w:val="0"/>
                <w:szCs w:val="21"/>
                <w:lang w:bidi="ar"/>
              </w:rPr>
              <w:t>适用于传输最高速率为1 Gbps的数据信号，提供更好的抗干扰性能和信号传输质量</w:t>
            </w:r>
          </w:p>
        </w:tc>
        <w:tc>
          <w:tcPr>
            <w:tcW w:w="2744" w:type="dxa"/>
            <w:shd w:val="clear" w:color="auto" w:fill="auto"/>
          </w:tcPr>
          <w:p w14:paraId="4ED05472">
            <w:pPr>
              <w:widowControl/>
              <w:jc w:val="left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color w:val="24292F"/>
                <w:kern w:val="0"/>
                <w:szCs w:val="21"/>
                <w:lang w:bidi="ar"/>
              </w:rPr>
              <w:t>高速局域网、视频监控系统和音频/视频传输</w:t>
            </w:r>
          </w:p>
          <w:p w14:paraId="29446ADD">
            <w:pPr>
              <w:jc w:val="center"/>
              <w:rPr>
                <w:rFonts w:hint="eastAsia" w:ascii="宋体" w:hAnsi="宋体" w:eastAsia="宋体" w:cs="宋体"/>
                <w:b/>
                <w:szCs w:val="21"/>
              </w:rPr>
            </w:pPr>
          </w:p>
        </w:tc>
      </w:tr>
      <w:tr w14:paraId="6B4A9A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  <w:shd w:val="clear" w:color="auto" w:fill="auto"/>
          </w:tcPr>
          <w:p w14:paraId="495AB428">
            <w:pPr>
              <w:jc w:val="center"/>
              <w:rPr>
                <w:rFonts w:hint="eastAsia" w:ascii="宋体" w:hAnsi="宋体" w:eastAsia="宋体" w:cs="宋体"/>
                <w:b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Cs w:val="21"/>
              </w:rPr>
              <w:t>7</w:t>
            </w:r>
          </w:p>
        </w:tc>
        <w:tc>
          <w:tcPr>
            <w:tcW w:w="1559" w:type="dxa"/>
            <w:shd w:val="clear" w:color="auto" w:fill="auto"/>
          </w:tcPr>
          <w:p w14:paraId="37BE2D29">
            <w:pPr>
              <w:widowControl/>
              <w:jc w:val="left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color w:val="24292F"/>
                <w:kern w:val="0"/>
                <w:szCs w:val="21"/>
                <w:lang w:bidi="ar"/>
              </w:rPr>
              <w:t>600 MHz</w:t>
            </w:r>
          </w:p>
          <w:p w14:paraId="15D75471">
            <w:pPr>
              <w:jc w:val="center"/>
              <w:rPr>
                <w:rFonts w:hint="eastAsia" w:ascii="宋体" w:hAnsi="宋体" w:eastAsia="宋体" w:cs="宋体"/>
                <w:b/>
                <w:szCs w:val="21"/>
              </w:rPr>
            </w:pPr>
          </w:p>
        </w:tc>
        <w:tc>
          <w:tcPr>
            <w:tcW w:w="3260" w:type="dxa"/>
            <w:shd w:val="clear" w:color="auto" w:fill="auto"/>
          </w:tcPr>
          <w:p w14:paraId="00CF1EAA">
            <w:pPr>
              <w:widowControl/>
              <w:jc w:val="left"/>
              <w:rPr>
                <w:rFonts w:hint="eastAsia" w:ascii="宋体" w:hAnsi="宋体" w:eastAsia="宋体" w:cs="宋体"/>
                <w:b/>
                <w:szCs w:val="21"/>
              </w:rPr>
            </w:pPr>
            <w:r>
              <w:rPr>
                <w:rFonts w:hint="eastAsia" w:ascii="宋体" w:hAnsi="宋体" w:eastAsia="宋体" w:cs="宋体"/>
                <w:color w:val="24292F"/>
                <w:kern w:val="0"/>
                <w:szCs w:val="21"/>
                <w:lang w:bidi="ar"/>
              </w:rPr>
              <w:t>适用于传输最高速率为10 Gbps的数据信号，提供更高的抗干扰性能和信号传输质量，采用更严格的规范和屏蔽设计</w:t>
            </w:r>
          </w:p>
        </w:tc>
        <w:tc>
          <w:tcPr>
            <w:tcW w:w="2744" w:type="dxa"/>
            <w:shd w:val="clear" w:color="auto" w:fill="auto"/>
          </w:tcPr>
          <w:p w14:paraId="24D8084C">
            <w:pPr>
              <w:widowControl/>
              <w:jc w:val="left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color w:val="24292F"/>
                <w:kern w:val="0"/>
                <w:szCs w:val="21"/>
                <w:lang w:bidi="ar"/>
              </w:rPr>
              <w:t>高速数据中心网络、视频监控和音频/视频传输</w:t>
            </w:r>
          </w:p>
          <w:p w14:paraId="0EC3095B">
            <w:pPr>
              <w:jc w:val="center"/>
              <w:rPr>
                <w:rFonts w:hint="eastAsia" w:ascii="宋体" w:hAnsi="宋体" w:eastAsia="宋体" w:cs="宋体"/>
                <w:b/>
                <w:szCs w:val="21"/>
              </w:rPr>
            </w:pPr>
          </w:p>
        </w:tc>
      </w:tr>
    </w:tbl>
    <w:p w14:paraId="2813FA52">
      <w:pPr>
        <w:jc w:val="center"/>
        <w:rPr>
          <w:b/>
          <w:szCs w:val="21"/>
        </w:rPr>
      </w:pPr>
    </w:p>
    <w:p w14:paraId="5408BD7F">
      <w:pPr>
        <w:rPr>
          <w:rFonts w:ascii="宋体" w:hAnsi="宋体" w:cs="宋体"/>
          <w:kern w:val="0"/>
          <w:szCs w:val="21"/>
        </w:rPr>
      </w:pPr>
      <w:r>
        <w:rPr>
          <w:rFonts w:ascii="宋体" w:hAnsi="宋体" w:cs="宋体"/>
          <w:kern w:val="0"/>
          <w:szCs w:val="21"/>
        </w:rPr>
        <w:t>2. RJ-45 连接器引脚功能定义</w:t>
      </w:r>
    </w:p>
    <w:p w14:paraId="59E96024">
      <w:pPr>
        <w:rPr>
          <w:rFonts w:ascii="宋体" w:hAnsi="宋体" w:cs="宋体"/>
          <w:kern w:val="0"/>
          <w:szCs w:val="21"/>
        </w:rPr>
      </w:pPr>
      <w:r>
        <w:rPr>
          <w:rFonts w:ascii="宋体" w:hAnsi="宋体" w:cs="宋体"/>
          <w:kern w:val="0"/>
          <w:szCs w:val="21"/>
        </w:rPr>
        <w:t>RJ-45 连接器是以太网中常用的物理接口，其引脚定义因速率标准而异。</w:t>
      </w:r>
      <w:r>
        <w:rPr>
          <w:rFonts w:ascii="宋体" w:hAnsi="宋体" w:cs="宋体"/>
          <w:kern w:val="0"/>
          <w:szCs w:val="21"/>
        </w:rPr>
        <w:br w:type="textWrapping"/>
      </w:r>
      <w:r>
        <w:rPr>
          <w:rFonts w:ascii="宋体" w:hAnsi="宋体" w:cs="宋体"/>
          <w:kern w:val="0"/>
          <w:szCs w:val="21"/>
        </w:rPr>
        <w:t>在 10/100Base-T 以太网中，仅使用 1、2、3、6 四个引脚进行数据传输；在 1000Base-T 千兆以太网中，八个引脚均参与数据的双向传输。</w:t>
      </w:r>
    </w:p>
    <w:p w14:paraId="663F3245">
      <w:pPr>
        <w:widowControl/>
        <w:shd w:val="clear" w:color="auto" w:fill="FFFFFF"/>
        <w:spacing w:line="315" w:lineRule="atLeast"/>
        <w:jc w:val="left"/>
        <w:rPr>
          <w:rFonts w:ascii="Arial" w:hAnsi="Arial" w:cs="Arial"/>
          <w:b/>
          <w:bCs/>
          <w:color w:val="4D4D4D"/>
          <w:kern w:val="0"/>
          <w:szCs w:val="21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1276"/>
        <w:gridCol w:w="2309"/>
        <w:gridCol w:w="668"/>
        <w:gridCol w:w="1276"/>
        <w:gridCol w:w="2318"/>
      </w:tblGrid>
      <w:tr w14:paraId="494C1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0" w:type="dxa"/>
            <w:gridSpan w:val="3"/>
            <w:shd w:val="clear" w:color="auto" w:fill="auto"/>
          </w:tcPr>
          <w:p w14:paraId="21786AA4">
            <w:pPr>
              <w:widowControl/>
              <w:shd w:val="clear" w:color="auto" w:fill="FFFFFF"/>
              <w:spacing w:line="315" w:lineRule="atLeast"/>
              <w:jc w:val="left"/>
              <w:rPr>
                <w:rFonts w:ascii="Arial" w:hAnsi="Arial" w:cs="Arial"/>
                <w:color w:val="4D4D4D"/>
                <w:kern w:val="0"/>
                <w:szCs w:val="21"/>
              </w:rPr>
            </w:pPr>
            <w:r>
              <w:rPr>
                <w:rFonts w:hint="eastAsia" w:ascii="Arial" w:hAnsi="Arial" w:cs="Arial"/>
                <w:color w:val="4D4D4D"/>
                <w:kern w:val="0"/>
                <w:szCs w:val="21"/>
              </w:rPr>
              <w:t>以太网</w:t>
            </w:r>
            <w:r>
              <w:rPr>
                <w:rFonts w:ascii="Arial" w:hAnsi="Arial" w:cs="Arial"/>
                <w:b/>
                <w:bCs/>
                <w:color w:val="4D4D4D"/>
                <w:kern w:val="0"/>
                <w:szCs w:val="21"/>
              </w:rPr>
              <w:t>10</w:t>
            </w:r>
            <w:r>
              <w:rPr>
                <w:rFonts w:hint="eastAsia" w:ascii="Arial" w:hAnsi="Arial" w:cs="Arial"/>
                <w:b/>
                <w:bCs/>
                <w:color w:val="4D4D4D"/>
                <w:kern w:val="0"/>
                <w:szCs w:val="21"/>
              </w:rPr>
              <w:t>/1</w:t>
            </w:r>
            <w:r>
              <w:rPr>
                <w:rFonts w:ascii="Arial" w:hAnsi="Arial" w:cs="Arial"/>
                <w:b/>
                <w:bCs/>
                <w:color w:val="4D4D4D"/>
                <w:kern w:val="0"/>
                <w:szCs w:val="21"/>
              </w:rPr>
              <w:t>00Base-T </w:t>
            </w:r>
            <w:r>
              <w:rPr>
                <w:rFonts w:hint="eastAsia" w:ascii="Arial" w:hAnsi="Arial" w:cs="Arial"/>
                <w:b/>
                <w:bCs/>
                <w:color w:val="4D4D4D"/>
                <w:kern w:val="0"/>
                <w:szCs w:val="21"/>
              </w:rPr>
              <w:t>接口</w:t>
            </w:r>
            <w:r>
              <w:rPr>
                <w:rFonts w:ascii="Arial" w:hAnsi="Arial" w:cs="Arial"/>
                <w:color w:val="4D4D4D"/>
                <w:kern w:val="0"/>
                <w:szCs w:val="21"/>
              </w:rPr>
              <w:t xml:space="preserve"> </w:t>
            </w:r>
          </w:p>
        </w:tc>
        <w:tc>
          <w:tcPr>
            <w:tcW w:w="4262" w:type="dxa"/>
            <w:gridSpan w:val="3"/>
            <w:shd w:val="clear" w:color="auto" w:fill="auto"/>
          </w:tcPr>
          <w:p w14:paraId="239FECCC">
            <w:pPr>
              <w:widowControl/>
              <w:shd w:val="clear" w:color="auto" w:fill="FFFFFF"/>
              <w:spacing w:line="315" w:lineRule="atLeast"/>
              <w:jc w:val="left"/>
              <w:rPr>
                <w:rFonts w:ascii="Arial" w:hAnsi="Arial" w:cs="Arial"/>
                <w:color w:val="4D4D4D"/>
                <w:kern w:val="0"/>
                <w:szCs w:val="21"/>
              </w:rPr>
            </w:pPr>
            <w:r>
              <w:rPr>
                <w:rFonts w:hint="eastAsia" w:ascii="Arial" w:hAnsi="Arial" w:cs="Arial"/>
                <w:color w:val="4D4D4D"/>
                <w:kern w:val="0"/>
                <w:szCs w:val="21"/>
              </w:rPr>
              <w:t>以太网</w:t>
            </w:r>
            <w:r>
              <w:rPr>
                <w:rFonts w:ascii="Arial" w:hAnsi="Arial" w:cs="Arial"/>
                <w:b/>
                <w:bCs/>
                <w:color w:val="4D4D4D"/>
                <w:kern w:val="0"/>
                <w:szCs w:val="21"/>
              </w:rPr>
              <w:t>1000Base-T </w:t>
            </w:r>
            <w:r>
              <w:rPr>
                <w:rFonts w:hint="eastAsia" w:ascii="Arial" w:hAnsi="Arial" w:cs="Arial"/>
                <w:b/>
                <w:bCs/>
                <w:color w:val="4D4D4D"/>
                <w:kern w:val="0"/>
                <w:szCs w:val="21"/>
              </w:rPr>
              <w:t>接口</w:t>
            </w:r>
          </w:p>
        </w:tc>
      </w:tr>
      <w:tr w14:paraId="242233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shd w:val="clear" w:color="auto" w:fill="auto"/>
          </w:tcPr>
          <w:p w14:paraId="065E0CB7">
            <w:pPr>
              <w:widowControl/>
              <w:spacing w:line="315" w:lineRule="atLeast"/>
              <w:jc w:val="left"/>
              <w:rPr>
                <w:rFonts w:ascii="Arial" w:hAnsi="Arial" w:cs="Arial"/>
                <w:color w:val="4D4D4D"/>
                <w:kern w:val="0"/>
                <w:szCs w:val="21"/>
              </w:rPr>
            </w:pPr>
            <w:r>
              <w:rPr>
                <w:rFonts w:hint="eastAsia" w:ascii="Arial" w:hAnsi="Arial" w:cs="Arial"/>
                <w:color w:val="4D4D4D"/>
                <w:kern w:val="0"/>
                <w:szCs w:val="21"/>
              </w:rPr>
              <w:t>引脚号</w:t>
            </w:r>
          </w:p>
        </w:tc>
        <w:tc>
          <w:tcPr>
            <w:tcW w:w="1276" w:type="dxa"/>
            <w:shd w:val="clear" w:color="auto" w:fill="auto"/>
          </w:tcPr>
          <w:p w14:paraId="611A8997">
            <w:pPr>
              <w:widowControl/>
              <w:spacing w:line="315" w:lineRule="atLeast"/>
              <w:jc w:val="left"/>
              <w:rPr>
                <w:rFonts w:ascii="Arial" w:hAnsi="Arial" w:cs="Arial"/>
                <w:color w:val="4D4D4D"/>
                <w:kern w:val="0"/>
                <w:szCs w:val="21"/>
              </w:rPr>
            </w:pPr>
            <w:r>
              <w:rPr>
                <w:rFonts w:hint="eastAsia" w:ascii="Arial" w:hAnsi="Arial" w:cs="Arial"/>
                <w:color w:val="4D4D4D"/>
                <w:kern w:val="0"/>
                <w:szCs w:val="21"/>
              </w:rPr>
              <w:t>引脚名称</w:t>
            </w:r>
          </w:p>
        </w:tc>
        <w:tc>
          <w:tcPr>
            <w:tcW w:w="2309" w:type="dxa"/>
            <w:shd w:val="clear" w:color="auto" w:fill="auto"/>
          </w:tcPr>
          <w:p w14:paraId="521D6023">
            <w:pPr>
              <w:widowControl/>
              <w:spacing w:line="315" w:lineRule="atLeast"/>
              <w:jc w:val="left"/>
              <w:rPr>
                <w:rFonts w:ascii="Arial" w:hAnsi="Arial" w:cs="Arial"/>
                <w:color w:val="4D4D4D"/>
                <w:kern w:val="0"/>
                <w:szCs w:val="21"/>
              </w:rPr>
            </w:pPr>
            <w:r>
              <w:rPr>
                <w:rFonts w:hint="eastAsia" w:ascii="Arial" w:hAnsi="Arial" w:cs="Arial"/>
                <w:color w:val="4D4D4D"/>
                <w:kern w:val="0"/>
                <w:szCs w:val="21"/>
              </w:rPr>
              <w:t>说明</w:t>
            </w:r>
          </w:p>
        </w:tc>
        <w:tc>
          <w:tcPr>
            <w:tcW w:w="668" w:type="dxa"/>
            <w:shd w:val="clear" w:color="auto" w:fill="auto"/>
          </w:tcPr>
          <w:p w14:paraId="4BFE0956">
            <w:pPr>
              <w:widowControl/>
              <w:spacing w:line="315" w:lineRule="atLeast"/>
              <w:jc w:val="left"/>
              <w:rPr>
                <w:rFonts w:ascii="Arial" w:hAnsi="Arial" w:cs="Arial"/>
                <w:color w:val="4D4D4D"/>
                <w:kern w:val="0"/>
                <w:szCs w:val="21"/>
              </w:rPr>
            </w:pPr>
            <w:r>
              <w:rPr>
                <w:rFonts w:hint="eastAsia" w:ascii="Arial" w:hAnsi="Arial" w:cs="Arial"/>
                <w:color w:val="4D4D4D"/>
                <w:kern w:val="0"/>
                <w:szCs w:val="21"/>
              </w:rPr>
              <w:t>引脚号</w:t>
            </w:r>
          </w:p>
        </w:tc>
        <w:tc>
          <w:tcPr>
            <w:tcW w:w="1276" w:type="dxa"/>
            <w:shd w:val="clear" w:color="auto" w:fill="auto"/>
          </w:tcPr>
          <w:p w14:paraId="6BB91449">
            <w:pPr>
              <w:widowControl/>
              <w:spacing w:line="315" w:lineRule="atLeast"/>
              <w:jc w:val="left"/>
              <w:rPr>
                <w:rFonts w:ascii="Arial" w:hAnsi="Arial" w:cs="Arial"/>
                <w:color w:val="4D4D4D"/>
                <w:kern w:val="0"/>
                <w:szCs w:val="21"/>
              </w:rPr>
            </w:pPr>
            <w:r>
              <w:rPr>
                <w:rFonts w:hint="eastAsia" w:ascii="Arial" w:hAnsi="Arial" w:cs="Arial"/>
                <w:color w:val="4D4D4D"/>
                <w:kern w:val="0"/>
                <w:szCs w:val="21"/>
              </w:rPr>
              <w:t>引脚名称</w:t>
            </w:r>
          </w:p>
        </w:tc>
        <w:tc>
          <w:tcPr>
            <w:tcW w:w="2318" w:type="dxa"/>
            <w:shd w:val="clear" w:color="auto" w:fill="auto"/>
          </w:tcPr>
          <w:p w14:paraId="364C31E0">
            <w:pPr>
              <w:widowControl/>
              <w:spacing w:line="315" w:lineRule="atLeast"/>
              <w:jc w:val="left"/>
              <w:rPr>
                <w:rFonts w:ascii="Arial" w:hAnsi="Arial" w:cs="Arial"/>
                <w:color w:val="4D4D4D"/>
                <w:kern w:val="0"/>
                <w:szCs w:val="21"/>
              </w:rPr>
            </w:pPr>
            <w:r>
              <w:rPr>
                <w:rFonts w:hint="eastAsia" w:ascii="Arial" w:hAnsi="Arial" w:cs="Arial"/>
                <w:color w:val="4D4D4D"/>
                <w:kern w:val="0"/>
                <w:szCs w:val="21"/>
              </w:rPr>
              <w:t>说明</w:t>
            </w:r>
          </w:p>
        </w:tc>
      </w:tr>
      <w:tr w14:paraId="6C206A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shd w:val="clear" w:color="auto" w:fill="auto"/>
          </w:tcPr>
          <w:p w14:paraId="4F2CAF27">
            <w:pPr>
              <w:widowControl/>
              <w:spacing w:line="315" w:lineRule="atLeast"/>
              <w:jc w:val="left"/>
              <w:rPr>
                <w:rFonts w:ascii="Arial" w:hAnsi="Arial" w:cs="Arial"/>
                <w:color w:val="4D4D4D"/>
                <w:kern w:val="0"/>
                <w:szCs w:val="21"/>
              </w:rPr>
            </w:pPr>
            <w:r>
              <w:rPr>
                <w:rFonts w:ascii="Arial" w:hAnsi="Arial" w:cs="Arial"/>
                <w:color w:val="4D4D4D"/>
                <w:kern w:val="0"/>
                <w:szCs w:val="21"/>
              </w:rPr>
              <w:t>1</w:t>
            </w:r>
          </w:p>
        </w:tc>
        <w:tc>
          <w:tcPr>
            <w:tcW w:w="1276" w:type="dxa"/>
            <w:shd w:val="clear" w:color="auto" w:fill="auto"/>
          </w:tcPr>
          <w:p w14:paraId="00484D67">
            <w:pPr>
              <w:widowControl/>
              <w:spacing w:line="315" w:lineRule="atLeast"/>
              <w:jc w:val="left"/>
              <w:rPr>
                <w:rFonts w:ascii="Arial" w:hAnsi="Arial" w:cs="Arial"/>
                <w:color w:val="4D4D4D"/>
                <w:kern w:val="0"/>
                <w:szCs w:val="21"/>
              </w:rPr>
            </w:pPr>
            <w:r>
              <w:rPr>
                <w:rFonts w:hint="eastAsia" w:ascii="Arial" w:hAnsi="Arial" w:cs="Arial"/>
                <w:color w:val="4D4D4D"/>
                <w:kern w:val="0"/>
                <w:szCs w:val="21"/>
              </w:rPr>
              <w:t>TD+</w:t>
            </w:r>
          </w:p>
        </w:tc>
        <w:tc>
          <w:tcPr>
            <w:tcW w:w="2309" w:type="dxa"/>
            <w:shd w:val="clear" w:color="auto" w:fill="auto"/>
          </w:tcPr>
          <w:p w14:paraId="70CE20E9">
            <w:pPr>
              <w:widowControl/>
              <w:spacing w:line="315" w:lineRule="atLeast"/>
              <w:jc w:val="left"/>
              <w:rPr>
                <w:rFonts w:ascii="Arial" w:hAnsi="Arial" w:cs="Arial"/>
                <w:color w:val="4D4D4D"/>
                <w:kern w:val="0"/>
                <w:szCs w:val="21"/>
              </w:rPr>
            </w:pPr>
            <w:r>
              <w:rPr>
                <w:rFonts w:hint="eastAsia" w:ascii="Arial" w:hAnsi="Arial" w:cs="Arial"/>
                <w:color w:val="4D4D4D"/>
                <w:kern w:val="0"/>
                <w:szCs w:val="21"/>
              </w:rPr>
              <w:t>传送数据+</w:t>
            </w:r>
          </w:p>
        </w:tc>
        <w:tc>
          <w:tcPr>
            <w:tcW w:w="668" w:type="dxa"/>
            <w:shd w:val="clear" w:color="auto" w:fill="auto"/>
          </w:tcPr>
          <w:p w14:paraId="2ED18934">
            <w:pPr>
              <w:widowControl/>
              <w:spacing w:line="315" w:lineRule="atLeast"/>
              <w:jc w:val="left"/>
              <w:rPr>
                <w:rFonts w:ascii="Arial" w:hAnsi="Arial" w:cs="Arial"/>
                <w:color w:val="4D4D4D"/>
                <w:kern w:val="0"/>
                <w:szCs w:val="21"/>
              </w:rPr>
            </w:pPr>
            <w:r>
              <w:rPr>
                <w:rFonts w:hint="eastAsia" w:ascii="Arial" w:hAnsi="Arial" w:cs="Arial"/>
                <w:color w:val="4D4D4D"/>
                <w:kern w:val="0"/>
                <w:szCs w:val="21"/>
              </w:rPr>
              <w:t>1</w:t>
            </w:r>
          </w:p>
        </w:tc>
        <w:tc>
          <w:tcPr>
            <w:tcW w:w="1276" w:type="dxa"/>
            <w:shd w:val="clear" w:color="auto" w:fill="auto"/>
          </w:tcPr>
          <w:p w14:paraId="378949D0">
            <w:pPr>
              <w:widowControl/>
              <w:spacing w:line="315" w:lineRule="atLeast"/>
              <w:jc w:val="left"/>
              <w:rPr>
                <w:rFonts w:ascii="Arial" w:hAnsi="Arial" w:cs="Arial"/>
                <w:color w:val="4D4D4D"/>
                <w:kern w:val="0"/>
                <w:szCs w:val="21"/>
              </w:rPr>
            </w:pPr>
            <w:r>
              <w:rPr>
                <w:rFonts w:hint="eastAsia" w:ascii="Arial" w:hAnsi="Arial" w:cs="Arial"/>
                <w:color w:val="4D4D4D"/>
                <w:kern w:val="0"/>
                <w:szCs w:val="21"/>
              </w:rPr>
              <w:t>BI_DA+</w:t>
            </w:r>
          </w:p>
        </w:tc>
        <w:tc>
          <w:tcPr>
            <w:tcW w:w="2318" w:type="dxa"/>
            <w:shd w:val="clear" w:color="auto" w:fill="auto"/>
          </w:tcPr>
          <w:p w14:paraId="28E173B3">
            <w:pPr>
              <w:widowControl/>
              <w:spacing w:line="315" w:lineRule="atLeast"/>
              <w:rPr>
                <w:rFonts w:ascii="Arial" w:hAnsi="Arial" w:cs="Arial"/>
                <w:color w:val="4D4D4D"/>
                <w:kern w:val="0"/>
                <w:szCs w:val="21"/>
              </w:rPr>
            </w:pPr>
            <w:r>
              <w:rPr>
                <w:rFonts w:hint="eastAsia" w:ascii="Arial" w:hAnsi="Arial" w:cs="Arial"/>
                <w:color w:val="4D4D4D"/>
                <w:kern w:val="0"/>
                <w:szCs w:val="21"/>
              </w:rPr>
              <w:t>双向数据 A+</w:t>
            </w:r>
          </w:p>
        </w:tc>
      </w:tr>
      <w:tr w14:paraId="42514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shd w:val="clear" w:color="auto" w:fill="auto"/>
          </w:tcPr>
          <w:p w14:paraId="3299EDE0">
            <w:pPr>
              <w:widowControl/>
              <w:spacing w:line="315" w:lineRule="atLeast"/>
              <w:jc w:val="left"/>
              <w:rPr>
                <w:rFonts w:ascii="Arial" w:hAnsi="Arial" w:cs="Arial"/>
                <w:color w:val="4D4D4D"/>
                <w:kern w:val="0"/>
                <w:szCs w:val="21"/>
              </w:rPr>
            </w:pPr>
            <w:r>
              <w:rPr>
                <w:rFonts w:ascii="Arial" w:hAnsi="Arial" w:cs="Arial"/>
                <w:color w:val="4D4D4D"/>
                <w:kern w:val="0"/>
                <w:szCs w:val="21"/>
              </w:rPr>
              <w:t>2</w:t>
            </w:r>
          </w:p>
        </w:tc>
        <w:tc>
          <w:tcPr>
            <w:tcW w:w="1276" w:type="dxa"/>
            <w:shd w:val="clear" w:color="auto" w:fill="auto"/>
          </w:tcPr>
          <w:p w14:paraId="56477A53">
            <w:pPr>
              <w:widowControl/>
              <w:spacing w:line="315" w:lineRule="atLeast"/>
              <w:jc w:val="left"/>
              <w:rPr>
                <w:rFonts w:ascii="Arial" w:hAnsi="Arial" w:cs="Arial"/>
                <w:color w:val="4D4D4D"/>
                <w:kern w:val="0"/>
                <w:szCs w:val="21"/>
              </w:rPr>
            </w:pPr>
            <w:r>
              <w:rPr>
                <w:rFonts w:hint="eastAsia" w:ascii="Arial" w:hAnsi="Arial" w:cs="Arial"/>
                <w:color w:val="4D4D4D"/>
                <w:kern w:val="0"/>
                <w:szCs w:val="21"/>
              </w:rPr>
              <w:t>TD-</w:t>
            </w:r>
          </w:p>
        </w:tc>
        <w:tc>
          <w:tcPr>
            <w:tcW w:w="2309" w:type="dxa"/>
            <w:shd w:val="clear" w:color="auto" w:fill="auto"/>
          </w:tcPr>
          <w:p w14:paraId="0F2C94BA">
            <w:pPr>
              <w:widowControl/>
              <w:spacing w:line="315" w:lineRule="atLeast"/>
              <w:jc w:val="left"/>
              <w:rPr>
                <w:rFonts w:ascii="Arial" w:hAnsi="Arial" w:cs="Arial"/>
                <w:color w:val="4D4D4D"/>
                <w:kern w:val="0"/>
                <w:szCs w:val="21"/>
              </w:rPr>
            </w:pPr>
            <w:r>
              <w:rPr>
                <w:rFonts w:hint="eastAsia" w:ascii="Arial" w:hAnsi="Arial" w:cs="Arial"/>
                <w:color w:val="4D4D4D"/>
                <w:kern w:val="0"/>
                <w:szCs w:val="21"/>
              </w:rPr>
              <w:t>传送数据-</w:t>
            </w:r>
          </w:p>
        </w:tc>
        <w:tc>
          <w:tcPr>
            <w:tcW w:w="668" w:type="dxa"/>
            <w:shd w:val="clear" w:color="auto" w:fill="auto"/>
          </w:tcPr>
          <w:p w14:paraId="3C525D7E">
            <w:pPr>
              <w:widowControl/>
              <w:spacing w:line="315" w:lineRule="atLeast"/>
              <w:jc w:val="left"/>
              <w:rPr>
                <w:rFonts w:ascii="Arial" w:hAnsi="Arial" w:cs="Arial"/>
                <w:color w:val="4D4D4D"/>
                <w:kern w:val="0"/>
                <w:szCs w:val="21"/>
              </w:rPr>
            </w:pPr>
            <w:r>
              <w:rPr>
                <w:rFonts w:hint="eastAsia" w:ascii="Arial" w:hAnsi="Arial" w:cs="Arial"/>
                <w:color w:val="4D4D4D"/>
                <w:kern w:val="0"/>
                <w:szCs w:val="21"/>
              </w:rPr>
              <w:t>2</w:t>
            </w:r>
          </w:p>
        </w:tc>
        <w:tc>
          <w:tcPr>
            <w:tcW w:w="1276" w:type="dxa"/>
            <w:shd w:val="clear" w:color="auto" w:fill="auto"/>
          </w:tcPr>
          <w:p w14:paraId="3ED96DE9">
            <w:pPr>
              <w:widowControl/>
              <w:spacing w:line="315" w:lineRule="atLeast"/>
              <w:jc w:val="left"/>
              <w:rPr>
                <w:rFonts w:ascii="Arial" w:hAnsi="Arial" w:cs="Arial"/>
                <w:color w:val="4D4D4D"/>
                <w:kern w:val="0"/>
                <w:szCs w:val="21"/>
              </w:rPr>
            </w:pPr>
            <w:r>
              <w:rPr>
                <w:rFonts w:hint="eastAsia" w:ascii="Arial" w:hAnsi="Arial" w:cs="Arial"/>
                <w:color w:val="4D4D4D"/>
                <w:kern w:val="0"/>
                <w:szCs w:val="21"/>
              </w:rPr>
              <w:t>BI_DA-</w:t>
            </w:r>
          </w:p>
        </w:tc>
        <w:tc>
          <w:tcPr>
            <w:tcW w:w="2318" w:type="dxa"/>
            <w:shd w:val="clear" w:color="auto" w:fill="auto"/>
          </w:tcPr>
          <w:p w14:paraId="365A53E5">
            <w:pPr>
              <w:widowControl/>
              <w:spacing w:line="315" w:lineRule="atLeast"/>
              <w:jc w:val="left"/>
              <w:rPr>
                <w:rFonts w:ascii="Arial" w:hAnsi="Arial" w:cs="Arial"/>
                <w:color w:val="4D4D4D"/>
                <w:kern w:val="0"/>
                <w:szCs w:val="21"/>
              </w:rPr>
            </w:pPr>
            <w:r>
              <w:rPr>
                <w:rFonts w:hint="eastAsia" w:ascii="Arial" w:hAnsi="Arial" w:cs="Arial"/>
                <w:color w:val="4D4D4D"/>
                <w:kern w:val="0"/>
                <w:szCs w:val="21"/>
              </w:rPr>
              <w:t>双向数据 A-</w:t>
            </w:r>
          </w:p>
        </w:tc>
      </w:tr>
      <w:tr w14:paraId="316949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shd w:val="clear" w:color="auto" w:fill="auto"/>
          </w:tcPr>
          <w:p w14:paraId="421B8D3B">
            <w:pPr>
              <w:widowControl/>
              <w:spacing w:line="315" w:lineRule="atLeast"/>
              <w:jc w:val="left"/>
              <w:rPr>
                <w:rFonts w:ascii="Arial" w:hAnsi="Arial" w:cs="Arial"/>
                <w:color w:val="4D4D4D"/>
                <w:kern w:val="0"/>
                <w:szCs w:val="21"/>
              </w:rPr>
            </w:pPr>
            <w:r>
              <w:rPr>
                <w:rFonts w:ascii="Arial" w:hAnsi="Arial" w:cs="Arial"/>
                <w:color w:val="4D4D4D"/>
                <w:kern w:val="0"/>
                <w:szCs w:val="21"/>
              </w:rPr>
              <w:t>3</w:t>
            </w:r>
          </w:p>
        </w:tc>
        <w:tc>
          <w:tcPr>
            <w:tcW w:w="1276" w:type="dxa"/>
            <w:shd w:val="clear" w:color="auto" w:fill="auto"/>
          </w:tcPr>
          <w:p w14:paraId="3605D512">
            <w:pPr>
              <w:widowControl/>
              <w:spacing w:line="315" w:lineRule="atLeast"/>
              <w:jc w:val="left"/>
              <w:rPr>
                <w:rFonts w:ascii="Arial" w:hAnsi="Arial" w:cs="Arial"/>
                <w:color w:val="4D4D4D"/>
                <w:kern w:val="0"/>
                <w:szCs w:val="21"/>
              </w:rPr>
            </w:pPr>
            <w:r>
              <w:rPr>
                <w:rFonts w:hint="eastAsia" w:ascii="Arial" w:hAnsi="Arial" w:cs="Arial"/>
                <w:color w:val="4D4D4D"/>
                <w:kern w:val="0"/>
                <w:szCs w:val="21"/>
              </w:rPr>
              <w:t>RD+</w:t>
            </w:r>
          </w:p>
        </w:tc>
        <w:tc>
          <w:tcPr>
            <w:tcW w:w="2309" w:type="dxa"/>
            <w:shd w:val="clear" w:color="auto" w:fill="auto"/>
          </w:tcPr>
          <w:p w14:paraId="18CBD5B4">
            <w:pPr>
              <w:widowControl/>
              <w:spacing w:line="315" w:lineRule="atLeast"/>
              <w:jc w:val="left"/>
              <w:rPr>
                <w:rFonts w:ascii="Arial" w:hAnsi="Arial" w:cs="Arial"/>
                <w:color w:val="4D4D4D"/>
                <w:kern w:val="0"/>
                <w:szCs w:val="21"/>
              </w:rPr>
            </w:pPr>
            <w:r>
              <w:rPr>
                <w:rFonts w:hint="eastAsia" w:ascii="Arial" w:hAnsi="Arial" w:cs="Arial"/>
                <w:color w:val="4D4D4D"/>
                <w:kern w:val="0"/>
                <w:szCs w:val="21"/>
              </w:rPr>
              <w:t>接收数据+</w:t>
            </w:r>
          </w:p>
        </w:tc>
        <w:tc>
          <w:tcPr>
            <w:tcW w:w="668" w:type="dxa"/>
            <w:shd w:val="clear" w:color="auto" w:fill="auto"/>
          </w:tcPr>
          <w:p w14:paraId="5ED21CC7">
            <w:pPr>
              <w:widowControl/>
              <w:spacing w:line="315" w:lineRule="atLeast"/>
              <w:jc w:val="left"/>
              <w:rPr>
                <w:rFonts w:ascii="Arial" w:hAnsi="Arial" w:cs="Arial"/>
                <w:color w:val="4D4D4D"/>
                <w:kern w:val="0"/>
                <w:szCs w:val="21"/>
              </w:rPr>
            </w:pPr>
            <w:r>
              <w:rPr>
                <w:rFonts w:hint="eastAsia" w:ascii="Arial" w:hAnsi="Arial" w:cs="Arial"/>
                <w:color w:val="4D4D4D"/>
                <w:kern w:val="0"/>
                <w:szCs w:val="21"/>
              </w:rPr>
              <w:t>3</w:t>
            </w:r>
          </w:p>
        </w:tc>
        <w:tc>
          <w:tcPr>
            <w:tcW w:w="1276" w:type="dxa"/>
            <w:shd w:val="clear" w:color="auto" w:fill="auto"/>
          </w:tcPr>
          <w:p w14:paraId="3DA6D596">
            <w:pPr>
              <w:widowControl/>
              <w:spacing w:line="315" w:lineRule="atLeast"/>
              <w:jc w:val="left"/>
              <w:rPr>
                <w:rFonts w:ascii="Arial" w:hAnsi="Arial" w:cs="Arial"/>
                <w:color w:val="4D4D4D"/>
                <w:kern w:val="0"/>
                <w:szCs w:val="21"/>
              </w:rPr>
            </w:pPr>
            <w:r>
              <w:rPr>
                <w:rFonts w:hint="eastAsia" w:ascii="Arial" w:hAnsi="Arial" w:cs="Arial"/>
                <w:color w:val="4D4D4D"/>
                <w:kern w:val="0"/>
                <w:szCs w:val="21"/>
              </w:rPr>
              <w:t>BI_DB+</w:t>
            </w:r>
          </w:p>
        </w:tc>
        <w:tc>
          <w:tcPr>
            <w:tcW w:w="2318" w:type="dxa"/>
            <w:shd w:val="clear" w:color="auto" w:fill="auto"/>
          </w:tcPr>
          <w:p w14:paraId="445CA66C">
            <w:pPr>
              <w:widowControl/>
              <w:spacing w:line="315" w:lineRule="atLeast"/>
              <w:jc w:val="left"/>
              <w:rPr>
                <w:rFonts w:ascii="Arial" w:hAnsi="Arial" w:cs="Arial"/>
                <w:color w:val="4D4D4D"/>
                <w:kern w:val="0"/>
                <w:szCs w:val="21"/>
              </w:rPr>
            </w:pPr>
            <w:r>
              <w:rPr>
                <w:rFonts w:hint="eastAsia" w:ascii="Arial" w:hAnsi="Arial" w:cs="Arial"/>
                <w:color w:val="4D4D4D"/>
                <w:kern w:val="0"/>
                <w:szCs w:val="21"/>
              </w:rPr>
              <w:t>双向数据 B+</w:t>
            </w:r>
          </w:p>
        </w:tc>
      </w:tr>
      <w:tr w14:paraId="0AAEE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shd w:val="clear" w:color="auto" w:fill="auto"/>
          </w:tcPr>
          <w:p w14:paraId="2F2D5D5F">
            <w:pPr>
              <w:widowControl/>
              <w:spacing w:line="315" w:lineRule="atLeast"/>
              <w:jc w:val="left"/>
              <w:rPr>
                <w:rFonts w:ascii="Arial" w:hAnsi="Arial" w:cs="Arial"/>
                <w:color w:val="4D4D4D"/>
                <w:kern w:val="0"/>
                <w:szCs w:val="21"/>
              </w:rPr>
            </w:pPr>
            <w:r>
              <w:rPr>
                <w:rFonts w:ascii="Arial" w:hAnsi="Arial" w:cs="Arial"/>
                <w:color w:val="4D4D4D"/>
                <w:kern w:val="0"/>
                <w:szCs w:val="21"/>
              </w:rPr>
              <w:t>4</w:t>
            </w:r>
          </w:p>
        </w:tc>
        <w:tc>
          <w:tcPr>
            <w:tcW w:w="1276" w:type="dxa"/>
            <w:shd w:val="clear" w:color="auto" w:fill="auto"/>
          </w:tcPr>
          <w:p w14:paraId="7A63D5E8">
            <w:pPr>
              <w:widowControl/>
              <w:spacing w:line="315" w:lineRule="atLeast"/>
              <w:jc w:val="left"/>
              <w:rPr>
                <w:rFonts w:ascii="Arial" w:hAnsi="Arial" w:cs="Arial"/>
                <w:color w:val="4D4D4D"/>
                <w:kern w:val="0"/>
                <w:szCs w:val="21"/>
              </w:rPr>
            </w:pPr>
            <w:r>
              <w:rPr>
                <w:rFonts w:hint="eastAsia"/>
              </w:rPr>
              <w:t>NC</w:t>
            </w:r>
          </w:p>
        </w:tc>
        <w:tc>
          <w:tcPr>
            <w:tcW w:w="2309" w:type="dxa"/>
            <w:shd w:val="clear" w:color="auto" w:fill="auto"/>
          </w:tcPr>
          <w:p w14:paraId="631221A9">
            <w:pPr>
              <w:widowControl/>
              <w:spacing w:line="315" w:lineRule="atLeast"/>
              <w:jc w:val="left"/>
              <w:rPr>
                <w:rFonts w:ascii="Arial" w:hAnsi="Arial" w:cs="Arial"/>
                <w:color w:val="4D4D4D"/>
                <w:kern w:val="0"/>
                <w:szCs w:val="21"/>
              </w:rPr>
            </w:pPr>
            <w:r>
              <w:rPr>
                <w:rFonts w:hint="eastAsia" w:ascii="Arial" w:hAnsi="Arial" w:cs="Arial"/>
                <w:color w:val="4D4D4D"/>
                <w:kern w:val="0"/>
                <w:szCs w:val="21"/>
              </w:rPr>
              <w:t>不使用</w:t>
            </w:r>
          </w:p>
        </w:tc>
        <w:tc>
          <w:tcPr>
            <w:tcW w:w="668" w:type="dxa"/>
            <w:shd w:val="clear" w:color="auto" w:fill="auto"/>
          </w:tcPr>
          <w:p w14:paraId="49A23E50">
            <w:pPr>
              <w:widowControl/>
              <w:spacing w:line="315" w:lineRule="atLeast"/>
              <w:jc w:val="left"/>
              <w:rPr>
                <w:rFonts w:ascii="Arial" w:hAnsi="Arial" w:cs="Arial"/>
                <w:color w:val="4D4D4D"/>
                <w:kern w:val="0"/>
                <w:szCs w:val="21"/>
              </w:rPr>
            </w:pPr>
            <w:r>
              <w:rPr>
                <w:rFonts w:hint="eastAsia" w:ascii="Arial" w:hAnsi="Arial" w:cs="Arial"/>
                <w:color w:val="4D4D4D"/>
                <w:kern w:val="0"/>
                <w:szCs w:val="21"/>
              </w:rPr>
              <w:t>4</w:t>
            </w:r>
          </w:p>
        </w:tc>
        <w:tc>
          <w:tcPr>
            <w:tcW w:w="1276" w:type="dxa"/>
            <w:shd w:val="clear" w:color="auto" w:fill="auto"/>
          </w:tcPr>
          <w:p w14:paraId="703D6ECF">
            <w:pPr>
              <w:widowControl/>
              <w:spacing w:line="315" w:lineRule="atLeast"/>
              <w:jc w:val="left"/>
              <w:rPr>
                <w:rFonts w:ascii="Arial" w:hAnsi="Arial" w:cs="Arial"/>
                <w:color w:val="4D4D4D"/>
                <w:kern w:val="0"/>
                <w:szCs w:val="21"/>
              </w:rPr>
            </w:pPr>
            <w:r>
              <w:rPr>
                <w:rFonts w:hint="eastAsia" w:ascii="Arial" w:hAnsi="Arial" w:cs="Arial"/>
                <w:color w:val="4D4D4D"/>
                <w:kern w:val="0"/>
                <w:szCs w:val="21"/>
              </w:rPr>
              <w:t>BI_DC+</w:t>
            </w:r>
          </w:p>
        </w:tc>
        <w:tc>
          <w:tcPr>
            <w:tcW w:w="2318" w:type="dxa"/>
            <w:shd w:val="clear" w:color="auto" w:fill="auto"/>
          </w:tcPr>
          <w:p w14:paraId="7FD0DCAD">
            <w:pPr>
              <w:widowControl/>
              <w:spacing w:line="315" w:lineRule="atLeast"/>
              <w:jc w:val="left"/>
              <w:rPr>
                <w:rFonts w:ascii="Arial" w:hAnsi="Arial" w:cs="Arial"/>
                <w:color w:val="4D4D4D"/>
                <w:kern w:val="0"/>
                <w:szCs w:val="21"/>
              </w:rPr>
            </w:pPr>
            <w:r>
              <w:rPr>
                <w:rFonts w:hint="eastAsia" w:ascii="Arial" w:hAnsi="Arial" w:cs="Arial"/>
                <w:color w:val="4D4D4D"/>
                <w:kern w:val="0"/>
                <w:szCs w:val="21"/>
              </w:rPr>
              <w:t>双向数据 C+</w:t>
            </w:r>
          </w:p>
        </w:tc>
      </w:tr>
      <w:tr w14:paraId="45C32C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shd w:val="clear" w:color="auto" w:fill="auto"/>
          </w:tcPr>
          <w:p w14:paraId="729B4484">
            <w:pPr>
              <w:widowControl/>
              <w:spacing w:line="315" w:lineRule="atLeast"/>
              <w:jc w:val="left"/>
              <w:rPr>
                <w:rFonts w:ascii="Arial" w:hAnsi="Arial" w:cs="Arial"/>
                <w:color w:val="4D4D4D"/>
                <w:kern w:val="0"/>
                <w:szCs w:val="21"/>
              </w:rPr>
            </w:pPr>
            <w:r>
              <w:rPr>
                <w:rFonts w:ascii="Arial" w:hAnsi="Arial" w:cs="Arial"/>
                <w:color w:val="4D4D4D"/>
                <w:kern w:val="0"/>
                <w:szCs w:val="21"/>
              </w:rPr>
              <w:t>5</w:t>
            </w:r>
          </w:p>
        </w:tc>
        <w:tc>
          <w:tcPr>
            <w:tcW w:w="1276" w:type="dxa"/>
            <w:shd w:val="clear" w:color="auto" w:fill="auto"/>
          </w:tcPr>
          <w:p w14:paraId="49A0733D">
            <w:pPr>
              <w:widowControl/>
              <w:spacing w:line="315" w:lineRule="atLeast"/>
              <w:jc w:val="left"/>
              <w:rPr>
                <w:rFonts w:ascii="Arial" w:hAnsi="Arial" w:cs="Arial"/>
                <w:color w:val="4D4D4D"/>
                <w:kern w:val="0"/>
                <w:szCs w:val="21"/>
              </w:rPr>
            </w:pPr>
            <w:r>
              <w:rPr>
                <w:rFonts w:hint="eastAsia"/>
              </w:rPr>
              <w:t>NC</w:t>
            </w:r>
          </w:p>
        </w:tc>
        <w:tc>
          <w:tcPr>
            <w:tcW w:w="2309" w:type="dxa"/>
            <w:shd w:val="clear" w:color="auto" w:fill="auto"/>
          </w:tcPr>
          <w:p w14:paraId="2B71CB98">
            <w:pPr>
              <w:widowControl/>
              <w:spacing w:line="315" w:lineRule="atLeast"/>
              <w:jc w:val="left"/>
              <w:rPr>
                <w:rFonts w:ascii="Arial" w:hAnsi="Arial" w:cs="Arial"/>
                <w:color w:val="4D4D4D"/>
                <w:kern w:val="0"/>
                <w:szCs w:val="21"/>
              </w:rPr>
            </w:pPr>
            <w:r>
              <w:rPr>
                <w:rFonts w:hint="eastAsia" w:ascii="Arial" w:hAnsi="Arial" w:cs="Arial"/>
                <w:color w:val="4D4D4D"/>
                <w:kern w:val="0"/>
                <w:szCs w:val="21"/>
              </w:rPr>
              <w:t>不使用</w:t>
            </w:r>
          </w:p>
        </w:tc>
        <w:tc>
          <w:tcPr>
            <w:tcW w:w="668" w:type="dxa"/>
            <w:shd w:val="clear" w:color="auto" w:fill="auto"/>
          </w:tcPr>
          <w:p w14:paraId="479C574B">
            <w:pPr>
              <w:widowControl/>
              <w:spacing w:line="315" w:lineRule="atLeast"/>
              <w:jc w:val="left"/>
              <w:rPr>
                <w:rFonts w:ascii="Arial" w:hAnsi="Arial" w:cs="Arial"/>
                <w:color w:val="4D4D4D"/>
                <w:kern w:val="0"/>
                <w:szCs w:val="21"/>
              </w:rPr>
            </w:pPr>
            <w:r>
              <w:rPr>
                <w:rFonts w:hint="eastAsia" w:ascii="Arial" w:hAnsi="Arial" w:cs="Arial"/>
                <w:color w:val="4D4D4D"/>
                <w:kern w:val="0"/>
                <w:szCs w:val="21"/>
              </w:rPr>
              <w:t>5</w:t>
            </w:r>
          </w:p>
        </w:tc>
        <w:tc>
          <w:tcPr>
            <w:tcW w:w="1276" w:type="dxa"/>
            <w:shd w:val="clear" w:color="auto" w:fill="auto"/>
          </w:tcPr>
          <w:p w14:paraId="53CDA040">
            <w:pPr>
              <w:widowControl/>
              <w:spacing w:line="315" w:lineRule="atLeast"/>
              <w:jc w:val="left"/>
              <w:rPr>
                <w:rFonts w:ascii="Arial" w:hAnsi="Arial" w:cs="Arial"/>
                <w:color w:val="4D4D4D"/>
                <w:kern w:val="0"/>
                <w:szCs w:val="21"/>
              </w:rPr>
            </w:pPr>
            <w:r>
              <w:rPr>
                <w:rFonts w:hint="eastAsia" w:ascii="Arial" w:hAnsi="Arial" w:cs="Arial"/>
                <w:color w:val="4D4D4D"/>
                <w:kern w:val="0"/>
                <w:szCs w:val="21"/>
              </w:rPr>
              <w:t>BI_DC-</w:t>
            </w:r>
          </w:p>
        </w:tc>
        <w:tc>
          <w:tcPr>
            <w:tcW w:w="2318" w:type="dxa"/>
            <w:shd w:val="clear" w:color="auto" w:fill="auto"/>
          </w:tcPr>
          <w:p w14:paraId="1289A672">
            <w:pPr>
              <w:widowControl/>
              <w:spacing w:line="315" w:lineRule="atLeast"/>
              <w:jc w:val="left"/>
              <w:rPr>
                <w:rFonts w:ascii="Arial" w:hAnsi="Arial" w:cs="Arial"/>
                <w:color w:val="4D4D4D"/>
                <w:kern w:val="0"/>
                <w:szCs w:val="21"/>
              </w:rPr>
            </w:pPr>
            <w:r>
              <w:rPr>
                <w:rFonts w:hint="eastAsia" w:ascii="Arial" w:hAnsi="Arial" w:cs="Arial"/>
                <w:color w:val="4D4D4D"/>
                <w:kern w:val="0"/>
                <w:szCs w:val="21"/>
              </w:rPr>
              <w:t>双向数据 C-</w:t>
            </w:r>
          </w:p>
        </w:tc>
      </w:tr>
      <w:tr w14:paraId="47771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shd w:val="clear" w:color="auto" w:fill="auto"/>
          </w:tcPr>
          <w:p w14:paraId="6B8255C5">
            <w:pPr>
              <w:widowControl/>
              <w:spacing w:line="315" w:lineRule="atLeast"/>
              <w:jc w:val="left"/>
              <w:rPr>
                <w:rFonts w:ascii="Arial" w:hAnsi="Arial" w:cs="Arial"/>
                <w:color w:val="4D4D4D"/>
                <w:kern w:val="0"/>
                <w:szCs w:val="21"/>
              </w:rPr>
            </w:pPr>
            <w:r>
              <w:rPr>
                <w:rFonts w:ascii="Arial" w:hAnsi="Arial" w:cs="Arial"/>
                <w:color w:val="4D4D4D"/>
                <w:kern w:val="0"/>
                <w:szCs w:val="21"/>
              </w:rPr>
              <w:t>6</w:t>
            </w:r>
          </w:p>
        </w:tc>
        <w:tc>
          <w:tcPr>
            <w:tcW w:w="1276" w:type="dxa"/>
            <w:shd w:val="clear" w:color="auto" w:fill="auto"/>
          </w:tcPr>
          <w:p w14:paraId="022152D8">
            <w:pPr>
              <w:widowControl/>
              <w:spacing w:line="315" w:lineRule="atLeast"/>
              <w:jc w:val="left"/>
              <w:rPr>
                <w:rFonts w:ascii="Arial" w:hAnsi="Arial" w:cs="Arial"/>
                <w:color w:val="4D4D4D"/>
                <w:kern w:val="0"/>
                <w:szCs w:val="21"/>
              </w:rPr>
            </w:pPr>
            <w:r>
              <w:rPr>
                <w:rFonts w:hint="eastAsia"/>
              </w:rPr>
              <w:t>RD-</w:t>
            </w:r>
          </w:p>
        </w:tc>
        <w:tc>
          <w:tcPr>
            <w:tcW w:w="2309" w:type="dxa"/>
            <w:shd w:val="clear" w:color="auto" w:fill="auto"/>
          </w:tcPr>
          <w:p w14:paraId="5373C7B7">
            <w:pPr>
              <w:widowControl/>
              <w:spacing w:line="315" w:lineRule="atLeast"/>
              <w:jc w:val="left"/>
              <w:rPr>
                <w:rFonts w:ascii="Arial" w:hAnsi="Arial" w:cs="Arial"/>
                <w:color w:val="4D4D4D"/>
                <w:kern w:val="0"/>
                <w:szCs w:val="21"/>
              </w:rPr>
            </w:pPr>
            <w:r>
              <w:rPr>
                <w:rFonts w:hint="eastAsia" w:ascii="Arial" w:hAnsi="Arial" w:cs="Arial"/>
                <w:color w:val="4D4D4D"/>
                <w:kern w:val="0"/>
                <w:szCs w:val="21"/>
              </w:rPr>
              <w:t xml:space="preserve">接收数据- </w:t>
            </w:r>
          </w:p>
        </w:tc>
        <w:tc>
          <w:tcPr>
            <w:tcW w:w="668" w:type="dxa"/>
            <w:shd w:val="clear" w:color="auto" w:fill="auto"/>
          </w:tcPr>
          <w:p w14:paraId="1BC18782">
            <w:pPr>
              <w:widowControl/>
              <w:spacing w:line="315" w:lineRule="atLeast"/>
              <w:jc w:val="left"/>
              <w:rPr>
                <w:rFonts w:ascii="Arial" w:hAnsi="Arial" w:cs="Arial"/>
                <w:color w:val="4D4D4D"/>
                <w:kern w:val="0"/>
                <w:szCs w:val="21"/>
              </w:rPr>
            </w:pPr>
            <w:r>
              <w:rPr>
                <w:rFonts w:hint="eastAsia" w:ascii="Arial" w:hAnsi="Arial" w:cs="Arial"/>
                <w:color w:val="4D4D4D"/>
                <w:kern w:val="0"/>
                <w:szCs w:val="21"/>
              </w:rPr>
              <w:t>6</w:t>
            </w:r>
          </w:p>
        </w:tc>
        <w:tc>
          <w:tcPr>
            <w:tcW w:w="1276" w:type="dxa"/>
            <w:shd w:val="clear" w:color="auto" w:fill="auto"/>
          </w:tcPr>
          <w:p w14:paraId="6A785067">
            <w:pPr>
              <w:widowControl/>
              <w:spacing w:line="315" w:lineRule="atLeast"/>
              <w:jc w:val="left"/>
              <w:rPr>
                <w:rFonts w:ascii="Arial" w:hAnsi="Arial" w:cs="Arial"/>
                <w:color w:val="4D4D4D"/>
                <w:kern w:val="0"/>
                <w:szCs w:val="21"/>
              </w:rPr>
            </w:pPr>
            <w:r>
              <w:rPr>
                <w:rFonts w:hint="eastAsia" w:ascii="Arial" w:hAnsi="Arial" w:cs="Arial"/>
                <w:color w:val="4D4D4D"/>
                <w:kern w:val="0"/>
                <w:szCs w:val="21"/>
              </w:rPr>
              <w:t>BI_DB-</w:t>
            </w:r>
          </w:p>
        </w:tc>
        <w:tc>
          <w:tcPr>
            <w:tcW w:w="2318" w:type="dxa"/>
            <w:shd w:val="clear" w:color="auto" w:fill="auto"/>
          </w:tcPr>
          <w:p w14:paraId="24B178E1">
            <w:pPr>
              <w:widowControl/>
              <w:spacing w:line="315" w:lineRule="atLeast"/>
              <w:jc w:val="left"/>
              <w:rPr>
                <w:rFonts w:ascii="Arial" w:hAnsi="Arial" w:cs="Arial"/>
                <w:color w:val="4D4D4D"/>
                <w:kern w:val="0"/>
                <w:szCs w:val="21"/>
              </w:rPr>
            </w:pPr>
            <w:r>
              <w:rPr>
                <w:rFonts w:hint="eastAsia" w:ascii="Arial" w:hAnsi="Arial" w:cs="Arial"/>
                <w:color w:val="4D4D4D"/>
                <w:kern w:val="0"/>
                <w:szCs w:val="21"/>
              </w:rPr>
              <w:t>双向数据 B-</w:t>
            </w:r>
          </w:p>
        </w:tc>
      </w:tr>
      <w:tr w14:paraId="53F86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shd w:val="clear" w:color="auto" w:fill="auto"/>
          </w:tcPr>
          <w:p w14:paraId="3E49E98E">
            <w:pPr>
              <w:widowControl/>
              <w:spacing w:line="315" w:lineRule="atLeast"/>
              <w:jc w:val="left"/>
              <w:rPr>
                <w:rFonts w:ascii="Arial" w:hAnsi="Arial" w:cs="Arial"/>
                <w:color w:val="4D4D4D"/>
                <w:kern w:val="0"/>
                <w:szCs w:val="21"/>
              </w:rPr>
            </w:pPr>
            <w:r>
              <w:rPr>
                <w:rFonts w:ascii="Arial" w:hAnsi="Arial" w:cs="Arial"/>
                <w:color w:val="4D4D4D"/>
                <w:kern w:val="0"/>
                <w:szCs w:val="21"/>
              </w:rPr>
              <w:t>7</w:t>
            </w:r>
          </w:p>
        </w:tc>
        <w:tc>
          <w:tcPr>
            <w:tcW w:w="1276" w:type="dxa"/>
            <w:shd w:val="clear" w:color="auto" w:fill="auto"/>
          </w:tcPr>
          <w:p w14:paraId="3491BF75">
            <w:pPr>
              <w:widowControl/>
              <w:spacing w:line="315" w:lineRule="atLeast"/>
              <w:jc w:val="left"/>
              <w:rPr>
                <w:rFonts w:ascii="Arial" w:hAnsi="Arial" w:cs="Arial"/>
                <w:color w:val="4D4D4D"/>
                <w:kern w:val="0"/>
                <w:szCs w:val="21"/>
              </w:rPr>
            </w:pPr>
            <w:r>
              <w:rPr>
                <w:rFonts w:hint="eastAsia" w:ascii="Arial" w:hAnsi="Arial" w:cs="Arial"/>
                <w:color w:val="4D4D4D"/>
                <w:kern w:val="0"/>
                <w:szCs w:val="21"/>
              </w:rPr>
              <w:t>NC</w:t>
            </w:r>
          </w:p>
        </w:tc>
        <w:tc>
          <w:tcPr>
            <w:tcW w:w="2309" w:type="dxa"/>
            <w:shd w:val="clear" w:color="auto" w:fill="auto"/>
          </w:tcPr>
          <w:p w14:paraId="566AC14C">
            <w:pPr>
              <w:widowControl/>
              <w:spacing w:line="315" w:lineRule="atLeast"/>
              <w:jc w:val="left"/>
              <w:rPr>
                <w:rFonts w:ascii="Arial" w:hAnsi="Arial" w:cs="Arial"/>
                <w:color w:val="4D4D4D"/>
                <w:kern w:val="0"/>
                <w:szCs w:val="21"/>
              </w:rPr>
            </w:pPr>
            <w:r>
              <w:rPr>
                <w:rFonts w:hint="eastAsia" w:ascii="Arial" w:hAnsi="Arial" w:cs="Arial"/>
                <w:color w:val="4D4D4D"/>
                <w:kern w:val="0"/>
                <w:szCs w:val="21"/>
              </w:rPr>
              <w:t>不使用</w:t>
            </w:r>
          </w:p>
        </w:tc>
        <w:tc>
          <w:tcPr>
            <w:tcW w:w="668" w:type="dxa"/>
            <w:shd w:val="clear" w:color="auto" w:fill="auto"/>
          </w:tcPr>
          <w:p w14:paraId="5886599F">
            <w:pPr>
              <w:widowControl/>
              <w:spacing w:line="315" w:lineRule="atLeast"/>
              <w:jc w:val="left"/>
              <w:rPr>
                <w:rFonts w:ascii="Arial" w:hAnsi="Arial" w:cs="Arial"/>
                <w:color w:val="4D4D4D"/>
                <w:kern w:val="0"/>
                <w:szCs w:val="21"/>
              </w:rPr>
            </w:pPr>
            <w:r>
              <w:rPr>
                <w:rFonts w:hint="eastAsia" w:ascii="Arial" w:hAnsi="Arial" w:cs="Arial"/>
                <w:color w:val="4D4D4D"/>
                <w:kern w:val="0"/>
                <w:szCs w:val="21"/>
              </w:rPr>
              <w:t>7</w:t>
            </w:r>
          </w:p>
        </w:tc>
        <w:tc>
          <w:tcPr>
            <w:tcW w:w="1276" w:type="dxa"/>
            <w:shd w:val="clear" w:color="auto" w:fill="auto"/>
          </w:tcPr>
          <w:p w14:paraId="352920DF">
            <w:pPr>
              <w:widowControl/>
              <w:spacing w:line="315" w:lineRule="atLeast"/>
              <w:jc w:val="left"/>
              <w:rPr>
                <w:rFonts w:ascii="Arial" w:hAnsi="Arial" w:cs="Arial"/>
                <w:color w:val="4D4D4D"/>
                <w:kern w:val="0"/>
                <w:szCs w:val="21"/>
              </w:rPr>
            </w:pPr>
            <w:r>
              <w:rPr>
                <w:rFonts w:hint="eastAsia" w:ascii="Arial" w:hAnsi="Arial" w:cs="Arial"/>
                <w:color w:val="4D4D4D"/>
                <w:kern w:val="0"/>
                <w:szCs w:val="21"/>
              </w:rPr>
              <w:t>BI_DD+</w:t>
            </w:r>
          </w:p>
        </w:tc>
        <w:tc>
          <w:tcPr>
            <w:tcW w:w="2318" w:type="dxa"/>
            <w:shd w:val="clear" w:color="auto" w:fill="auto"/>
          </w:tcPr>
          <w:p w14:paraId="05DEEB60">
            <w:pPr>
              <w:widowControl/>
              <w:spacing w:line="315" w:lineRule="atLeast"/>
              <w:jc w:val="left"/>
              <w:rPr>
                <w:rFonts w:ascii="Arial" w:hAnsi="Arial" w:cs="Arial"/>
                <w:color w:val="4D4D4D"/>
                <w:kern w:val="0"/>
                <w:szCs w:val="21"/>
              </w:rPr>
            </w:pPr>
            <w:r>
              <w:rPr>
                <w:rFonts w:hint="eastAsia" w:ascii="Arial" w:hAnsi="Arial" w:cs="Arial"/>
                <w:color w:val="4D4D4D"/>
                <w:kern w:val="0"/>
                <w:szCs w:val="21"/>
              </w:rPr>
              <w:t>双向数据 D+</w:t>
            </w:r>
          </w:p>
        </w:tc>
      </w:tr>
      <w:tr w14:paraId="74507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shd w:val="clear" w:color="auto" w:fill="auto"/>
          </w:tcPr>
          <w:p w14:paraId="7B5F2A86">
            <w:pPr>
              <w:widowControl/>
              <w:spacing w:line="315" w:lineRule="atLeast"/>
              <w:jc w:val="left"/>
              <w:rPr>
                <w:rFonts w:ascii="Arial" w:hAnsi="Arial" w:cs="Arial"/>
                <w:color w:val="4D4D4D"/>
                <w:kern w:val="0"/>
                <w:szCs w:val="21"/>
              </w:rPr>
            </w:pPr>
            <w:r>
              <w:rPr>
                <w:rFonts w:ascii="Arial" w:hAnsi="Arial" w:cs="Arial"/>
                <w:color w:val="4D4D4D"/>
                <w:kern w:val="0"/>
                <w:szCs w:val="21"/>
              </w:rPr>
              <w:t>8</w:t>
            </w:r>
          </w:p>
        </w:tc>
        <w:tc>
          <w:tcPr>
            <w:tcW w:w="1276" w:type="dxa"/>
            <w:shd w:val="clear" w:color="auto" w:fill="auto"/>
          </w:tcPr>
          <w:p w14:paraId="0CEF4581">
            <w:pPr>
              <w:widowControl/>
              <w:spacing w:line="315" w:lineRule="atLeast"/>
              <w:jc w:val="left"/>
              <w:rPr>
                <w:rFonts w:ascii="Arial" w:hAnsi="Arial" w:cs="Arial"/>
                <w:color w:val="4D4D4D"/>
                <w:kern w:val="0"/>
                <w:szCs w:val="21"/>
              </w:rPr>
            </w:pPr>
            <w:r>
              <w:rPr>
                <w:rFonts w:hint="eastAsia"/>
              </w:rPr>
              <w:t>NC</w:t>
            </w:r>
          </w:p>
        </w:tc>
        <w:tc>
          <w:tcPr>
            <w:tcW w:w="2309" w:type="dxa"/>
            <w:shd w:val="clear" w:color="auto" w:fill="auto"/>
          </w:tcPr>
          <w:p w14:paraId="524A0BDA">
            <w:pPr>
              <w:widowControl/>
              <w:spacing w:line="315" w:lineRule="atLeast"/>
              <w:jc w:val="left"/>
              <w:rPr>
                <w:rFonts w:ascii="Arial" w:hAnsi="Arial" w:cs="Arial"/>
                <w:color w:val="4D4D4D"/>
                <w:kern w:val="0"/>
                <w:szCs w:val="21"/>
              </w:rPr>
            </w:pPr>
            <w:r>
              <w:rPr>
                <w:rFonts w:hint="eastAsia" w:ascii="Arial" w:hAnsi="Arial" w:cs="Arial"/>
                <w:color w:val="4D4D4D"/>
                <w:kern w:val="0"/>
                <w:szCs w:val="21"/>
              </w:rPr>
              <w:t>不使用</w:t>
            </w:r>
          </w:p>
        </w:tc>
        <w:tc>
          <w:tcPr>
            <w:tcW w:w="668" w:type="dxa"/>
            <w:shd w:val="clear" w:color="auto" w:fill="auto"/>
          </w:tcPr>
          <w:p w14:paraId="7DB5878D">
            <w:pPr>
              <w:widowControl/>
              <w:spacing w:line="315" w:lineRule="atLeast"/>
              <w:jc w:val="left"/>
              <w:rPr>
                <w:rFonts w:ascii="Arial" w:hAnsi="Arial" w:cs="Arial"/>
                <w:color w:val="4D4D4D"/>
                <w:kern w:val="0"/>
                <w:szCs w:val="21"/>
              </w:rPr>
            </w:pPr>
            <w:r>
              <w:rPr>
                <w:rFonts w:hint="eastAsia" w:ascii="Arial" w:hAnsi="Arial" w:cs="Arial"/>
                <w:color w:val="4D4D4D"/>
                <w:kern w:val="0"/>
                <w:szCs w:val="21"/>
              </w:rPr>
              <w:t>8</w:t>
            </w:r>
          </w:p>
        </w:tc>
        <w:tc>
          <w:tcPr>
            <w:tcW w:w="1276" w:type="dxa"/>
            <w:shd w:val="clear" w:color="auto" w:fill="auto"/>
          </w:tcPr>
          <w:p w14:paraId="381E38DD">
            <w:pPr>
              <w:widowControl/>
              <w:spacing w:line="315" w:lineRule="atLeast"/>
              <w:jc w:val="left"/>
              <w:rPr>
                <w:rFonts w:ascii="Arial" w:hAnsi="Arial" w:cs="Arial"/>
                <w:color w:val="4D4D4D"/>
                <w:kern w:val="0"/>
                <w:szCs w:val="21"/>
              </w:rPr>
            </w:pPr>
            <w:r>
              <w:rPr>
                <w:rFonts w:hint="eastAsia" w:ascii="Arial" w:hAnsi="Arial" w:cs="Arial"/>
                <w:color w:val="4D4D4D"/>
                <w:kern w:val="0"/>
                <w:szCs w:val="21"/>
              </w:rPr>
              <w:t>BI_DD-</w:t>
            </w:r>
          </w:p>
        </w:tc>
        <w:tc>
          <w:tcPr>
            <w:tcW w:w="2318" w:type="dxa"/>
            <w:shd w:val="clear" w:color="auto" w:fill="auto"/>
          </w:tcPr>
          <w:p w14:paraId="7A784DE0">
            <w:pPr>
              <w:widowControl/>
              <w:spacing w:line="315" w:lineRule="atLeast"/>
              <w:jc w:val="left"/>
              <w:rPr>
                <w:rFonts w:ascii="Arial" w:hAnsi="Arial" w:cs="Arial"/>
                <w:color w:val="4D4D4D"/>
                <w:kern w:val="0"/>
                <w:szCs w:val="21"/>
              </w:rPr>
            </w:pPr>
            <w:r>
              <w:rPr>
                <w:rFonts w:hint="eastAsia" w:ascii="Arial" w:hAnsi="Arial" w:cs="Arial"/>
                <w:color w:val="4D4D4D"/>
                <w:kern w:val="0"/>
                <w:szCs w:val="21"/>
              </w:rPr>
              <w:t>双向数据 D-</w:t>
            </w:r>
          </w:p>
        </w:tc>
      </w:tr>
    </w:tbl>
    <w:p w14:paraId="124BC2B8">
      <w:pPr>
        <w:rPr>
          <w:rFonts w:hint="default" w:ascii="宋体" w:hAnsi="宋体" w:cs="宋体"/>
          <w:kern w:val="0"/>
          <w:szCs w:val="21"/>
          <w:lang w:val="en-US" w:eastAsia="zh-CN"/>
        </w:rPr>
      </w:pPr>
    </w:p>
    <w:p w14:paraId="5046ACCF">
      <w:pPr>
        <w:rPr>
          <w:rFonts w:hint="default" w:ascii="宋体" w:hAnsi="宋体" w:cs="宋体"/>
          <w:kern w:val="0"/>
          <w:szCs w:val="21"/>
          <w:lang w:val="en-US" w:eastAsia="zh-CN"/>
        </w:rPr>
      </w:pPr>
      <w:r>
        <w:rPr>
          <w:rFonts w:hint="eastAsia" w:ascii="宋体" w:hAnsi="宋体" w:cs="宋体"/>
          <w:kern w:val="0"/>
          <w:szCs w:val="21"/>
          <w:lang w:val="en-US" w:eastAsia="zh-CN"/>
        </w:rPr>
        <w:t>3.</w:t>
      </w:r>
      <w:r>
        <w:rPr>
          <w:rFonts w:hint="default" w:ascii="宋体" w:hAnsi="宋体" w:cs="宋体"/>
          <w:kern w:val="0"/>
          <w:szCs w:val="21"/>
          <w:lang w:val="en-US" w:eastAsia="zh-CN"/>
        </w:rPr>
        <w:t>T568A 连线标准</w:t>
      </w:r>
    </w:p>
    <w:p w14:paraId="5EA21134">
      <w:r>
        <w:rPr>
          <w:rFonts w:hint="default" w:ascii="宋体" w:hAnsi="宋体" w:cs="宋体"/>
          <w:kern w:val="0"/>
          <w:szCs w:val="21"/>
          <w:lang w:val="en-US" w:eastAsia="zh-CN"/>
        </w:rPr>
        <w:t>T568A 是 EIA／TIA-568 规定的布线标准之一，其线序自左至右依次为：</w:t>
      </w:r>
      <w:r>
        <w:rPr>
          <w:rFonts w:hint="default" w:ascii="宋体" w:hAnsi="宋体" w:cs="宋体"/>
          <w:kern w:val="0"/>
          <w:szCs w:val="21"/>
          <w:lang w:val="en-US" w:eastAsia="zh-CN"/>
        </w:rPr>
        <w:br w:type="textWrapping"/>
      </w:r>
      <w:r>
        <w:rPr>
          <w:rFonts w:hint="default" w:ascii="宋体" w:hAnsi="宋体" w:cs="宋体"/>
          <w:kern w:val="0"/>
          <w:szCs w:val="21"/>
          <w:lang w:val="en-US" w:eastAsia="zh-CN"/>
        </w:rPr>
        <w:t>白绿、绿、白橙、蓝、白蓝、橙、白棕、</w:t>
      </w:r>
      <w:r>
        <w:rPr>
          <w:rFonts w:hint="default" w:ascii="宋体" w:hAnsi="宋体" w:cs="宋体" w:eastAsiaTheme="minorEastAsia"/>
          <w:b w:val="0"/>
          <w:bCs w:val="0"/>
          <w:kern w:val="0"/>
          <w:sz w:val="21"/>
          <w:szCs w:val="21"/>
          <w:lang w:val="en-US" w:eastAsia="zh-CN" w:bidi="ar-SA"/>
        </w:rPr>
        <w:t>棕。</w:t>
      </w:r>
      <w:r>
        <w:rPr>
          <w:rFonts w:hint="default" w:ascii="宋体" w:hAnsi="宋体" w:cs="宋体" w:eastAsiaTheme="minorEastAsia"/>
          <w:b w:val="0"/>
          <w:bCs w:val="0"/>
          <w:kern w:val="0"/>
          <w:sz w:val="21"/>
          <w:szCs w:val="21"/>
          <w:lang w:val="en-US" w:eastAsia="zh-CN" w:bidi="ar-SA"/>
        </w:rPr>
        <w:br w:type="textWrapping"/>
      </w:r>
      <w:r>
        <w:rPr>
          <w:rFonts w:hint="default" w:ascii="宋体" w:hAnsi="宋体" w:cs="宋体" w:eastAsiaTheme="minorEastAsia"/>
          <w:b w:val="0"/>
          <w:bCs w:val="0"/>
          <w:kern w:val="0"/>
          <w:sz w:val="21"/>
          <w:szCs w:val="21"/>
          <w:lang w:val="en-US" w:eastAsia="zh-CN" w:bidi="ar-SA"/>
        </w:rPr>
        <w:t>该标准通常用于住宅或政府系统的布线，与早期电话线兼容性较好。</w:t>
      </w:r>
      <w:r>
        <w:rPr>
          <w:rFonts w:hint="default" w:ascii="宋体" w:hAnsi="宋体" w:cs="宋体" w:eastAsiaTheme="minorEastAsia"/>
          <w:b w:val="0"/>
          <w:bCs w:val="0"/>
          <w:kern w:val="0"/>
          <w:sz w:val="21"/>
          <w:szCs w:val="21"/>
          <w:lang w:val="en-US" w:eastAsia="zh-CN" w:bidi="ar-SA"/>
        </w:rPr>
        <w:br w:type="textWrapping"/>
      </w:r>
      <w:r>
        <w:rPr>
          <w:rFonts w:hint="default" w:ascii="宋体" w:hAnsi="宋体" w:cs="宋体" w:eastAsiaTheme="minorEastAsia"/>
          <w:b w:val="0"/>
          <w:bCs w:val="0"/>
          <w:kern w:val="0"/>
          <w:sz w:val="21"/>
          <w:szCs w:val="21"/>
          <w:lang w:val="en-US" w:eastAsia="zh-CN" w:bidi="ar-SA"/>
        </w:rPr>
        <w:t>在 T568A 线序中，1、2 脚为发送端，3、6 脚为接收端，符合 10/100Base-T 的信号定义。</w:t>
      </w:r>
      <w:r>
        <w:drawing>
          <wp:inline distT="0" distB="0" distL="114300" distR="114300">
            <wp:extent cx="5271135" cy="1992630"/>
            <wp:effectExtent l="0" t="0" r="12065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99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35F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T568B 连线标准</w:t>
      </w:r>
    </w:p>
    <w:p w14:paraId="1E051A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T568B 标准是目前应用最广的接线方式，其线序自左至右依次为：</w:t>
      </w:r>
    </w:p>
    <w:p w14:paraId="253B50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白橙、橙、白绿、蓝、白蓝、绿、白棕、棕。</w:t>
      </w:r>
    </w:p>
    <w:p w14:paraId="47A8BB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T568B 结构与 T568A 的区别在于橙绿线对位置互换。该标准多用于企业局域网及网络设备之间的连接。</w:t>
      </w:r>
    </w:p>
    <w:p w14:paraId="7EEA63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当两端均采用相同标准如两端均为 T568B时，为直通线；当一端为 T568A，另一端为 T568B 时，则为交叉线，用于同类设备直连。</w:t>
      </w:r>
    </w:p>
    <w:p w14:paraId="2C8A79E7">
      <w:r>
        <w:drawing>
          <wp:inline distT="0" distB="0" distL="114300" distR="114300">
            <wp:extent cx="5270500" cy="1863090"/>
            <wp:effectExtent l="0" t="0" r="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6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DADAA">
      <w:pPr>
        <w:rPr>
          <w:rFonts w:hint="eastAsia"/>
          <w:lang w:val="en-US" w:eastAsia="zh-CN"/>
        </w:rPr>
      </w:pPr>
    </w:p>
    <w:p w14:paraId="6C894C80">
      <w:pPr>
        <w:rPr>
          <w:rFonts w:ascii="宋体" w:hAnsi="宋体" w:cs="宋体"/>
          <w:kern w:val="0"/>
          <w:szCs w:val="21"/>
        </w:rPr>
      </w:pPr>
      <w:r>
        <w:rPr>
          <w:rFonts w:ascii="宋体" w:hAnsi="宋体" w:cs="宋体"/>
          <w:kern w:val="0"/>
          <w:szCs w:val="21"/>
        </w:rPr>
        <w:t>5. 直通线与交叉线的制作与测试</w:t>
      </w:r>
    </w:p>
    <w:p w14:paraId="409EBE46">
      <w:pPr>
        <w:rPr>
          <w:rFonts w:ascii="宋体" w:hAnsi="宋体" w:cs="宋体"/>
          <w:kern w:val="0"/>
          <w:szCs w:val="21"/>
        </w:rPr>
      </w:pPr>
      <w:r>
        <w:rPr>
          <w:rFonts w:ascii="宋体" w:hAnsi="宋体" w:cs="宋体"/>
          <w:kern w:val="0"/>
          <w:szCs w:val="21"/>
        </w:rPr>
        <w:t>本实验以 100 Mb/s 的 EIA／TIA-568B 作为标准，制作直通线，步骤如下：</w:t>
      </w:r>
    </w:p>
    <w:p w14:paraId="5B41329D">
      <w:pPr>
        <w:rPr>
          <w:rFonts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  <w:lang w:eastAsia="zh-CN"/>
        </w:rPr>
        <w:t>（</w:t>
      </w:r>
      <w:r>
        <w:rPr>
          <w:rFonts w:hint="eastAsia" w:ascii="宋体" w:hAnsi="宋体" w:cs="宋体"/>
          <w:kern w:val="0"/>
          <w:szCs w:val="21"/>
          <w:lang w:val="en-US" w:eastAsia="zh-CN"/>
        </w:rPr>
        <w:t>1</w:t>
      </w:r>
      <w:r>
        <w:rPr>
          <w:rFonts w:hint="eastAsia" w:ascii="宋体" w:hAnsi="宋体" w:cs="宋体"/>
          <w:kern w:val="0"/>
          <w:szCs w:val="21"/>
          <w:lang w:eastAsia="zh-CN"/>
        </w:rPr>
        <w:t>）</w:t>
      </w:r>
      <w:r>
        <w:rPr>
          <w:rFonts w:ascii="宋体" w:hAnsi="宋体" w:cs="宋体"/>
          <w:kern w:val="0"/>
          <w:szCs w:val="21"/>
        </w:rPr>
        <w:t>使用剪刀或斜口钳裁取合适长度的双绞线（一般 0.6 m 至 100 m 之间）。</w:t>
      </w:r>
    </w:p>
    <w:p w14:paraId="442FD149">
      <w:pPr>
        <w:rPr>
          <w:rFonts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  <w:lang w:eastAsia="zh-CN"/>
        </w:rPr>
        <w:t>（</w:t>
      </w:r>
      <w:r>
        <w:rPr>
          <w:rFonts w:hint="eastAsia" w:ascii="宋体" w:hAnsi="宋体" w:cs="宋体"/>
          <w:kern w:val="0"/>
          <w:szCs w:val="21"/>
          <w:lang w:val="en-US" w:eastAsia="zh-CN"/>
        </w:rPr>
        <w:t>2</w:t>
      </w:r>
      <w:r>
        <w:rPr>
          <w:rFonts w:hint="eastAsia" w:ascii="宋体" w:hAnsi="宋体" w:cs="宋体"/>
          <w:kern w:val="0"/>
          <w:szCs w:val="21"/>
          <w:lang w:eastAsia="zh-CN"/>
        </w:rPr>
        <w:t>）</w:t>
      </w:r>
      <w:r>
        <w:rPr>
          <w:rFonts w:ascii="宋体" w:hAnsi="宋体" w:cs="宋体"/>
          <w:kern w:val="0"/>
          <w:szCs w:val="21"/>
        </w:rPr>
        <w:t>使用剥线器剥除外皮约 2–3 cm，露出内部四对双绞线。</w:t>
      </w:r>
    </w:p>
    <w:p w14:paraId="12B4D65B">
      <w:pPr>
        <w:rPr>
          <w:rFonts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  <w:lang w:eastAsia="zh-CN"/>
        </w:rPr>
        <w:t>（</w:t>
      </w:r>
      <w:r>
        <w:rPr>
          <w:rFonts w:hint="eastAsia" w:ascii="宋体" w:hAnsi="宋体" w:cs="宋体"/>
          <w:kern w:val="0"/>
          <w:szCs w:val="21"/>
          <w:lang w:val="en-US" w:eastAsia="zh-CN"/>
        </w:rPr>
        <w:t>3</w:t>
      </w:r>
      <w:r>
        <w:rPr>
          <w:rFonts w:hint="eastAsia" w:ascii="宋体" w:hAnsi="宋体" w:cs="宋体"/>
          <w:kern w:val="0"/>
          <w:szCs w:val="21"/>
          <w:lang w:eastAsia="zh-CN"/>
        </w:rPr>
        <w:t>）</w:t>
      </w:r>
      <w:r>
        <w:rPr>
          <w:rFonts w:ascii="宋体" w:hAnsi="宋体" w:cs="宋体"/>
          <w:kern w:val="0"/>
          <w:szCs w:val="21"/>
        </w:rPr>
        <w:t>将线对轻轻拨开、理顺，并按标准线序排列。橙线对置于最左侧，绿色对位于中间，棕色对置于最右，蓝线对位于中间靠内侧。</w:t>
      </w:r>
    </w:p>
    <w:p w14:paraId="0DA78CC5">
      <w:pPr>
        <w:rPr>
          <w:rFonts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  <w:lang w:eastAsia="zh-CN"/>
        </w:rPr>
        <w:t>（</w:t>
      </w:r>
      <w:r>
        <w:rPr>
          <w:rFonts w:hint="eastAsia" w:ascii="宋体" w:hAnsi="宋体" w:cs="宋体"/>
          <w:kern w:val="0"/>
          <w:szCs w:val="21"/>
          <w:lang w:val="en-US" w:eastAsia="zh-CN"/>
        </w:rPr>
        <w:t>4</w:t>
      </w:r>
      <w:r>
        <w:rPr>
          <w:rFonts w:hint="eastAsia" w:ascii="宋体" w:hAnsi="宋体" w:cs="宋体"/>
          <w:kern w:val="0"/>
          <w:szCs w:val="21"/>
          <w:lang w:eastAsia="zh-CN"/>
        </w:rPr>
        <w:t>）</w:t>
      </w:r>
      <w:r>
        <w:rPr>
          <w:rFonts w:ascii="宋体" w:hAnsi="宋体" w:cs="宋体"/>
          <w:kern w:val="0"/>
          <w:szCs w:val="21"/>
        </w:rPr>
        <w:t>保持线序不乱，将八根导线剪齐，裸露长度约 14 mm。</w:t>
      </w:r>
    </w:p>
    <w:p w14:paraId="0E5EBE1A">
      <w:pPr>
        <w:rPr>
          <w:rFonts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  <w:lang w:eastAsia="zh-CN"/>
        </w:rPr>
        <w:t>（</w:t>
      </w:r>
      <w:r>
        <w:rPr>
          <w:rFonts w:hint="eastAsia" w:ascii="宋体" w:hAnsi="宋体" w:cs="宋体"/>
          <w:kern w:val="0"/>
          <w:szCs w:val="21"/>
          <w:lang w:val="en-US" w:eastAsia="zh-CN"/>
        </w:rPr>
        <w:t>5</w:t>
      </w:r>
      <w:r>
        <w:rPr>
          <w:rFonts w:hint="eastAsia" w:ascii="宋体" w:hAnsi="宋体" w:cs="宋体"/>
          <w:kern w:val="0"/>
          <w:szCs w:val="21"/>
          <w:lang w:eastAsia="zh-CN"/>
        </w:rPr>
        <w:t>）</w:t>
      </w:r>
      <w:r>
        <w:rPr>
          <w:rFonts w:ascii="宋体" w:hAnsi="宋体" w:cs="宋体"/>
          <w:kern w:val="0"/>
          <w:szCs w:val="21"/>
        </w:rPr>
        <w:t>按照 T568B 顺序插入 RJ-45 接头对应的金属槽中，确保每根线到底。</w:t>
      </w:r>
    </w:p>
    <w:p w14:paraId="64A63308">
      <w:pPr>
        <w:rPr>
          <w:rFonts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  <w:lang w:eastAsia="zh-CN"/>
        </w:rPr>
        <w:t>（</w:t>
      </w:r>
      <w:r>
        <w:rPr>
          <w:rFonts w:hint="eastAsia" w:ascii="宋体" w:hAnsi="宋体" w:cs="宋体"/>
          <w:kern w:val="0"/>
          <w:szCs w:val="21"/>
          <w:lang w:val="en-US" w:eastAsia="zh-CN"/>
        </w:rPr>
        <w:t>6</w:t>
      </w:r>
      <w:r>
        <w:rPr>
          <w:rFonts w:hint="eastAsia" w:ascii="宋体" w:hAnsi="宋体" w:cs="宋体"/>
          <w:kern w:val="0"/>
          <w:szCs w:val="21"/>
          <w:lang w:eastAsia="zh-CN"/>
        </w:rPr>
        <w:t>）</w:t>
      </w:r>
      <w:r>
        <w:rPr>
          <w:rFonts w:ascii="宋体" w:hAnsi="宋体" w:cs="宋体"/>
          <w:kern w:val="0"/>
          <w:szCs w:val="21"/>
        </w:rPr>
        <w:t>使用 RJ-45 压线钳进行压接，使金属触点牢固压入导线。</w:t>
      </w:r>
    </w:p>
    <w:p w14:paraId="03CB7F1C">
      <w:pPr>
        <w:rPr>
          <w:rFonts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  <w:lang w:eastAsia="zh-CN"/>
        </w:rPr>
        <w:t>（</w:t>
      </w:r>
      <w:r>
        <w:rPr>
          <w:rFonts w:hint="eastAsia" w:ascii="宋体" w:hAnsi="宋体" w:cs="宋体"/>
          <w:kern w:val="0"/>
          <w:szCs w:val="21"/>
          <w:lang w:val="en-US" w:eastAsia="zh-CN"/>
        </w:rPr>
        <w:t>7</w:t>
      </w:r>
      <w:r>
        <w:rPr>
          <w:rFonts w:hint="eastAsia" w:ascii="宋体" w:hAnsi="宋体" w:cs="宋体"/>
          <w:kern w:val="0"/>
          <w:szCs w:val="21"/>
          <w:lang w:eastAsia="zh-CN"/>
        </w:rPr>
        <w:t>）</w:t>
      </w:r>
      <w:r>
        <w:rPr>
          <w:rFonts w:ascii="宋体" w:hAnsi="宋体" w:cs="宋体"/>
          <w:kern w:val="0"/>
          <w:szCs w:val="21"/>
        </w:rPr>
        <w:t>另一端重复上述步骤，保持两端线序一致，以形成直通线结构。</w:t>
      </w:r>
    </w:p>
    <w:p w14:paraId="6A56CDAE">
      <w:pPr>
        <w:rPr>
          <w:rFonts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  <w:lang w:eastAsia="zh-CN"/>
        </w:rPr>
        <w:t>（</w:t>
      </w:r>
      <w:r>
        <w:rPr>
          <w:rFonts w:hint="eastAsia" w:ascii="宋体" w:hAnsi="宋体" w:cs="宋体"/>
          <w:kern w:val="0"/>
          <w:szCs w:val="21"/>
          <w:lang w:val="en-US" w:eastAsia="zh-CN"/>
        </w:rPr>
        <w:t>8</w:t>
      </w:r>
      <w:r>
        <w:rPr>
          <w:rFonts w:hint="eastAsia" w:ascii="宋体" w:hAnsi="宋体" w:cs="宋体"/>
          <w:kern w:val="0"/>
          <w:szCs w:val="21"/>
          <w:lang w:eastAsia="zh-CN"/>
        </w:rPr>
        <w:t>）</w:t>
      </w:r>
      <w:r>
        <w:rPr>
          <w:rFonts w:ascii="宋体" w:hAnsi="宋体" w:cs="宋体"/>
          <w:kern w:val="0"/>
          <w:szCs w:val="21"/>
        </w:rPr>
        <w:t>制作完成后检查接头颜色顺序应完全相同，适用于计算机与交换机、ADSL Modem 等网络设备之间的连接。</w:t>
      </w:r>
    </w:p>
    <w:p w14:paraId="029AA5E4">
      <w:pPr>
        <w:rPr>
          <w:rFonts w:ascii="宋体" w:hAnsi="宋体" w:cs="宋体"/>
          <w:kern w:val="0"/>
          <w:szCs w:val="21"/>
        </w:rPr>
      </w:pPr>
      <w:r>
        <w:drawing>
          <wp:inline distT="0" distB="0" distL="0" distR="0">
            <wp:extent cx="3815715" cy="2476500"/>
            <wp:effectExtent l="0" t="0" r="6985" b="0"/>
            <wp:docPr id="18492044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204414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8200" cy="2478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F21A2">
      <w:pPr>
        <w:rPr>
          <w:rFonts w:ascii="黑体" w:hAnsi="Times New Roman" w:eastAsia="黑体" w:cs="Times New Roman"/>
          <w:sz w:val="28"/>
          <w:szCs w:val="24"/>
        </w:rPr>
      </w:pPr>
      <w:r>
        <w:rPr>
          <w:rFonts w:ascii="黑体" w:hAnsi="Times New Roman" w:eastAsia="黑体" w:cs="Times New Roman"/>
          <w:sz w:val="28"/>
          <w:szCs w:val="24"/>
        </w:rPr>
        <w:t>第二部分　检测与验证</w:t>
      </w:r>
    </w:p>
    <w:p w14:paraId="18AA40BC">
      <w:pPr>
        <w:rPr>
          <w:rFonts w:ascii="宋体" w:hAnsi="宋体" w:cs="宋体"/>
          <w:kern w:val="0"/>
          <w:szCs w:val="21"/>
        </w:rPr>
      </w:pPr>
      <w:r>
        <w:rPr>
          <w:rFonts w:ascii="宋体" w:hAnsi="宋体" w:cs="宋体"/>
          <w:kern w:val="0"/>
          <w:szCs w:val="21"/>
        </w:rPr>
        <w:t>制作完成后，使用 RJ-45 网络测试仪对网线进行连通性检测。将网线的两端分别插入测试仪的主、从接口，并接通电源。若测试仪的 1 至 8 号绿色指示灯依次顺序闪烁，说明网线连接正确，线序规范，压接牢固。</w:t>
      </w:r>
      <w:r>
        <w:rPr>
          <w:rFonts w:ascii="宋体" w:hAnsi="宋体" w:cs="宋体"/>
          <w:kern w:val="0"/>
          <w:szCs w:val="21"/>
        </w:rPr>
        <w:br w:type="textWrapping"/>
      </w:r>
      <w:r>
        <w:rPr>
          <w:rFonts w:ascii="宋体" w:hAnsi="宋体" w:cs="宋体"/>
          <w:kern w:val="0"/>
          <w:szCs w:val="21"/>
        </w:rPr>
        <w:t>若某个指示灯未亮或闪烁异常，表示该线芯存在断路、短路或接触不良问题，需要重新检查水晶头压接或线序排列。</w:t>
      </w:r>
    </w:p>
    <w:p w14:paraId="72158F11">
      <w:pPr>
        <w:rPr>
          <w:rFonts w:ascii="宋体" w:hAnsi="宋体" w:cs="宋体"/>
          <w:kern w:val="0"/>
          <w:szCs w:val="21"/>
        </w:rPr>
      </w:pPr>
      <w:r>
        <w:rPr>
          <w:rFonts w:ascii="宋体" w:hAnsi="宋体" w:cs="宋体"/>
          <w:kern w:val="0"/>
          <w:szCs w:val="21"/>
        </w:rPr>
        <w:t>经测试，本次实验制作的网线信号连通正常，测试仪 8 盏指示灯顺序闪亮，说明线序正确、压接良好，网线制作成功，可正常用于局域网连接实验。</w:t>
      </w:r>
    </w:p>
    <w:p w14:paraId="7EE1E48E">
      <w:pPr>
        <w:rPr>
          <w:rFonts w:hint="eastAsia" w:ascii="黑体" w:hAnsi="Times New Roman" w:eastAsia="黑体" w:cs="Times New Roman"/>
          <w:sz w:val="28"/>
          <w:szCs w:val="24"/>
          <w:lang w:eastAsia="zh-CN"/>
        </w:rPr>
      </w:pPr>
      <w:r>
        <w:rPr>
          <w:rFonts w:hint="eastAsia" w:ascii="黑体" w:hAnsi="Times New Roman" w:eastAsia="黑体" w:cs="Times New Roman"/>
          <w:sz w:val="28"/>
          <w:szCs w:val="24"/>
          <w:lang w:eastAsia="zh-CN"/>
        </w:rPr>
        <w:object>
          <v:shape id="_x0000_i1025" o:spt="75" type="#_x0000_t75" style="height:31.6pt;width:160.4pt;" o:ole="t" filled="f" o:preferrelative="t" stroked="f" coordsize="21600,21600">
            <v:path/>
            <v:fill on="f" focussize="0,0"/>
            <v:stroke on="f"/>
            <v:imagedata r:id="rId8" o:title=""/>
            <o:lock v:ext="edit" aspectratio="t"/>
            <w10:wrap type="none"/>
            <w10:anchorlock/>
          </v:shape>
          <o:OLEObject Type="Embed" ProgID="Package" ShapeID="_x0000_i1025" DrawAspect="Content" ObjectID="_1468075725" r:id="rId7">
            <o:LockedField>false</o:LockedField>
          </o:OLEObject>
        </w:object>
      </w:r>
      <w:r>
        <w:rPr>
          <w:rFonts w:hint="eastAsia" w:ascii="黑体" w:hAnsi="Times New Roman" w:eastAsia="黑体" w:cs="Times New Roman"/>
          <w:sz w:val="28"/>
          <w:szCs w:val="24"/>
          <w:lang w:eastAsia="zh-CN"/>
        </w:rPr>
        <w:t>（</w:t>
      </w:r>
      <w:r>
        <w:rPr>
          <w:rFonts w:hint="eastAsia" w:ascii="黑体" w:hAnsi="Times New Roman" w:eastAsia="黑体" w:cs="Times New Roman"/>
          <w:sz w:val="28"/>
          <w:szCs w:val="24"/>
          <w:lang w:val="en-US" w:eastAsia="zh-CN"/>
        </w:rPr>
        <w:t>双击视频即可打开</w:t>
      </w:r>
      <w:r>
        <w:rPr>
          <w:rFonts w:hint="eastAsia" w:ascii="黑体" w:hAnsi="Times New Roman" w:eastAsia="黑体" w:cs="Times New Roman"/>
          <w:sz w:val="28"/>
          <w:szCs w:val="24"/>
          <w:lang w:eastAsia="zh-CN"/>
        </w:rPr>
        <w:t>）</w:t>
      </w:r>
    </w:p>
    <w:p w14:paraId="2460BA0A">
      <w:pPr>
        <w:rPr>
          <w:rFonts w:ascii="黑体" w:hAnsi="Times New Roman" w:eastAsia="黑体" w:cs="Times New Roman"/>
          <w:sz w:val="28"/>
          <w:szCs w:val="24"/>
        </w:rPr>
      </w:pPr>
      <w:r>
        <w:rPr>
          <w:rFonts w:hint="eastAsia" w:ascii="黑体" w:hAnsi="Times New Roman" w:eastAsia="黑体" w:cs="Times New Roman"/>
          <w:sz w:val="28"/>
          <w:szCs w:val="24"/>
        </w:rPr>
        <w:t>第三部分　构建局域网</w:t>
      </w:r>
    </w:p>
    <w:p w14:paraId="2DCDCD81"/>
    <w:p w14:paraId="6FCD586D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使用一根超六类网线连接两台主机</w:t>
      </w:r>
      <w:r>
        <w:rPr>
          <w:rFonts w:hint="eastAsia"/>
          <w:lang w:val="en-US" w:eastAsia="zh-CN"/>
        </w:rPr>
        <w:t>,如图所示</w:t>
      </w:r>
    </w:p>
    <w:p w14:paraId="527D9EBF">
      <w:r>
        <w:drawing>
          <wp:inline distT="0" distB="0" distL="114300" distR="114300">
            <wp:extent cx="5187950" cy="4311650"/>
            <wp:effectExtent l="0" t="0" r="6350" b="6350"/>
            <wp:docPr id="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7950" cy="431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990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然后配置PC1的IP地址</w:t>
      </w:r>
    </w:p>
    <w:p w14:paraId="6E559E75">
      <w:r>
        <w:drawing>
          <wp:inline distT="0" distB="0" distL="114300" distR="114300">
            <wp:extent cx="5187950" cy="4311650"/>
            <wp:effectExtent l="0" t="0" r="635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7950" cy="431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E09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接着配置PC2的IP地址</w:t>
      </w:r>
    </w:p>
    <w:p w14:paraId="5B3050F7">
      <w:r>
        <w:drawing>
          <wp:inline distT="0" distB="0" distL="114300" distR="114300">
            <wp:extent cx="5187950" cy="4311650"/>
            <wp:effectExtent l="0" t="0" r="6350" b="635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7950" cy="431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6ED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打开命令提示符</w:t>
      </w:r>
    </w:p>
    <w:p w14:paraId="5F49CEB5">
      <w:r>
        <w:drawing>
          <wp:inline distT="0" distB="0" distL="114300" distR="114300">
            <wp:extent cx="5187950" cy="4311650"/>
            <wp:effectExtent l="0" t="0" r="6350" b="6350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87950" cy="431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684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输入ipconfig查看当前主机也就是PC2的IP地址</w:t>
      </w:r>
    </w:p>
    <w:p w14:paraId="0008A945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083050" cy="3359150"/>
            <wp:effectExtent l="0" t="0" r="6350" b="6350"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83050" cy="335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8BEDB">
      <w:pPr>
        <w:rPr>
          <w:rFonts w:hint="default"/>
          <w:lang w:val="en-US" w:eastAsia="zh-CN"/>
        </w:rPr>
      </w:pPr>
    </w:p>
    <w:p w14:paraId="4BD026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输入ping 192.168.1.3使用 ICMP协议向目标主机（这里是 IP 地址为 192.168.1.3 的设备）发送 回显请求报文，如果目标主机网络连接正常并可达，它会返回回显应答报文。</w:t>
      </w:r>
    </w:p>
    <w:p w14:paraId="63FFFBCC">
      <w:pPr>
        <w:rPr>
          <w:rFonts w:hint="eastAsia"/>
          <w:lang w:val="en-US" w:eastAsia="zh-CN"/>
        </w:rPr>
      </w:pPr>
    </w:p>
    <w:p w14:paraId="6EFFD93B">
      <w:pPr>
        <w:rPr>
          <w:rFonts w:hint="default"/>
          <w:lang w:val="en-US" w:eastAsia="zh-CN"/>
        </w:rPr>
      </w:pPr>
    </w:p>
    <w:p w14:paraId="119C4F9E"/>
    <w:p w14:paraId="65B21947"/>
    <w:p w14:paraId="7C80A416">
      <w:r>
        <w:rPr>
          <w:rFonts w:hint="eastAsia"/>
          <w:b/>
          <w:bCs/>
        </w:rPr>
        <w:t>数据分析</w:t>
      </w:r>
      <w:r>
        <w:rPr>
          <w:rFonts w:hint="eastAsia"/>
        </w:rPr>
        <w:t>：使用网线以有线连接方式搭建局域网比无线连接方式更稳定。下图是同一台主机使用无线连接时的</w:t>
      </w:r>
      <w:r>
        <w:t>ping</w:t>
      </w:r>
      <w:r>
        <w:rPr>
          <w:rFonts w:hint="eastAsia"/>
        </w:rPr>
        <w:t>输出，可以发现无线连接受到的干扰更大。</w:t>
      </w:r>
    </w:p>
    <w:p w14:paraId="6E23E463">
      <w:r>
        <w:drawing>
          <wp:inline distT="0" distB="0" distL="114300" distR="114300">
            <wp:extent cx="4083050" cy="3359150"/>
            <wp:effectExtent l="0" t="0" r="6350" b="6350"/>
            <wp:docPr id="1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83050" cy="335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646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输入ping 192.168.1.2发现也是可以通信的</w:t>
      </w:r>
    </w:p>
    <w:p w14:paraId="43EC9CC1">
      <w:r>
        <w:drawing>
          <wp:inline distT="0" distB="0" distL="114300" distR="114300">
            <wp:extent cx="4083050" cy="3359150"/>
            <wp:effectExtent l="0" t="0" r="6350" b="6350"/>
            <wp:docPr id="1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83050" cy="335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6729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输入ping 192.168.1.1观察网关是否通信</w:t>
      </w:r>
    </w:p>
    <w:p w14:paraId="35592437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4083050" cy="3359150"/>
            <wp:effectExtent l="0" t="0" r="6350" b="6350"/>
            <wp:docPr id="1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83050" cy="335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F28D3">
      <w:pPr>
        <w:rPr>
          <w:rFonts w:hint="eastAsia" w:ascii="宋体" w:hAnsi="宋体" w:cs="宋体"/>
          <w:kern w:val="0"/>
          <w:szCs w:val="21"/>
          <w:lang w:val="en-US" w:eastAsia="zh-CN"/>
        </w:rPr>
      </w:pPr>
      <w:r>
        <w:rPr>
          <w:rFonts w:hint="eastAsia" w:ascii="宋体" w:hAnsi="宋体" w:cs="宋体"/>
          <w:kern w:val="0"/>
          <w:szCs w:val="21"/>
          <w:lang w:val="en-US" w:eastAsia="zh-CN"/>
        </w:rPr>
        <w:t>结果发现：</w:t>
      </w:r>
    </w:p>
    <w:p w14:paraId="1058CA17">
      <w:pPr>
        <w:rPr>
          <w:rFonts w:hint="eastAsia" w:ascii="宋体" w:hAnsi="宋体" w:cs="宋体"/>
          <w:kern w:val="0"/>
          <w:szCs w:val="21"/>
          <w:lang w:eastAsia="zh-CN"/>
        </w:rPr>
      </w:pPr>
      <w:r>
        <w:rPr>
          <w:rFonts w:hint="eastAsia" w:ascii="宋体" w:hAnsi="宋体" w:cs="宋体"/>
          <w:kern w:val="0"/>
          <w:szCs w:val="21"/>
          <w:lang w:eastAsia="zh-CN"/>
        </w:rPr>
        <w:t>ping 192.168.1.2 正常，说明 PC1 与同网段另一台主机通信正常；</w:t>
      </w:r>
    </w:p>
    <w:p w14:paraId="54A447EB">
      <w:pPr>
        <w:rPr>
          <w:rFonts w:hint="eastAsia" w:ascii="宋体" w:hAnsi="宋体" w:cs="宋体"/>
          <w:kern w:val="0"/>
          <w:szCs w:val="21"/>
          <w:lang w:eastAsia="zh-CN"/>
        </w:rPr>
      </w:pPr>
      <w:r>
        <w:rPr>
          <w:rFonts w:hint="eastAsia" w:ascii="宋体" w:hAnsi="宋体" w:cs="宋体"/>
          <w:kern w:val="0"/>
          <w:szCs w:val="21"/>
          <w:lang w:eastAsia="zh-CN"/>
        </w:rPr>
        <w:t>ping 192.168.1.1 超时（Request timed out），说明 PC1 与网关通信失败。</w:t>
      </w:r>
    </w:p>
    <w:p w14:paraId="469D0C51">
      <w:pPr>
        <w:rPr>
          <w:rFonts w:hint="eastAsia" w:ascii="宋体" w:hAnsi="宋体" w:cs="宋体"/>
          <w:kern w:val="0"/>
          <w:szCs w:val="21"/>
          <w:lang w:eastAsia="zh-CN"/>
        </w:rPr>
      </w:pPr>
      <w:r>
        <w:rPr>
          <w:rFonts w:hint="eastAsia" w:ascii="宋体" w:hAnsi="宋体" w:cs="宋体"/>
          <w:kern w:val="0"/>
          <w:szCs w:val="21"/>
          <w:lang w:eastAsia="zh-CN"/>
        </w:rPr>
        <w:t>网络中没有任何设备真正占用了 192.168.1.1 这个 IP，</w:t>
      </w:r>
      <w:r>
        <w:rPr>
          <w:rFonts w:hint="eastAsia" w:ascii="宋体" w:hAnsi="宋体" w:cs="宋体"/>
          <w:kern w:val="0"/>
          <w:szCs w:val="21"/>
          <w:lang w:eastAsia="zh-CN"/>
        </w:rPr>
        <w:br w:type="textWrapping"/>
      </w:r>
      <w:r>
        <w:rPr>
          <w:rFonts w:hint="eastAsia" w:ascii="宋体" w:hAnsi="宋体" w:cs="宋体"/>
          <w:kern w:val="0"/>
          <w:szCs w:val="21"/>
          <w:lang w:eastAsia="zh-CN"/>
        </w:rPr>
        <w:t>所以当 PC1 发出 ping 192.168.1.1 时：</w:t>
      </w:r>
    </w:p>
    <w:p w14:paraId="796447A3">
      <w:pPr>
        <w:rPr>
          <w:rFonts w:hint="eastAsia" w:ascii="宋体" w:hAnsi="宋体" w:cs="宋体"/>
          <w:kern w:val="0"/>
          <w:szCs w:val="21"/>
          <w:lang w:eastAsia="zh-CN"/>
        </w:rPr>
      </w:pPr>
      <w:r>
        <w:rPr>
          <w:rFonts w:hint="eastAsia" w:ascii="宋体" w:hAnsi="宋体" w:cs="宋体"/>
          <w:kern w:val="0"/>
          <w:szCs w:val="21"/>
          <w:lang w:eastAsia="zh-CN"/>
        </w:rPr>
        <w:t>数据包发出去了，但没有人回应，于是显示 Request timed out.</w:t>
      </w:r>
    </w:p>
    <w:p w14:paraId="55FD4937">
      <w:pPr>
        <w:rPr>
          <w:rFonts w:hint="default" w:ascii="宋体" w:hAnsi="宋体" w:cs="宋体"/>
          <w:color w:val="FF0000"/>
          <w:kern w:val="0"/>
          <w:szCs w:val="21"/>
          <w:lang w:val="en-US" w:eastAsia="zh-CN"/>
        </w:rPr>
      </w:pPr>
      <w:r>
        <w:rPr>
          <w:rFonts w:hint="eastAsia" w:ascii="宋体" w:hAnsi="宋体" w:cs="宋体"/>
          <w:color w:val="FF0000"/>
          <w:kern w:val="0"/>
          <w:szCs w:val="21"/>
          <w:lang w:val="en-US" w:eastAsia="zh-CN"/>
        </w:rPr>
        <w:t>也就是说，在仅由交换机与主机构成的局域网中，所有通信都在同一二层广播域内完成，不涉及跨网段转发，因此无需配置网关地址。</w:t>
      </w:r>
      <w:r>
        <w:rPr>
          <w:rFonts w:hint="eastAsia" w:ascii="宋体" w:hAnsi="宋体" w:cs="宋体"/>
          <w:color w:val="FF0000"/>
          <w:kern w:val="0"/>
          <w:szCs w:val="21"/>
          <w:lang w:val="en-US" w:eastAsia="zh-CN"/>
        </w:rPr>
        <w:br w:type="textWrapping"/>
      </w:r>
      <w:r>
        <w:rPr>
          <w:rFonts w:hint="eastAsia" w:ascii="宋体" w:hAnsi="宋体" w:cs="宋体"/>
          <w:color w:val="FF0000"/>
          <w:kern w:val="0"/>
          <w:szCs w:val="21"/>
          <w:lang w:val="en-US" w:eastAsia="zh-CN"/>
        </w:rPr>
        <w:t>网关（如 192.168.1.1）只有在主机需要访问其他网段或外部网络（如互联网）时才必须存在。</w:t>
      </w:r>
    </w:p>
    <w:p w14:paraId="3B02A3E1">
      <w:pPr>
        <w:rPr>
          <w:rFonts w:hint="eastAsia" w:ascii="黑体" w:hAnsi="Times New Roman" w:eastAsia="黑体" w:cs="Times New Roman"/>
          <w:sz w:val="28"/>
          <w:szCs w:val="24"/>
          <w:lang w:eastAsia="zh-CN"/>
        </w:rPr>
      </w:pPr>
    </w:p>
    <w:p w14:paraId="736E9767">
      <w:pPr>
        <w:numPr>
          <w:ilvl w:val="0"/>
          <w:numId w:val="1"/>
        </w:numPr>
        <w:tabs>
          <w:tab w:val="left" w:pos="-1440"/>
        </w:tabs>
        <w:adjustRightInd w:val="0"/>
        <w:rPr>
          <w:rFonts w:ascii="黑体" w:hAnsi="Times New Roman" w:eastAsia="黑体" w:cs="Times New Roman"/>
          <w:sz w:val="28"/>
          <w:szCs w:val="24"/>
        </w:rPr>
      </w:pPr>
      <w:r>
        <w:rPr>
          <w:rFonts w:hint="eastAsia" w:ascii="黑体" w:hAnsi="Times New Roman" w:eastAsia="黑体" w:cs="Times New Roman"/>
          <w:sz w:val="28"/>
          <w:szCs w:val="24"/>
        </w:rPr>
        <w:t>实验结论：</w:t>
      </w:r>
    </w:p>
    <w:p w14:paraId="1DBB3581">
      <w:pPr>
        <w:rPr>
          <w:rFonts w:hint="eastAsia"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（1）通过本次实验，系统掌握了 EIA/TIA-568A 与 EIA/TIA-568B 国际布线标准，理解了双绞线的结构特性、屏蔽方式与传输原理，熟悉了直通线与交叉线在不同网络设备互联中的应用场景，为后续网络工程布线与局域网搭建奠定了基础。</w:t>
      </w:r>
    </w:p>
    <w:p w14:paraId="1011953C">
      <w:pPr>
        <w:rPr>
          <w:rFonts w:hint="eastAsia"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（2）在网线制作环节，熟练使用了 剥线钳、压线钳、RJ-45 水晶头等布线工具，掌握了线序规范、导线压接和触点对齐等关键技能。通过 RJ-45 网络测试仪对成品线缆进行通断与线序检测，验证了制作质量，显著提升了操作精度与工程实践能力。</w:t>
      </w:r>
    </w:p>
    <w:p w14:paraId="31C48933">
      <w:pPr>
        <w:rPr>
          <w:rFonts w:hint="eastAsia"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（3）通过测试仪验证发现，网线信号传输正常、线序一致，证明压接正确、连通性良好。测试仪能够高效检测线路物理连通性，但其局限性在于无法评估信号衰减与电磁干扰等高层物理性能参数。</w:t>
      </w:r>
    </w:p>
    <w:p w14:paraId="1CE33EE4">
      <w:pPr>
        <w:rPr>
          <w:rFonts w:hint="eastAsia"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（4）在局域网构建与测试阶段，通过 IP 地址配置与 ICMP 协议（Ping 命令） 实现了主机间的连通性验证。当执行 ping 192.168.1.2 时，成功收到应答，表明两台主机物理连接正常、MAC 地址解析正确、二层数据转发通畅。</w:t>
      </w:r>
    </w:p>
    <w:p w14:paraId="6AB9D742">
      <w:pPr>
        <w:rPr>
          <w:rFonts w:hint="eastAsia" w:ascii="Times New Roman" w:hAnsi="Times New Roman" w:eastAsia="宋体" w:cs="Times New Roman"/>
          <w:szCs w:val="24"/>
        </w:rPr>
      </w:pPr>
    </w:p>
    <w:p w14:paraId="1C324A9B">
      <w:pPr>
        <w:rPr>
          <w:rFonts w:hint="eastAsia"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（5）在本次实验的网络拓扑中，仅包含两台主机（PC1 与 PC2）及一台二层交换机（Switch），整个网络工作在 数据链路层 范围内。主机之间通过交换机进行以太帧转发，实现同一网段内的直接通信。当执行 ping 192.168.1.2 时能够成功收到应答，说明主机连接正确、IP 配置合理、二层通信正常。</w:t>
      </w:r>
    </w:p>
    <w:p w14:paraId="18AA677A">
      <w:pPr>
        <w:rPr>
          <w:rFonts w:hint="eastAsia"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然而，当执行 ping 192.168.1.1 时出现“Request timed out”提示，这是由于网络中不存在配置为 192.168.1.1 的网关设备。网关属于 三层网络设备（如路由器或三层交换机）的功能，用于跨网段数据转发，而本实验的交换机仅具备二层转发功能，无法响应 ICMP 回显请求，故 Ping 网关失败。该结果符合 OSI 模型中网络层通信的理论特征。</w:t>
      </w:r>
    </w:p>
    <w:p w14:paraId="112B7A74">
      <w:pPr>
        <w:rPr>
          <w:rFonts w:hint="eastAsia"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（6）综合实验结果可知，本实验验证了局域网中二层转发与主机互通机制，并体现了有线传输相较无线连接的稳定性和抗干扰能力。同时，实验强化了学生对网络层次结构、地址配置与故障分析的理解，提升了组网调试与故障排查的实际能力。</w:t>
      </w:r>
    </w:p>
    <w:p w14:paraId="2C16C0E9">
      <w:pPr>
        <w:rPr>
          <w:rFonts w:hint="eastAsia" w:ascii="Times New Roman" w:hAnsi="Times New Roman" w:eastAsia="宋体" w:cs="Times New Roman"/>
          <w:szCs w:val="24"/>
        </w:rPr>
      </w:pPr>
    </w:p>
    <w:p w14:paraId="3E2E8C23">
      <w:pPr>
        <w:rPr>
          <w:rFonts w:hint="eastAsia" w:ascii="Times New Roman" w:hAnsi="Times New Roman" w:eastAsia="宋体" w:cs="Times New Roman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630F82"/>
    <w:multiLevelType w:val="multilevel"/>
    <w:tmpl w:val="00630F82"/>
    <w:lvl w:ilvl="0" w:tentative="0">
      <w:start w:val="1"/>
      <w:numFmt w:val="japaneseCounting"/>
      <w:lvlText w:val="%1、"/>
      <w:lvlJc w:val="left"/>
      <w:pPr>
        <w:tabs>
          <w:tab w:val="left" w:pos="720"/>
        </w:tabs>
        <w:ind w:left="720" w:hanging="720"/>
      </w:pPr>
      <w:rPr>
        <w:rFonts w:hint="default"/>
        <w:sz w:val="28"/>
        <w:szCs w:val="28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>
    <w:nsid w:val="2F673040"/>
    <w:multiLevelType w:val="multilevel"/>
    <w:tmpl w:val="2F673040"/>
    <w:lvl w:ilvl="0" w:tentative="0">
      <w:start w:val="1"/>
      <w:numFmt w:val="japaneseCounting"/>
      <w:lvlText w:val="%1、"/>
      <w:lvlJc w:val="left"/>
      <w:pPr>
        <w:tabs>
          <w:tab w:val="left" w:pos="720"/>
        </w:tabs>
        <w:ind w:left="720" w:hanging="720"/>
      </w:pPr>
      <w:rPr>
        <w:rFonts w:hint="default"/>
        <w:sz w:val="28"/>
        <w:szCs w:val="28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decimal"/>
      <w:lvlText w:val="%3."/>
      <w:lvlJc w:val="left"/>
      <w:pPr>
        <w:tabs>
          <w:tab w:val="left" w:pos="1260"/>
        </w:tabs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2U3MWZjNmFhMDdlMGZjNjMzZDRiMjllMzU5YmI1YjkifQ=="/>
  </w:docVars>
  <w:rsids>
    <w:rsidRoot w:val="00A24978"/>
    <w:rsid w:val="0002562C"/>
    <w:rsid w:val="00044819"/>
    <w:rsid w:val="000D6854"/>
    <w:rsid w:val="00264A51"/>
    <w:rsid w:val="00312E6D"/>
    <w:rsid w:val="00314FDD"/>
    <w:rsid w:val="00347135"/>
    <w:rsid w:val="00881177"/>
    <w:rsid w:val="009F31D4"/>
    <w:rsid w:val="00A24978"/>
    <w:rsid w:val="00B83B75"/>
    <w:rsid w:val="00C603FA"/>
    <w:rsid w:val="00DB55BF"/>
    <w:rsid w:val="00DD1B79"/>
    <w:rsid w:val="00E33D79"/>
    <w:rsid w:val="00E91180"/>
    <w:rsid w:val="00F57D7D"/>
    <w:rsid w:val="17410382"/>
    <w:rsid w:val="1C9F25AA"/>
    <w:rsid w:val="27A6670B"/>
    <w:rsid w:val="2DFE6755"/>
    <w:rsid w:val="2FBB4D1E"/>
    <w:rsid w:val="312D39F9"/>
    <w:rsid w:val="439E64CF"/>
    <w:rsid w:val="4416031D"/>
    <w:rsid w:val="4E305541"/>
    <w:rsid w:val="50603263"/>
    <w:rsid w:val="533E62DD"/>
    <w:rsid w:val="5FFB623D"/>
    <w:rsid w:val="6DE704B1"/>
    <w:rsid w:val="71AD37BF"/>
    <w:rsid w:val="7FD04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22"/>
    <w:rPr>
      <w:b/>
    </w:rPr>
  </w:style>
  <w:style w:type="character" w:styleId="10">
    <w:name w:val="HTML Code"/>
    <w:basedOn w:val="8"/>
    <w:semiHidden/>
    <w:unhideWhenUsed/>
    <w:uiPriority w:val="99"/>
    <w:rPr>
      <w:rFonts w:ascii="Courier New" w:hAnsi="Courier New"/>
      <w:sz w:val="20"/>
    </w:rPr>
  </w:style>
  <w:style w:type="paragraph" w:customStyle="1" w:styleId="11">
    <w:name w:val="codeDark"/>
    <w:qFormat/>
    <w:uiPriority w:val="0"/>
    <w:pPr>
      <w:shd w:val="clear" w:color="auto" w:fill="EAF1DD" w:themeFill="accent3" w:themeFillTint="33"/>
    </w:pPr>
    <w:rPr>
      <w:rFonts w:ascii="Times New Roman" w:hAnsi="Times New Roman" w:cs="Segoe UI" w:eastAsiaTheme="minorEastAsia"/>
      <w:color w:val="1F0909"/>
      <w:kern w:val="2"/>
      <w:sz w:val="24"/>
      <w:szCs w:val="24"/>
      <w:lang w:val="en-US" w:eastAsia="zh-CN" w:bidi="ar-SA"/>
    </w:rPr>
  </w:style>
  <w:style w:type="character" w:customStyle="1" w:styleId="12">
    <w:name w:val="页眉 字符"/>
    <w:basedOn w:val="8"/>
    <w:link w:val="4"/>
    <w:qFormat/>
    <w:uiPriority w:val="99"/>
    <w:rPr>
      <w:sz w:val="18"/>
      <w:szCs w:val="18"/>
    </w:rPr>
  </w:style>
  <w:style w:type="character" w:customStyle="1" w:styleId="13">
    <w:name w:val="页脚 字符"/>
    <w:basedOn w:val="8"/>
    <w:link w:val="3"/>
    <w:qFormat/>
    <w:uiPriority w:val="99"/>
    <w:rPr>
      <w:sz w:val="18"/>
      <w:szCs w:val="18"/>
    </w:rPr>
  </w:style>
  <w:style w:type="paragraph" w:styleId="14">
    <w:name w:val="List Paragraph"/>
    <w:basedOn w:val="1"/>
    <w:qFormat/>
    <w:uiPriority w:val="34"/>
    <w:pPr>
      <w:ind w:firstLine="420" w:firstLineChars="200"/>
    </w:p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8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emf"/><Relationship Id="rId7" Type="http://schemas.openxmlformats.org/officeDocument/2006/relationships/oleObject" Target="embeddings/oleObject1.bin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1368</Words>
  <Characters>1587</Characters>
  <Lines>3</Lines>
  <Paragraphs>1</Paragraphs>
  <TotalTime>27</TotalTime>
  <ScaleCrop>false</ScaleCrop>
  <LinksUpToDate>false</LinksUpToDate>
  <CharactersWithSpaces>1658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2025-09-26T07:51:00Z</dcterms:created>
  <dc:creator>jinsong xia</dc:creator>
  <cp:lastModifiedBy>黄红洲</cp:lastModifiedBy>
  <cp:lastPrinted>2023-07-16T02:13:00Z</cp:lastPrinted>
  <dcterms:modified xsi:type="dcterms:W3CDTF">2026-01-05T03:13:20Z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6F36169C1DDB4999ADA17CF924F64B0A_12</vt:lpwstr>
  </property>
  <property fmtid="{D5CDD505-2E9C-101B-9397-08002B2CF9AE}" pid="4" name="KSOTemplateDocerSaveRecord">
    <vt:lpwstr>eyJoZGlkIjoiNzczYWZhYjQ0NTFjNDQxYmFlN2E0MDRmMDc2NzI1ZjIiLCJ1c2VySWQiOiIxNTU1NDExMDcxIn0=</vt:lpwstr>
  </property>
</Properties>
</file>