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584B67">
      <w:pPr>
        <w:pStyle w:val="12"/>
        <w:keepNext w:val="0"/>
        <w:keepLines w:val="0"/>
        <w:numPr>
          <w:ilvl w:val="0"/>
          <w:numId w:val="2"/>
        </w:numPr>
        <w:autoSpaceDE w:val="0"/>
        <w:autoSpaceDN w:val="0"/>
        <w:spacing w:before="0" w:after="0"/>
        <w:ind w:firstLine="0"/>
        <w:rPr>
          <w:rFonts w:hint="eastAsia" w:ascii="黑体" w:hAnsi="黑体" w:eastAsia="黑体" w:cs="黑体"/>
          <w:b/>
          <w:bCs/>
          <w:kern w:val="0"/>
          <w:sz w:val="28"/>
          <w:szCs w:val="28"/>
          <w:lang w:eastAsia="zh-CN"/>
        </w:rPr>
      </w:pPr>
      <w:bookmarkStart w:id="0" w:name="_Hlk212225435"/>
      <w:bookmarkEnd w:id="0"/>
      <w:bookmarkStart w:id="1" w:name="_Toc10463"/>
      <w:bookmarkStart w:id="2" w:name="_Toc213059869"/>
      <w:bookmarkStart w:id="3" w:name="_Toc212908105"/>
      <w:bookmarkStart w:id="4" w:name="_Toc212907948"/>
      <w:bookmarkStart w:id="5" w:name="_Toc10823"/>
      <w:r>
        <w:rPr>
          <w:rFonts w:hint="eastAsia" w:ascii="黑体" w:hAnsi="黑体" w:eastAsia="黑体" w:cs="黑体"/>
          <w:b/>
          <w:bCs/>
          <w:kern w:val="0"/>
          <w:sz w:val="28"/>
          <w:szCs w:val="28"/>
          <w:lang w:eastAsia="zh-CN"/>
        </w:rPr>
        <w:t>Meal云——面向浙江理工大学师生的校园智慧餐饮服务平台</w:t>
      </w:r>
      <w:bookmarkEnd w:id="1"/>
      <w:bookmarkEnd w:id="2"/>
      <w:bookmarkEnd w:id="3"/>
      <w:bookmarkEnd w:id="4"/>
      <w:bookmarkEnd w:id="5"/>
    </w:p>
    <w:p w14:paraId="4C4BDB41">
      <w:pPr>
        <w:pStyle w:val="13"/>
        <w:rPr>
          <w:rFonts w:hint="eastAsia"/>
          <w:lang w:eastAsia="zh-CN"/>
        </w:rPr>
      </w:pPr>
    </w:p>
    <w:p w14:paraId="29D7F42D">
      <w:pPr>
        <w:pStyle w:val="13"/>
        <w:rPr>
          <w:rFonts w:hint="eastAsia"/>
          <w:lang w:eastAsia="zh-CN"/>
        </w:rPr>
      </w:pPr>
      <w:r>
        <w:rPr>
          <w:rFonts w:hint="eastAsia"/>
          <w:lang w:eastAsia="zh-CN"/>
        </w:rPr>
        <w:t>小组分工：</w:t>
      </w:r>
    </w:p>
    <w:p w14:paraId="3205FA01">
      <w:pPr>
        <w:pStyle w:val="13"/>
        <w:rPr>
          <w:rFonts w:hint="eastAsia"/>
          <w:lang w:eastAsia="zh-CN"/>
        </w:rPr>
      </w:pPr>
    </w:p>
    <w:p w14:paraId="312D57E4">
      <w:pPr>
        <w:pStyle w:val="13"/>
        <w:rPr>
          <w:rFonts w:hint="eastAsia"/>
          <w:lang w:eastAsia="zh-CN"/>
        </w:rPr>
      </w:pPr>
    </w:p>
    <w:sdt>
      <w:sdtPr>
        <w:rPr>
          <w:lang w:val="zh-CN"/>
        </w:rPr>
        <w:id w:val="-1657225763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b/>
          <w:bCs/>
          <w:color w:val="auto"/>
          <w:kern w:val="2"/>
          <w:sz w:val="21"/>
          <w:szCs w:val="22"/>
          <w:lang w:val="zh-CN"/>
        </w:rPr>
      </w:sdtEndPr>
      <w:sdtContent>
        <w:p w14:paraId="43915810">
          <w:pPr>
            <w:pStyle w:val="22"/>
            <w:keepNext/>
            <w:keepLines/>
            <w:pageBreakBefore w:val="0"/>
            <w:widowControl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60" w:lineRule="auto"/>
            <w:jc w:val="center"/>
            <w:textAlignment w:val="auto"/>
            <w:rPr>
              <w:rFonts w:hint="eastAsia"/>
            </w:rPr>
          </w:pPr>
          <w:bookmarkStart w:id="17" w:name="_GoBack"/>
          <w:bookmarkEnd w:id="17"/>
          <w:r>
            <w:rPr>
              <w:lang w:val="zh-CN"/>
            </w:rPr>
            <w:t>目录</w:t>
          </w:r>
        </w:p>
        <w:p w14:paraId="0E27623E">
          <w:pPr>
            <w:pStyle w:val="6"/>
            <w:tabs>
              <w:tab w:val="right" w:leader="dot" w:pos="8306"/>
              <w:tab w:val="clear" w:pos="440"/>
              <w:tab w:val="clear" w:pos="8296"/>
            </w:tabs>
          </w:pPr>
          <w:r>
            <w:fldChar w:fldCharType="begin"/>
          </w:r>
          <w:r>
            <w:instrText xml:space="preserve"> TOC \o "1-3" \h \z \u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_Toc10823 </w:instrText>
          </w:r>
          <w:r>
            <w:rPr>
              <w:rFonts w:hint="eastAsia"/>
            </w:rPr>
            <w:fldChar w:fldCharType="separate"/>
          </w:r>
          <w:r>
            <w:rPr>
              <w:rFonts w:hint="eastAsia" w:ascii="黑体" w:hAnsi="黑体" w:eastAsia="黑体" w:cs="黑体"/>
              <w:bCs/>
              <w:kern w:val="0"/>
              <w:szCs w:val="28"/>
              <w:lang w:eastAsia="zh-CN"/>
            </w:rPr>
            <w:t>Z- Meal云——面向浙江理工大学师生的校园智慧餐饮服务平台</w:t>
          </w:r>
          <w:r>
            <w:tab/>
          </w:r>
          <w:r>
            <w:fldChar w:fldCharType="begin"/>
          </w:r>
          <w:r>
            <w:instrText xml:space="preserve"> PAGEREF _Toc10823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5A0CBCF7">
          <w:pPr>
            <w:pStyle w:val="6"/>
            <w:tabs>
              <w:tab w:val="right" w:leader="dot" w:pos="8306"/>
              <w:tab w:val="clear" w:pos="440"/>
              <w:tab w:val="clear" w:pos="829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_Toc9567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黑体" w:hAnsi="黑体" w:eastAsia="黑体" w:cs="黑体"/>
              <w:lang w:eastAsia="zh-CN"/>
            </w:rPr>
            <w:t>1.系统架构设计（撰写人：）</w:t>
          </w:r>
          <w:r>
            <w:tab/>
          </w:r>
          <w:r>
            <w:fldChar w:fldCharType="begin"/>
          </w:r>
          <w:r>
            <w:instrText xml:space="preserve"> PAGEREF _Toc9567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1FC062F">
          <w:pPr>
            <w:pStyle w:val="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_Toc13293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</w:rPr>
            <w:t>1.1 系统架构设计概述与包图</w:t>
          </w:r>
          <w:r>
            <w:tab/>
          </w:r>
          <w:r>
            <w:fldChar w:fldCharType="begin"/>
          </w:r>
          <w:r>
            <w:instrText xml:space="preserve"> PAGEREF _Toc13293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75E496F">
          <w:pPr>
            <w:pStyle w:val="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_Toc11379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</w:rPr>
            <w:t>1.2 系统分层模式介绍</w:t>
          </w:r>
          <w:r>
            <w:tab/>
          </w:r>
          <w:r>
            <w:fldChar w:fldCharType="begin"/>
          </w:r>
          <w:r>
            <w:instrText xml:space="preserve"> PAGEREF _Toc11379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7501FFE">
          <w:pPr>
            <w:pStyle w:val="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_Toc11070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</w:rPr>
            <w:t>1.3 分层模式的优势</w:t>
          </w:r>
          <w:r>
            <w:tab/>
          </w:r>
          <w:r>
            <w:fldChar w:fldCharType="begin"/>
          </w:r>
          <w:r>
            <w:instrText xml:space="preserve"> PAGEREF _Toc11070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618B900">
          <w:pPr>
            <w:pStyle w:val="6"/>
            <w:tabs>
              <w:tab w:val="right" w:leader="dot" w:pos="8306"/>
              <w:tab w:val="clear" w:pos="440"/>
              <w:tab w:val="clear" w:pos="829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_Toc14066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黑体" w:hAnsi="黑体" w:eastAsia="黑体"/>
              <w:lang w:eastAsia="zh-CN"/>
            </w:rPr>
            <w:t xml:space="preserve">2. </w:t>
          </w:r>
          <w:r>
            <w:rPr>
              <w:rFonts w:hint="eastAsia" w:ascii="黑体" w:hAnsi="黑体" w:eastAsia="黑体"/>
              <w:lang w:eastAsia="zh-CN"/>
            </w:rPr>
            <w:t>设计资产（撰写人：）</w:t>
          </w:r>
          <w:r>
            <w:tab/>
          </w:r>
          <w:r>
            <w:fldChar w:fldCharType="begin"/>
          </w:r>
          <w:r>
            <w:instrText xml:space="preserve"> PAGEREF _Toc14066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AB6B0E5">
          <w:pPr>
            <w:pStyle w:val="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_Toc30730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</w:rPr>
            <w:t>2.1 设计资产集成视图</w:t>
          </w:r>
          <w:r>
            <w:tab/>
          </w:r>
          <w:r>
            <w:fldChar w:fldCharType="begin"/>
          </w:r>
          <w:r>
            <w:instrText xml:space="preserve"> PAGEREF _Toc30730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82D9091">
          <w:pPr>
            <w:pStyle w:val="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_Toc21210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</w:rPr>
            <w:t>2.2 引入资产说明</w:t>
          </w:r>
          <w:r>
            <w:tab/>
          </w:r>
          <w:r>
            <w:fldChar w:fldCharType="begin"/>
          </w:r>
          <w:r>
            <w:instrText xml:space="preserve"> PAGEREF _Toc21210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4681D28">
          <w:pPr>
            <w:pStyle w:val="6"/>
            <w:tabs>
              <w:tab w:val="right" w:leader="dot" w:pos="8306"/>
              <w:tab w:val="clear" w:pos="440"/>
              <w:tab w:val="clear" w:pos="829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_Toc18452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Theme="minorEastAsia" w:hAnsiTheme="minorEastAsia" w:cstheme="minorEastAsia"/>
              <w:spacing w:val="-10"/>
              <w:kern w:val="0"/>
              <w:szCs w:val="24"/>
              <w:lang w:eastAsia="zh-CN"/>
            </w:rPr>
            <w:t xml:space="preserve">3. </w:t>
          </w:r>
          <w:r>
            <w:rPr>
              <w:rFonts w:hint="eastAsia" w:ascii="黑体" w:hAnsi="黑体" w:eastAsia="黑体" w:cs="黑体"/>
              <w:szCs w:val="24"/>
              <w:lang w:eastAsia="zh-CN"/>
            </w:rPr>
            <w:t>构件抽取与设计（撰写人：）</w:t>
          </w:r>
          <w:r>
            <w:tab/>
          </w:r>
          <w:r>
            <w:fldChar w:fldCharType="begin"/>
          </w:r>
          <w:r>
            <w:instrText xml:space="preserve"> PAGEREF _Toc18452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B343A7F">
          <w:pPr>
            <w:pStyle w:val="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_Toc30614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</w:rPr>
            <w:t>3.1 构建软件定义图</w:t>
          </w:r>
          <w:r>
            <w:tab/>
          </w:r>
          <w:r>
            <w:fldChar w:fldCharType="begin"/>
          </w:r>
          <w:r>
            <w:instrText xml:space="preserve"> PAGEREF _Toc30614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3147DA2F">
          <w:pPr>
            <w:pStyle w:val="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_Toc6894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</w:rPr>
            <w:t>3.2 订单管理构件的体系结构设计说明</w:t>
          </w:r>
          <w:r>
            <w:tab/>
          </w:r>
          <w:r>
            <w:fldChar w:fldCharType="begin"/>
          </w:r>
          <w:r>
            <w:instrText xml:space="preserve"> PAGEREF _Toc6894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9CE861E">
          <w:pPr>
            <w:pStyle w:val="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_Toc15616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</w:rPr>
            <w:t>3.3 订单管理构件功能描述</w:t>
          </w:r>
          <w:r>
            <w:tab/>
          </w:r>
          <w:r>
            <w:fldChar w:fldCharType="begin"/>
          </w:r>
          <w:r>
            <w:instrText xml:space="preserve"> PAGEREF _Toc15616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B01FA2E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eastAsia"/>
            </w:rPr>
          </w:pPr>
          <w:r>
            <w:rPr>
              <w:bCs/>
              <w:lang w:val="zh-CN"/>
            </w:rPr>
            <w:fldChar w:fldCharType="end"/>
          </w:r>
        </w:p>
      </w:sdtContent>
    </w:sdt>
    <w:p w14:paraId="70896F35">
      <w:pPr>
        <w:widowControl/>
        <w:jc w:val="left"/>
        <w:rPr>
          <w:rFonts w:hint="eastAsia"/>
        </w:rPr>
      </w:pPr>
      <w:r>
        <w:br w:type="page"/>
      </w:r>
    </w:p>
    <w:p w14:paraId="6A5FC22F">
      <w:pPr>
        <w:pStyle w:val="2"/>
        <w:numPr>
          <w:ilvl w:val="0"/>
          <w:numId w:val="0"/>
        </w:numPr>
        <w:rPr>
          <w:rFonts w:hint="eastAsia" w:ascii="黑体" w:hAnsi="黑体" w:eastAsia="黑体" w:cs="黑体"/>
          <w:lang w:eastAsia="zh-CN"/>
        </w:rPr>
      </w:pPr>
      <w:bookmarkStart w:id="6" w:name="_Toc9567"/>
      <w:r>
        <w:rPr>
          <w:rFonts w:hint="eastAsia" w:ascii="黑体" w:hAnsi="黑体" w:eastAsia="黑体" w:cs="黑体"/>
          <w:lang w:eastAsia="zh-CN"/>
        </w:rPr>
        <w:t>1.系统架构设计（撰写人：）</w:t>
      </w:r>
      <w:bookmarkEnd w:id="6"/>
    </w:p>
    <w:p w14:paraId="76A972EB">
      <w:pPr>
        <w:pStyle w:val="3"/>
        <w:ind w:firstLine="211" w:firstLineChars="100"/>
        <w:rPr>
          <w:rFonts w:hint="eastAsia" w:asciiTheme="majorEastAsia" w:hAnsiTheme="majorEastAsia" w:eastAsiaTheme="majorEastAsia" w:cstheme="majorEastAsia"/>
        </w:rPr>
      </w:pPr>
      <w:bookmarkStart w:id="7" w:name="_Toc13293"/>
      <w:r>
        <w:rPr>
          <w:rFonts w:hint="eastAsia" w:asciiTheme="majorEastAsia" w:hAnsiTheme="majorEastAsia" w:eastAsiaTheme="majorEastAsia" w:cstheme="majorEastAsia"/>
        </w:rPr>
        <w:t>1.1 系统架构设计概述与包图</w:t>
      </w:r>
      <w:bookmarkEnd w:id="7"/>
    </w:p>
    <w:p w14:paraId="5DAA8626">
      <w:pPr>
        <w:widowControl/>
        <w:spacing w:line="360" w:lineRule="auto"/>
        <w:ind w:firstLine="420" w:firstLineChars="200"/>
        <w:jc w:val="left"/>
        <w:rPr>
          <w:rFonts w:hint="eastAsia" w:ascii="宋体" w:hAnsi="宋体" w:eastAsia="宋体" w:cs="宋体"/>
          <w:kern w:val="0"/>
          <w:szCs w:val="21"/>
        </w:rPr>
      </w:pPr>
      <w:r>
        <w:rPr>
          <w:rFonts w:hint="eastAsia" w:ascii="宋体" w:hAnsi="宋体" w:eastAsia="宋体" w:cs="宋体"/>
          <w:kern w:val="0"/>
          <w:szCs w:val="21"/>
        </w:rPr>
        <w:t>本部分对总体架构进行系统架构设计。系统采用分层架构，包图如下。</w:t>
      </w:r>
      <w:r>
        <w:drawing>
          <wp:inline distT="0" distB="0" distL="0" distR="0">
            <wp:extent cx="4864735" cy="6742430"/>
            <wp:effectExtent l="0" t="0" r="0" b="127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4735" cy="674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01031">
      <w:pPr>
        <w:pStyle w:val="3"/>
        <w:ind w:firstLine="211" w:firstLineChars="100"/>
        <w:rPr>
          <w:rFonts w:hint="eastAsia" w:asciiTheme="majorEastAsia" w:hAnsiTheme="majorEastAsia" w:eastAsiaTheme="majorEastAsia" w:cstheme="majorEastAsia"/>
        </w:rPr>
      </w:pPr>
      <w:bookmarkStart w:id="8" w:name="_Toc11379"/>
      <w:r>
        <w:rPr>
          <w:rFonts w:hint="eastAsia" w:asciiTheme="majorEastAsia" w:hAnsiTheme="majorEastAsia" w:eastAsiaTheme="majorEastAsia" w:cstheme="majorEastAsia"/>
        </w:rPr>
        <w:t>1.2 系统分层模式介绍</w:t>
      </w:r>
      <w:bookmarkEnd w:id="8"/>
    </w:p>
    <w:p w14:paraId="775D34E9">
      <w:pPr>
        <w:widowControl/>
        <w:spacing w:line="360" w:lineRule="auto"/>
        <w:ind w:firstLine="422" w:firstLineChars="200"/>
        <w:jc w:val="left"/>
        <w:rPr>
          <w:rFonts w:ascii="宋体" w:hAnsi="宋体" w:eastAsia="宋体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分层模式概述</w:t>
      </w:r>
      <w:r>
        <w:rPr>
          <w:rFonts w:hint="eastAsia" w:ascii="宋体" w:hAnsi="宋体" w:eastAsia="宋体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：分为</w:t>
      </w:r>
      <w:r>
        <w:rPr>
          <w:rFonts w:hint="eastAsia" w:ascii="宋体" w:hAnsi="宋体" w:eastAsia="宋体" w:cs="宋体"/>
          <w:b/>
          <w:bCs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宋体" w:hAnsi="宋体" w:eastAsia="宋体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层：用户层、表现层、逻辑层、通讯层、数据层。</w:t>
      </w:r>
    </w:p>
    <w:p w14:paraId="7C7C4573">
      <w:pPr>
        <w:widowControl/>
        <w:spacing w:line="360" w:lineRule="auto"/>
        <w:ind w:firstLine="420" w:firstLineChars="200"/>
        <w:jc w:val="left"/>
        <w:rPr>
          <w:rFonts w:ascii="宋体" w:hAnsi="宋体" w:eastAsia="宋体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各自承担的任务：</w:t>
      </w:r>
    </w:p>
    <w:tbl>
      <w:tblPr>
        <w:tblStyle w:val="20"/>
        <w:tblW w:w="0" w:type="auto"/>
        <w:tblInd w:w="0" w:type="dxa"/>
        <w:tblBorders>
          <w:top w:val="single" w:color="91ABDF" w:themeColor="accent1" w:themeTint="99" w:sz="4" w:space="0"/>
          <w:left w:val="single" w:color="91ABDF" w:themeColor="accent1" w:themeTint="99" w:sz="4" w:space="0"/>
          <w:bottom w:val="single" w:color="91ABDF" w:themeColor="accent1" w:themeTint="99" w:sz="4" w:space="0"/>
          <w:right w:val="single" w:color="91ABDF" w:themeColor="accent1" w:themeTint="99" w:sz="4" w:space="0"/>
          <w:insideH w:val="single" w:color="91ABDF" w:themeColor="accent1" w:themeTint="99" w:sz="4" w:space="0"/>
          <w:insideV w:val="single" w:color="91ABDF" w:themeColor="accent1" w:themeTint="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1"/>
        <w:gridCol w:w="7421"/>
      </w:tblGrid>
      <w:tr w14:paraId="2FF31AD3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FFFFF" w:themeFill="background1"/>
          </w:tcPr>
          <w:p w14:paraId="3C3489CC"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b/>
                <w:bCs/>
                <w:i/>
                <w:i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i/>
                <w:i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分层</w:t>
            </w:r>
          </w:p>
        </w:tc>
        <w:tc>
          <w:tcPr>
            <w:tcW w:w="7421" w:type="dxa"/>
            <w:tcBorders>
              <w:top w:val="nil"/>
              <w:right w:val="nil"/>
              <w:insideV w:val="nil"/>
            </w:tcBorders>
            <w:shd w:val="clear" w:color="auto" w:fill="FFFFFF" w:themeFill="background1"/>
          </w:tcPr>
          <w:p w14:paraId="46972855"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承担的任务</w:t>
            </w:r>
          </w:p>
        </w:tc>
      </w:tr>
      <w:tr w14:paraId="7C144AA6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  <w:tcBorders>
              <w:left w:val="nil"/>
              <w:bottom w:val="nil"/>
              <w:insideH w:val="nil"/>
            </w:tcBorders>
            <w:shd w:val="clear" w:color="auto" w:fill="FFFFFF" w:themeFill="background1"/>
          </w:tcPr>
          <w:p w14:paraId="1C58D13E"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i/>
                <w:i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用户层</w:t>
            </w:r>
          </w:p>
        </w:tc>
        <w:tc>
          <w:tcPr>
            <w:tcW w:w="7421" w:type="dxa"/>
            <w:shd w:val="clear" w:color="auto" w:fill="DAE3F4" w:themeFill="accent1" w:themeFillTint="33"/>
          </w:tcPr>
          <w:p w14:paraId="16600108"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用户层包括系统面向的两类用户：顾客与商家，顾客在平台进行点餐下单，食堂商家负责提供可选的菜品并进行菜品的制作</w:t>
            </w:r>
          </w:p>
        </w:tc>
      </w:tr>
      <w:tr w14:paraId="78EA600D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  <w:tcBorders>
              <w:left w:val="nil"/>
              <w:bottom w:val="nil"/>
              <w:insideH w:val="nil"/>
            </w:tcBorders>
            <w:shd w:val="clear" w:color="auto" w:fill="FFFFFF" w:themeFill="background1"/>
          </w:tcPr>
          <w:p w14:paraId="3180ABBB"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i/>
                <w:i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表现层</w:t>
            </w:r>
          </w:p>
        </w:tc>
        <w:tc>
          <w:tcPr>
            <w:tcW w:w="7421" w:type="dxa"/>
          </w:tcPr>
          <w:p w14:paraId="67F4D1E5">
            <w:pPr>
              <w:widowControl/>
              <w:spacing w:line="360" w:lineRule="auto"/>
              <w:jc w:val="left"/>
              <w:rPr>
                <w:rFonts w:ascii="宋体" w:hAnsi="宋体" w:eastAsia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表现层包括与用户进行交互的前端界面。</w:t>
            </w:r>
          </w:p>
          <w:p w14:paraId="69C8CBB1">
            <w:pPr>
              <w:widowControl/>
              <w:spacing w:line="360" w:lineRule="auto"/>
              <w:jc w:val="left"/>
              <w:rPr>
                <w:rFonts w:ascii="宋体" w:hAnsi="宋体" w:eastAsia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浙理师生用户使用</w:t>
            </w: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微信小程序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，它提供了顾客点餐、下单与评价相关的所有功能</w:t>
            </w:r>
          </w:p>
          <w:p w14:paraId="3048EE4A"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浙理商家使用</w:t>
            </w: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APP客户端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处理菜品管理、订单管理业务。</w:t>
            </w:r>
          </w:p>
        </w:tc>
      </w:tr>
      <w:tr w14:paraId="03F7C30B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  <w:tcBorders>
              <w:left w:val="nil"/>
              <w:bottom w:val="nil"/>
              <w:insideH w:val="nil"/>
            </w:tcBorders>
            <w:shd w:val="clear" w:color="auto" w:fill="FFFFFF" w:themeFill="background1"/>
          </w:tcPr>
          <w:p w14:paraId="5273C463"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i/>
                <w:i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逻辑层</w:t>
            </w:r>
          </w:p>
        </w:tc>
        <w:tc>
          <w:tcPr>
            <w:tcW w:w="7421" w:type="dxa"/>
            <w:shd w:val="clear" w:color="auto" w:fill="DAE3F4" w:themeFill="accent1" w:themeFillTint="33"/>
          </w:tcPr>
          <w:p w14:paraId="06570240">
            <w:pPr>
              <w:widowControl/>
              <w:spacing w:line="360" w:lineRule="auto"/>
              <w:jc w:val="left"/>
              <w:rPr>
                <w:rFonts w:ascii="宋体" w:hAnsi="宋体" w:eastAsia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逻辑层包括了所有服务于表现层功能的子系统。</w:t>
            </w:r>
          </w:p>
          <w:p w14:paraId="777534D1">
            <w:pPr>
              <w:widowControl/>
              <w:spacing w:line="360" w:lineRule="auto"/>
              <w:jc w:val="left"/>
              <w:rPr>
                <w:rFonts w:ascii="宋体" w:hAnsi="宋体" w:eastAsia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用户管理子系统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主要负责顾客与商家的账号相关服务，</w:t>
            </w:r>
          </w:p>
          <w:p w14:paraId="28FE6CFC">
            <w:pPr>
              <w:widowControl/>
              <w:spacing w:line="360" w:lineRule="auto"/>
              <w:jc w:val="left"/>
              <w:rPr>
                <w:rFonts w:ascii="宋体" w:hAnsi="宋体" w:eastAsia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菜品管理子系统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主要负责顾客点餐及商家管理门店的相关服务，</w:t>
            </w:r>
          </w:p>
          <w:p w14:paraId="19261E52">
            <w:pPr>
              <w:widowControl/>
              <w:spacing w:line="360" w:lineRule="auto"/>
              <w:jc w:val="left"/>
              <w:rPr>
                <w:rFonts w:ascii="宋体" w:hAnsi="宋体" w:eastAsia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订单管理子系统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主要负责顾客下单及商家接单相关的服务，</w:t>
            </w:r>
          </w:p>
          <w:p w14:paraId="7002BFE5">
            <w:pPr>
              <w:widowControl/>
              <w:spacing w:line="360" w:lineRule="auto"/>
              <w:jc w:val="left"/>
              <w:rPr>
                <w:rFonts w:ascii="宋体" w:hAnsi="宋体" w:eastAsia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评价子系统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主要负责顾客评价及商家回复评价相关的服务。</w:t>
            </w:r>
          </w:p>
          <w:p w14:paraId="3E41F8EF"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四个子系统间不是完全相互独立的，而是有数据交互，如菜品管理子系统与订单子系统间会有订单内容的信息传递</w:t>
            </w:r>
          </w:p>
        </w:tc>
      </w:tr>
      <w:tr w14:paraId="74B469EE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  <w:tcBorders>
              <w:left w:val="nil"/>
              <w:bottom w:val="nil"/>
              <w:insideH w:val="nil"/>
            </w:tcBorders>
            <w:shd w:val="clear" w:color="auto" w:fill="FFFFFF" w:themeFill="background1"/>
          </w:tcPr>
          <w:p w14:paraId="530224C8"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i/>
                <w:i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通讯层</w:t>
            </w:r>
          </w:p>
        </w:tc>
        <w:tc>
          <w:tcPr>
            <w:tcW w:w="7421" w:type="dxa"/>
          </w:tcPr>
          <w:p w14:paraId="25214986">
            <w:pPr>
              <w:widowControl/>
              <w:spacing w:line="360" w:lineRule="auto"/>
              <w:jc w:val="left"/>
              <w:rPr>
                <w:rFonts w:ascii="宋体" w:hAnsi="宋体" w:eastAsia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通讯层包括了系统内部的接口及外部接口.</w:t>
            </w:r>
          </w:p>
          <w:p w14:paraId="182F889C">
            <w:pPr>
              <w:widowControl/>
              <w:spacing w:line="360" w:lineRule="auto"/>
              <w:jc w:val="left"/>
              <w:rPr>
                <w:rFonts w:ascii="宋体" w:hAnsi="宋体" w:eastAsia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内部接口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指数据层提供给逻辑层的数据获取、更改及添加等接口</w:t>
            </w:r>
          </w:p>
          <w:p w14:paraId="1449F7CF"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外部接口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指支付接口（微信支付）、短信接口</w:t>
            </w:r>
          </w:p>
        </w:tc>
      </w:tr>
      <w:tr w14:paraId="4193D4F2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  <w:tcBorders>
              <w:left w:val="nil"/>
              <w:bottom w:val="nil"/>
              <w:insideH w:val="nil"/>
            </w:tcBorders>
            <w:shd w:val="clear" w:color="auto" w:fill="FFFFFF" w:themeFill="background1"/>
          </w:tcPr>
          <w:p w14:paraId="718357C4"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i/>
                <w:i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数据层</w:t>
            </w:r>
          </w:p>
        </w:tc>
        <w:tc>
          <w:tcPr>
            <w:tcW w:w="7421" w:type="dxa"/>
            <w:shd w:val="clear" w:color="auto" w:fill="DAE3F4" w:themeFill="accent1" w:themeFillTint="33"/>
          </w:tcPr>
          <w:p w14:paraId="56CAEA85"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使用数据库对系统的所有数据进行统一存储及管理</w:t>
            </w:r>
          </w:p>
        </w:tc>
      </w:tr>
    </w:tbl>
    <w:p w14:paraId="1A73DA80">
      <w:pPr>
        <w:pStyle w:val="3"/>
        <w:ind w:firstLine="211" w:firstLineChars="100"/>
        <w:rPr>
          <w:rFonts w:hint="eastAsia" w:asciiTheme="majorEastAsia" w:hAnsiTheme="majorEastAsia" w:eastAsiaTheme="majorEastAsia" w:cstheme="majorEastAsia"/>
        </w:rPr>
      </w:pPr>
      <w:bookmarkStart w:id="9" w:name="_Toc11070"/>
      <w:r>
        <w:rPr>
          <w:rFonts w:hint="eastAsia" w:asciiTheme="majorEastAsia" w:hAnsiTheme="majorEastAsia" w:eastAsiaTheme="majorEastAsia" w:cstheme="majorEastAsia"/>
        </w:rPr>
        <w:t>1.3 分层模式的优势</w:t>
      </w:r>
      <w:bookmarkEnd w:id="9"/>
    </w:p>
    <w:p w14:paraId="6B676BC8">
      <w:pPr>
        <w:widowControl/>
        <w:spacing w:line="360" w:lineRule="auto"/>
        <w:ind w:firstLine="420" w:firstLineChars="200"/>
        <w:jc w:val="left"/>
        <w:rPr>
          <w:rFonts w:ascii="宋体" w:hAnsi="宋体" w:eastAsia="宋体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使用这种分层模式，优势有：</w:t>
      </w:r>
    </w:p>
    <w:p w14:paraId="68B0A9E1">
      <w:pPr>
        <w:widowControl/>
        <w:spacing w:line="360" w:lineRule="auto"/>
        <w:ind w:firstLine="420" w:firstLineChars="200"/>
        <w:jc w:val="left"/>
        <w:rPr>
          <w:rFonts w:ascii="宋体" w:hAnsi="宋体" w:eastAsia="宋体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(1)易实现</w:t>
      </w:r>
    </w:p>
    <w:p w14:paraId="034C9DDA">
      <w:pPr>
        <w:pStyle w:val="15"/>
        <w:widowControl/>
        <w:numPr>
          <w:ilvl w:val="0"/>
          <w:numId w:val="3"/>
        </w:numPr>
        <w:spacing w:line="360" w:lineRule="auto"/>
        <w:ind w:firstLineChars="0"/>
        <w:jc w:val="left"/>
        <w:rPr>
          <w:rFonts w:ascii="宋体" w:hAnsi="宋体" w:eastAsia="宋体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适合团队协作，每个开发人员可以专注处理特定问题，分工明确，减少开发成本，增加开发效率；</w:t>
      </w:r>
    </w:p>
    <w:p w14:paraId="445A0AE6">
      <w:pPr>
        <w:pStyle w:val="15"/>
        <w:widowControl/>
        <w:numPr>
          <w:ilvl w:val="0"/>
          <w:numId w:val="3"/>
        </w:numPr>
        <w:spacing w:line="360" w:lineRule="auto"/>
        <w:ind w:firstLineChars="0"/>
        <w:jc w:val="left"/>
        <w:rPr>
          <w:rFonts w:hint="eastAsia" w:ascii="宋体" w:hAnsi="宋体" w:eastAsia="宋体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架构简易，适合项目的快速落地。</w:t>
      </w:r>
    </w:p>
    <w:p w14:paraId="447CFB87">
      <w:pPr>
        <w:widowControl/>
        <w:spacing w:line="360" w:lineRule="auto"/>
        <w:ind w:firstLine="420" w:firstLineChars="200"/>
        <w:jc w:val="left"/>
        <w:rPr>
          <w:rFonts w:ascii="宋体" w:hAnsi="宋体" w:eastAsia="宋体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(2)易于维护</w:t>
      </w:r>
    </w:p>
    <w:p w14:paraId="119718EA">
      <w:pPr>
        <w:pStyle w:val="15"/>
        <w:widowControl/>
        <w:numPr>
          <w:ilvl w:val="0"/>
          <w:numId w:val="4"/>
        </w:numPr>
        <w:spacing w:line="360" w:lineRule="auto"/>
        <w:ind w:firstLineChars="0"/>
        <w:jc w:val="left"/>
        <w:rPr>
          <w:rFonts w:ascii="宋体" w:hAnsi="宋体" w:eastAsia="宋体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本系统层级顺序严格，仅限邻层进行交互；一个层级出现故障，不会直接蔓延到其他层级，减少故障处理的任务量；</w:t>
      </w:r>
    </w:p>
    <w:p w14:paraId="3D83B770">
      <w:pPr>
        <w:pStyle w:val="15"/>
        <w:widowControl/>
        <w:numPr>
          <w:ilvl w:val="0"/>
          <w:numId w:val="4"/>
        </w:numPr>
        <w:spacing w:line="360" w:lineRule="auto"/>
        <w:ind w:firstLineChars="0"/>
        <w:jc w:val="left"/>
        <w:rPr>
          <w:rFonts w:hint="eastAsia" w:ascii="宋体" w:hAnsi="宋体" w:eastAsia="宋体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技术选型灵活，每层可单独替换技术框架，如数据层可以由MySQL更换为MongoDB，只需更改通讯层、数据层相关代码和数据库操作。</w:t>
      </w:r>
    </w:p>
    <w:p w14:paraId="5D7D369E">
      <w:pPr>
        <w:widowControl/>
        <w:spacing w:line="360" w:lineRule="auto"/>
        <w:ind w:firstLine="420" w:firstLineChars="200"/>
        <w:jc w:val="left"/>
        <w:rPr>
          <w:rFonts w:ascii="宋体" w:hAnsi="宋体" w:eastAsia="宋体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(3)扩展性强</w:t>
      </w:r>
    </w:p>
    <w:p w14:paraId="3E4B9647">
      <w:pPr>
        <w:pStyle w:val="15"/>
        <w:widowControl/>
        <w:numPr>
          <w:ilvl w:val="0"/>
          <w:numId w:val="5"/>
        </w:numPr>
        <w:spacing w:line="360" w:lineRule="auto"/>
        <w:ind w:firstLineChars="0"/>
        <w:jc w:val="left"/>
        <w:rPr>
          <w:rFonts w:ascii="宋体" w:hAnsi="宋体" w:eastAsia="宋体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便于新增业务：若加入优惠券、拼单等功能时，仅需对分层进行扩展操作（表现层新加功能入口、逻辑层新增相关逻辑、通讯层实现接口并与数据层对接）；</w:t>
      </w:r>
    </w:p>
    <w:p w14:paraId="3CA7E736">
      <w:pPr>
        <w:pStyle w:val="15"/>
        <w:widowControl/>
        <w:numPr>
          <w:ilvl w:val="0"/>
          <w:numId w:val="5"/>
        </w:numPr>
        <w:spacing w:line="360" w:lineRule="auto"/>
        <w:ind w:firstLineChars="0"/>
        <w:jc w:val="left"/>
        <w:rPr>
          <w:rFonts w:hint="eastAsia" w:ascii="宋体" w:hAnsi="宋体" w:eastAsia="宋体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垂直扩展精准：如对于高负载场景（线上订餐中午高峰期），仅需扩容逻辑层的订单管理子系统。</w:t>
      </w:r>
    </w:p>
    <w:p w14:paraId="3E83FCDC">
      <w:pPr>
        <w:widowControl/>
        <w:jc w:val="left"/>
        <w:rPr>
          <w:rFonts w:hint="eastAsia" w:ascii="宋体" w:hAnsi="宋体" w:eastAsia="宋体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br w:type="page"/>
      </w:r>
    </w:p>
    <w:p w14:paraId="14CD76C2">
      <w:pPr>
        <w:widowControl/>
        <w:jc w:val="left"/>
        <w:rPr>
          <w:rFonts w:hint="eastAsia" w:ascii="宋体" w:hAnsi="宋体" w:eastAsia="宋体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</w:p>
    <w:p w14:paraId="4011FB26">
      <w:pPr>
        <w:pStyle w:val="2"/>
        <w:numPr>
          <w:ilvl w:val="0"/>
          <w:numId w:val="6"/>
        </w:numPr>
        <w:ind w:left="239"/>
        <w:rPr>
          <w:rFonts w:ascii="黑体" w:hAnsi="黑体" w:eastAsia="黑体"/>
          <w:lang w:eastAsia="zh-CN"/>
        </w:rPr>
      </w:pPr>
      <w:bookmarkStart w:id="10" w:name="_Toc14066"/>
      <w:r>
        <w:rPr>
          <w:rFonts w:hint="eastAsia" w:ascii="黑体" w:hAnsi="黑体" w:eastAsia="黑体"/>
          <w:lang w:eastAsia="zh-CN"/>
        </w:rPr>
        <w:t>设计资产（撰写人：）</w:t>
      </w:r>
      <w:bookmarkEnd w:id="10"/>
    </w:p>
    <w:p w14:paraId="0AAF1905">
      <w:pPr>
        <w:pStyle w:val="15"/>
        <w:ind w:left="425" w:firstLine="0" w:firstLineChars="0"/>
        <w:rPr>
          <w:rFonts w:hint="eastAsia"/>
          <w:b/>
          <w:bCs/>
          <w:vanish/>
        </w:rPr>
      </w:pPr>
    </w:p>
    <w:p w14:paraId="3DEE1791">
      <w:pPr>
        <w:pStyle w:val="15"/>
        <w:numPr>
          <w:ilvl w:val="0"/>
          <w:numId w:val="7"/>
        </w:numPr>
        <w:ind w:firstLineChars="0"/>
        <w:rPr>
          <w:b/>
          <w:bCs/>
          <w:vanish/>
        </w:rPr>
      </w:pPr>
    </w:p>
    <w:p w14:paraId="45EE2F28">
      <w:pPr>
        <w:pStyle w:val="15"/>
        <w:numPr>
          <w:ilvl w:val="0"/>
          <w:numId w:val="8"/>
        </w:numPr>
        <w:ind w:firstLineChars="0"/>
        <w:rPr>
          <w:b/>
          <w:bCs/>
          <w:vanish/>
        </w:rPr>
      </w:pPr>
    </w:p>
    <w:p w14:paraId="0DA85979">
      <w:pPr>
        <w:pStyle w:val="15"/>
        <w:numPr>
          <w:ilvl w:val="0"/>
          <w:numId w:val="8"/>
        </w:numPr>
        <w:ind w:firstLineChars="0"/>
        <w:rPr>
          <w:b/>
          <w:bCs/>
          <w:vanish/>
        </w:rPr>
      </w:pPr>
    </w:p>
    <w:p w14:paraId="0C52ADB6">
      <w:pPr>
        <w:pStyle w:val="3"/>
        <w:rPr>
          <w:rFonts w:hint="eastAsia" w:asciiTheme="majorEastAsia" w:hAnsiTheme="majorEastAsia" w:eastAsiaTheme="majorEastAsia" w:cstheme="majorEastAsia"/>
        </w:rPr>
      </w:pPr>
      <w:bookmarkStart w:id="11" w:name="_Toc30730"/>
      <w:r>
        <w:rPr>
          <w:rFonts w:hint="eastAsia" w:asciiTheme="majorEastAsia" w:hAnsiTheme="majorEastAsia" w:eastAsiaTheme="majorEastAsia" w:cstheme="majorEastAsia"/>
        </w:rPr>
        <w:t>2.1 设计资产集成视图</w:t>
      </w:r>
      <w:bookmarkEnd w:id="11"/>
    </w:p>
    <w:p w14:paraId="5ADEC9FA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274310" cy="3908425"/>
            <wp:effectExtent l="0" t="0" r="2540" b="0"/>
            <wp:docPr id="1747105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10550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0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751C4"/>
    <w:p w14:paraId="3E088CCB">
      <w:r>
        <w:rPr>
          <w:b/>
          <w:bCs/>
        </w:rPr>
        <w:t>图说明：</w:t>
      </w:r>
    </w:p>
    <w:p w14:paraId="690E1140">
      <w:pPr>
        <w:numPr>
          <w:ilvl w:val="0"/>
          <w:numId w:val="9"/>
        </w:numPr>
      </w:pPr>
      <w:r>
        <w:rPr>
          <w:b/>
          <w:bCs/>
        </w:rPr>
        <w:t>Z-Meal云系统</w:t>
      </w:r>
      <w:r>
        <w:t>并不直接操作底层的数据库或直接调用微信服务器，而是依赖于中间定义的</w:t>
      </w:r>
      <w:r>
        <w:rPr>
          <w:b/>
          <w:bCs/>
        </w:rPr>
        <w:t>接口 (Interface)</w:t>
      </w:r>
      <w:r>
        <w:t>，如 IPaymentService 和 IAuthVerify。</w:t>
      </w:r>
    </w:p>
    <w:p w14:paraId="5BB8A55B">
      <w:pPr>
        <w:numPr>
          <w:ilvl w:val="0"/>
          <w:numId w:val="9"/>
        </w:numPr>
      </w:pPr>
      <w:r>
        <w:rPr>
          <w:b/>
          <w:bCs/>
        </w:rPr>
        <w:t>微信支付构件</w:t>
      </w:r>
      <w:r>
        <w:t>实现了支付接口，负责与外部微信API进行交互。</w:t>
      </w:r>
    </w:p>
    <w:p w14:paraId="55AC7D7B">
      <w:pPr>
        <w:numPr>
          <w:ilvl w:val="0"/>
          <w:numId w:val="9"/>
        </w:numPr>
      </w:pPr>
      <w:r>
        <w:rPr>
          <w:b/>
          <w:bCs/>
        </w:rPr>
        <w:t>注册验证构件</w:t>
      </w:r>
      <w:r>
        <w:t>实现了认证接口，封装了发送验证码和校验逻辑，属于逻辑层的核心组件。</w:t>
      </w:r>
    </w:p>
    <w:p w14:paraId="5556C753">
      <w:pPr>
        <w:numPr>
          <w:ilvl w:val="0"/>
          <w:numId w:val="9"/>
        </w:numPr>
      </w:pPr>
      <w:r>
        <w:rPr>
          <w:b/>
          <w:bCs/>
        </w:rPr>
        <w:t>数据库连接中间件</w:t>
      </w:r>
      <w:r>
        <w:t>和</w:t>
      </w:r>
      <w:r>
        <w:rPr>
          <w:b/>
          <w:bCs/>
        </w:rPr>
        <w:t>WeUI组件库</w:t>
      </w:r>
      <w:r>
        <w:t>分别在数据层和表现层提供了标准化的底层支持。</w:t>
      </w:r>
    </w:p>
    <w:p w14:paraId="7D29ADB7"/>
    <w:p w14:paraId="42FA3B45">
      <w:pPr>
        <w:pStyle w:val="3"/>
        <w:rPr>
          <w:rFonts w:hint="eastAsia" w:asciiTheme="majorEastAsia" w:hAnsiTheme="majorEastAsia" w:eastAsiaTheme="majorEastAsia" w:cstheme="majorEastAsia"/>
        </w:rPr>
      </w:pPr>
      <w:bookmarkStart w:id="12" w:name="_Toc21210"/>
      <w:r>
        <w:rPr>
          <w:rFonts w:hint="eastAsia" w:asciiTheme="majorEastAsia" w:hAnsiTheme="majorEastAsia" w:eastAsiaTheme="majorEastAsia" w:cstheme="majorEastAsia"/>
        </w:rPr>
        <w:t>2.2 引入资产说明</w:t>
      </w:r>
      <w:bookmarkEnd w:id="12"/>
    </w:p>
    <w:p w14:paraId="14C08E3A">
      <w:pPr>
        <w:spacing w:line="360" w:lineRule="auto"/>
      </w:pPr>
      <w:r>
        <w:t>根据本项目的分层架构（用户层、表现层、逻辑层、通讯层、数据层），我们引入以下四类设计资产：</w:t>
      </w:r>
    </w:p>
    <w:p w14:paraId="3A1CF77A">
      <w:pPr>
        <w:pStyle w:val="15"/>
        <w:widowControl/>
        <w:numPr>
          <w:ilvl w:val="0"/>
          <w:numId w:val="10"/>
        </w:numPr>
        <w:spacing w:line="360" w:lineRule="auto"/>
        <w:ind w:firstLineChars="0"/>
        <w:jc w:val="left"/>
        <w:rPr>
          <w:rFonts w:hint="eastAsia" w:asciiTheme="minorEastAsia" w:hAnsiTheme="minorEastAsia" w:cstheme="minorEastAsia"/>
          <w:szCs w:val="21"/>
        </w:rPr>
      </w:pPr>
      <w:r>
        <w:rPr>
          <w:rFonts w:hint="eastAsia" w:asciiTheme="minorEastAsia" w:hAnsiTheme="minorEastAsia" w:cstheme="minorEastAsia"/>
          <w:szCs w:val="21"/>
        </w:rPr>
        <w:t>构件库——业务复用</w:t>
      </w:r>
    </w:p>
    <w:p w14:paraId="044EC3D6">
      <w:pPr>
        <w:widowControl/>
        <w:spacing w:line="360" w:lineRule="auto"/>
        <w:ind w:firstLine="420"/>
        <w:jc w:val="left"/>
        <w:rPr>
          <w:rFonts w:hint="eastAsia" w:asciiTheme="minorEastAsia" w:hAnsiTheme="minorEastAsia" w:cstheme="minorEastAsia"/>
          <w:szCs w:val="21"/>
        </w:rPr>
      </w:pPr>
      <w:r>
        <w:rPr>
          <w:rFonts w:hint="eastAsia" w:asciiTheme="minorEastAsia" w:hAnsiTheme="minorEastAsia" w:cstheme="minorEastAsia"/>
          <w:szCs w:val="21"/>
        </w:rPr>
        <w:t>引用资产： 身份认证构件、订单处理构件。</w:t>
      </w:r>
    </w:p>
    <w:p w14:paraId="5CBBAB47">
      <w:pPr>
        <w:widowControl/>
        <w:spacing w:line="360" w:lineRule="auto"/>
        <w:ind w:firstLine="420"/>
        <w:jc w:val="left"/>
        <w:rPr>
          <w:rFonts w:hint="eastAsia" w:asciiTheme="minorEastAsia" w:hAnsiTheme="minorEastAsia" w:cstheme="minorEastAsia"/>
          <w:szCs w:val="21"/>
        </w:rPr>
      </w:pPr>
      <w:r>
        <w:rPr>
          <w:rFonts w:hint="eastAsia" w:asciiTheme="minorEastAsia" w:hAnsiTheme="minorEastAsia" w:cstheme="minorEastAsia"/>
          <w:szCs w:val="21"/>
        </w:rPr>
        <w:t>将通用的逻辑封装为独立构件。身份认证构件不仅用于顾客登录，也可用于商家后台管理登录；订单构件封装了下单、状态流转的标准逻辑，供不同子系统调用。</w:t>
      </w:r>
    </w:p>
    <w:p w14:paraId="26A6A806">
      <w:pPr>
        <w:pStyle w:val="15"/>
        <w:widowControl/>
        <w:numPr>
          <w:ilvl w:val="0"/>
          <w:numId w:val="10"/>
        </w:numPr>
        <w:spacing w:line="360" w:lineRule="auto"/>
        <w:ind w:firstLineChars="0"/>
        <w:jc w:val="left"/>
        <w:rPr>
          <w:rFonts w:hint="eastAsia" w:asciiTheme="minorEastAsia" w:hAnsiTheme="minorEastAsia" w:cstheme="minorEastAsia"/>
          <w:szCs w:val="21"/>
        </w:rPr>
      </w:pPr>
      <w:r>
        <w:rPr>
          <w:rFonts w:hint="eastAsia" w:asciiTheme="minorEastAsia" w:hAnsiTheme="minorEastAsia" w:cstheme="minorEastAsia"/>
          <w:szCs w:val="21"/>
        </w:rPr>
        <w:t>服务库——外部能力集成</w:t>
      </w:r>
    </w:p>
    <w:p w14:paraId="6288B0DD">
      <w:pPr>
        <w:widowControl/>
        <w:spacing w:line="360" w:lineRule="auto"/>
        <w:ind w:left="420"/>
        <w:jc w:val="left"/>
        <w:rPr>
          <w:rFonts w:hint="eastAsia" w:asciiTheme="minorEastAsia" w:hAnsiTheme="minorEastAsia" w:cstheme="minorEastAsia"/>
          <w:szCs w:val="21"/>
        </w:rPr>
      </w:pPr>
      <w:r>
        <w:rPr>
          <w:rFonts w:hint="eastAsia" w:asciiTheme="minorEastAsia" w:hAnsiTheme="minorEastAsia" w:cstheme="minorEastAsia"/>
          <w:szCs w:val="21"/>
        </w:rPr>
        <w:t>引用资产： 微信支付服务。</w:t>
      </w:r>
    </w:p>
    <w:p w14:paraId="68A27995">
      <w:pPr>
        <w:widowControl/>
        <w:spacing w:line="360" w:lineRule="auto"/>
        <w:ind w:firstLine="420" w:firstLineChars="200"/>
        <w:jc w:val="left"/>
        <w:rPr>
          <w:rFonts w:hint="eastAsia" w:asciiTheme="minorEastAsia" w:hAnsiTheme="minorEastAsia" w:cstheme="minorEastAsia"/>
          <w:szCs w:val="21"/>
        </w:rPr>
      </w:pPr>
      <w:r>
        <w:rPr>
          <w:rFonts w:hint="eastAsia" w:asciiTheme="minorEastAsia" w:hAnsiTheme="minorEastAsia" w:cstheme="minorEastAsia"/>
          <w:szCs w:val="21"/>
        </w:rPr>
        <w:t>利用通讯层的外部接口，引入第三方成熟服务，微信支付用于处理资金流。</w:t>
      </w:r>
    </w:p>
    <w:p w14:paraId="3C1F3D0B">
      <w:pPr>
        <w:pStyle w:val="15"/>
        <w:widowControl/>
        <w:numPr>
          <w:ilvl w:val="0"/>
          <w:numId w:val="10"/>
        </w:numPr>
        <w:spacing w:line="360" w:lineRule="auto"/>
        <w:ind w:firstLineChars="0"/>
        <w:jc w:val="left"/>
        <w:rPr>
          <w:rFonts w:hint="eastAsia" w:asciiTheme="minorEastAsia" w:hAnsiTheme="minorEastAsia" w:cstheme="minorEastAsia"/>
          <w:szCs w:val="21"/>
        </w:rPr>
      </w:pPr>
      <w:r>
        <w:rPr>
          <w:rFonts w:hint="eastAsia" w:asciiTheme="minorEastAsia" w:hAnsiTheme="minorEastAsia" w:cstheme="minorEastAsia"/>
          <w:szCs w:val="21"/>
        </w:rPr>
        <w:t>类库——开发基础</w:t>
      </w:r>
    </w:p>
    <w:p w14:paraId="1575A8C3">
      <w:pPr>
        <w:widowControl/>
        <w:spacing w:line="360" w:lineRule="auto"/>
        <w:ind w:left="420"/>
        <w:jc w:val="left"/>
        <w:rPr>
          <w:rFonts w:hint="eastAsia" w:asciiTheme="minorEastAsia" w:hAnsiTheme="minorEastAsia" w:cstheme="minorEastAsia"/>
          <w:szCs w:val="21"/>
        </w:rPr>
      </w:pPr>
      <w:r>
        <w:rPr>
          <w:rFonts w:hint="eastAsia" w:asciiTheme="minorEastAsia" w:hAnsiTheme="minorEastAsia" w:cstheme="minorEastAsia"/>
          <w:szCs w:val="21"/>
        </w:rPr>
        <w:t>引用资产： WeUI 组件库。</w:t>
      </w:r>
    </w:p>
    <w:p w14:paraId="5DD80B8B">
      <w:pPr>
        <w:widowControl/>
        <w:spacing w:line="360" w:lineRule="auto"/>
        <w:ind w:firstLine="420"/>
        <w:jc w:val="left"/>
        <w:rPr>
          <w:rFonts w:hint="eastAsia" w:asciiTheme="minorEastAsia" w:hAnsiTheme="minorEastAsia" w:cstheme="minorEastAsia"/>
          <w:szCs w:val="21"/>
        </w:rPr>
      </w:pPr>
      <w:r>
        <w:rPr>
          <w:rFonts w:hint="eastAsia" w:asciiTheme="minorEastAsia" w:hAnsiTheme="minorEastAsia" w:cstheme="minorEastAsia"/>
          <w:szCs w:val="21"/>
        </w:rPr>
        <w:t>前端引入微信官方的 WeUI 样式库，复用现成的按钮、列表、弹窗等UI组件，确保小程序界面风格统一且符合用户习惯。</w:t>
      </w:r>
    </w:p>
    <w:p w14:paraId="443FB102">
      <w:pPr>
        <w:pStyle w:val="15"/>
        <w:widowControl/>
        <w:numPr>
          <w:ilvl w:val="0"/>
          <w:numId w:val="10"/>
        </w:numPr>
        <w:spacing w:line="360" w:lineRule="auto"/>
        <w:ind w:firstLineChars="0"/>
        <w:jc w:val="left"/>
        <w:rPr>
          <w:rFonts w:hint="eastAsia" w:asciiTheme="minorEastAsia" w:hAnsiTheme="minorEastAsia" w:cstheme="minorEastAsia"/>
          <w:szCs w:val="21"/>
        </w:rPr>
      </w:pPr>
      <w:r>
        <w:rPr>
          <w:rFonts w:hint="eastAsia" w:asciiTheme="minorEastAsia" w:hAnsiTheme="minorEastAsia" w:cstheme="minorEastAsia"/>
          <w:szCs w:val="21"/>
        </w:rPr>
        <w:t>中间件——异构连接</w:t>
      </w:r>
    </w:p>
    <w:p w14:paraId="5A766793">
      <w:pPr>
        <w:widowControl/>
        <w:spacing w:line="360" w:lineRule="auto"/>
        <w:ind w:left="420"/>
        <w:jc w:val="left"/>
        <w:rPr>
          <w:rFonts w:hint="eastAsia" w:asciiTheme="minorEastAsia" w:hAnsiTheme="minorEastAsia" w:cstheme="minorEastAsia"/>
          <w:szCs w:val="21"/>
        </w:rPr>
      </w:pPr>
      <w:r>
        <w:rPr>
          <w:rFonts w:hint="eastAsia" w:asciiTheme="minorEastAsia" w:hAnsiTheme="minorEastAsia" w:cstheme="minorEastAsia"/>
          <w:szCs w:val="21"/>
        </w:rPr>
        <w:t>引用资产： 数据库连接池中间件。</w:t>
      </w:r>
    </w:p>
    <w:p w14:paraId="0B70680B">
      <w:pPr>
        <w:widowControl/>
        <w:spacing w:line="360" w:lineRule="auto"/>
        <w:ind w:firstLine="420" w:firstLineChars="200"/>
        <w:jc w:val="left"/>
        <w:rPr>
          <w:rFonts w:hint="eastAsia" w:asciiTheme="minorEastAsia" w:hAnsiTheme="minorEastAsia" w:cstheme="minorEastAsia"/>
          <w:szCs w:val="21"/>
        </w:rPr>
      </w:pPr>
      <w:r>
        <w:rPr>
          <w:rFonts w:hint="eastAsia" w:asciiTheme="minorEastAsia" w:hAnsiTheme="minorEastAsia" w:cstheme="minorEastAsia"/>
          <w:szCs w:val="21"/>
        </w:rPr>
        <w:t>负责管理系统与MySQL数据库之间的连接。通过复用连接池，避免频繁创建和销毁数据库连接带来的性能开销，增强系统在高并发点餐场景下的稳定性。</w:t>
      </w:r>
    </w:p>
    <w:p w14:paraId="72542836">
      <w:r>
        <w:br w:type="page"/>
      </w:r>
    </w:p>
    <w:p w14:paraId="2197A4FE">
      <w:pPr>
        <w:pStyle w:val="2"/>
        <w:numPr>
          <w:ilvl w:val="0"/>
          <w:numId w:val="6"/>
        </w:numPr>
        <w:spacing w:line="360" w:lineRule="auto"/>
        <w:ind w:left="239"/>
        <w:rPr>
          <w:rFonts w:hint="eastAsia" w:asciiTheme="minorEastAsia" w:hAnsiTheme="minorEastAsia" w:cstheme="minorEastAsia"/>
          <w:spacing w:val="-10"/>
          <w:kern w:val="0"/>
          <w:sz w:val="24"/>
          <w:szCs w:val="24"/>
          <w:lang w:eastAsia="zh-CN"/>
        </w:rPr>
      </w:pPr>
      <w:bookmarkStart w:id="13" w:name="_Toc18452"/>
      <w:r>
        <w:rPr>
          <w:rFonts w:hint="eastAsia" w:ascii="黑体" w:hAnsi="黑体" w:eastAsia="黑体" w:cs="黑体"/>
          <w:sz w:val="24"/>
          <w:szCs w:val="24"/>
          <w:lang w:eastAsia="zh-CN"/>
        </w:rPr>
        <w:t>构件抽取与设计（撰写人：）</w:t>
      </w:r>
      <w:bookmarkEnd w:id="13"/>
    </w:p>
    <w:p w14:paraId="51A16409">
      <w:pPr>
        <w:pStyle w:val="3"/>
        <w:rPr>
          <w:rFonts w:hint="eastAsia" w:asciiTheme="majorEastAsia" w:hAnsiTheme="majorEastAsia" w:eastAsiaTheme="majorEastAsia" w:cstheme="majorEastAsia"/>
        </w:rPr>
      </w:pPr>
      <w:bookmarkStart w:id="14" w:name="_Toc30614"/>
      <w:r>
        <w:rPr>
          <w:rFonts w:hint="eastAsia" w:asciiTheme="majorEastAsia" w:hAnsiTheme="majorEastAsia" w:eastAsiaTheme="majorEastAsia" w:cstheme="majorEastAsia"/>
        </w:rPr>
        <w:t>3.1 构建软件定义图</w:t>
      </w:r>
      <w:bookmarkEnd w:id="14"/>
    </w:p>
    <w:p w14:paraId="37879D37">
      <w:pPr>
        <w:widowControl/>
        <w:spacing w:line="360" w:lineRule="auto"/>
        <w:ind w:firstLine="420"/>
        <w:jc w:val="left"/>
        <w:rPr>
          <w:rFonts w:hint="eastAsia" w:asciiTheme="minorEastAsia" w:hAnsiTheme="minorEastAsia" w:cstheme="minorEastAsia"/>
          <w:szCs w:val="21"/>
        </w:rPr>
      </w:pPr>
      <w:r>
        <w:rPr>
          <w:rFonts w:hint="eastAsia" w:asciiTheme="minorEastAsia" w:hAnsiTheme="minorEastAsia" w:cstheme="minorEastAsia"/>
          <w:szCs w:val="21"/>
        </w:rPr>
        <w:t>在本系统的整体架构中，订单管理模块是连接理工师生端、商家端以及微信支付系统的核心业务流程，其复杂度高、涉及模块多、交互频繁，因此抽象为一个独立构件具有明确必要性。</w:t>
      </w:r>
    </w:p>
    <w:p w14:paraId="68A708B1">
      <w:pPr>
        <w:widowControl/>
        <w:spacing w:line="360" w:lineRule="auto"/>
        <w:ind w:firstLine="420"/>
        <w:jc w:val="left"/>
      </w:pPr>
      <w:r>
        <w:rPr>
          <w:rFonts w:hint="eastAsia" w:asciiTheme="minorEastAsia" w:hAnsiTheme="minorEastAsia" w:cstheme="minorEastAsia"/>
          <w:szCs w:val="21"/>
        </w:rPr>
        <w:t>其构建定义图如图所示：</w:t>
      </w:r>
      <w:r>
        <w:drawing>
          <wp:inline distT="0" distB="0" distL="114300" distR="114300">
            <wp:extent cx="5270500" cy="3985260"/>
            <wp:effectExtent l="0" t="0" r="0" b="254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8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5539A">
      <w:pPr>
        <w:pStyle w:val="3"/>
        <w:rPr>
          <w:rFonts w:asciiTheme="minorEastAsia" w:hAnsiTheme="minorEastAsia" w:cstheme="minorEastAsia"/>
          <w:szCs w:val="21"/>
        </w:rPr>
      </w:pPr>
      <w:bookmarkStart w:id="15" w:name="_Toc6894"/>
      <w:r>
        <w:rPr>
          <w:rFonts w:hint="eastAsia" w:asciiTheme="majorEastAsia" w:hAnsiTheme="majorEastAsia" w:eastAsiaTheme="majorEastAsia" w:cstheme="majorEastAsia"/>
        </w:rPr>
        <w:t>3.2 订单管理构件的体系结构设计说明</w:t>
      </w:r>
      <w:bookmarkEnd w:id="15"/>
    </w:p>
    <w:p w14:paraId="46652AF7">
      <w:pPr>
        <w:widowControl/>
        <w:spacing w:line="360" w:lineRule="auto"/>
        <w:ind w:firstLine="420"/>
        <w:jc w:val="left"/>
        <w:rPr>
          <w:rFonts w:hint="eastAsia" w:asciiTheme="minorEastAsia" w:hAnsiTheme="minorEastAsia" w:cstheme="minorEastAsia"/>
          <w:szCs w:val="21"/>
        </w:rPr>
      </w:pPr>
      <w:r>
        <w:rPr>
          <w:rFonts w:hint="eastAsia" w:asciiTheme="minorEastAsia" w:hAnsiTheme="minorEastAsia" w:cstheme="minorEastAsia"/>
          <w:szCs w:val="21"/>
        </w:rPr>
        <w:t>在本系统的体系结构设计中，将订单管理子系统整体设计为一个独立的软件构件。构件以UML中的构件符号图中的立方体标识进行表示，其边界以淡黄色区域明确划出，表明该构件内部的逻辑实现对系统其他部分保持封装与隐藏。</w:t>
      </w:r>
    </w:p>
    <w:p w14:paraId="322E0E7D">
      <w:pPr>
        <w:widowControl/>
        <w:spacing w:line="360" w:lineRule="auto"/>
        <w:ind w:firstLine="420"/>
        <w:jc w:val="left"/>
        <w:rPr>
          <w:rFonts w:hint="eastAsia" w:asciiTheme="minorEastAsia" w:hAnsiTheme="minorEastAsia" w:cstheme="minorEastAsia"/>
          <w:szCs w:val="21"/>
        </w:rPr>
      </w:pPr>
      <w:r>
        <w:rPr>
          <w:rFonts w:hint="eastAsia" w:asciiTheme="minorEastAsia" w:hAnsiTheme="minorEastAsia" w:cstheme="minorEastAsia"/>
          <w:szCs w:val="21"/>
        </w:rPr>
        <w:t>在构件内部，根据业务职责可进一步拆分为三个子模块：</w:t>
      </w:r>
    </w:p>
    <w:p w14:paraId="2BEE9333">
      <w:pPr>
        <w:widowControl/>
        <w:spacing w:line="360" w:lineRule="auto"/>
        <w:ind w:firstLine="420"/>
        <w:jc w:val="left"/>
        <w:rPr>
          <w:rFonts w:hint="eastAsia" w:asciiTheme="minorEastAsia" w:hAnsiTheme="minorEastAsia" w:cstheme="minorEastAsia"/>
          <w:szCs w:val="21"/>
        </w:rPr>
      </w:pPr>
      <w:r>
        <w:rPr>
          <w:rFonts w:hint="eastAsia" w:asciiTheme="minorEastAsia" w:hAnsiTheme="minorEastAsia" w:cstheme="minorEastAsia"/>
          <w:szCs w:val="21"/>
        </w:rPr>
        <w:t>① 提交订单模块（Submit Order）</w:t>
      </w:r>
    </w:p>
    <w:p w14:paraId="7A91D16F">
      <w:pPr>
        <w:widowControl/>
        <w:spacing w:line="360" w:lineRule="auto"/>
        <w:ind w:firstLine="420"/>
        <w:jc w:val="left"/>
        <w:rPr>
          <w:rFonts w:hint="eastAsia" w:asciiTheme="minorEastAsia" w:hAnsiTheme="minorEastAsia" w:cstheme="minorEastAsia"/>
          <w:szCs w:val="21"/>
        </w:rPr>
      </w:pPr>
      <w:r>
        <w:rPr>
          <w:rFonts w:hint="eastAsia" w:asciiTheme="minorEastAsia" w:hAnsiTheme="minorEastAsia" w:cstheme="minorEastAsia"/>
          <w:szCs w:val="21"/>
        </w:rPr>
        <w:t>负责接收理工师生提交的订单请求，包括数据校验、订单初始化、生成订单号等功能。在图中由构件接收来自顾客请求/Information的输入后调用。</w:t>
      </w:r>
    </w:p>
    <w:p w14:paraId="471C7B39">
      <w:pPr>
        <w:widowControl/>
        <w:spacing w:line="360" w:lineRule="auto"/>
        <w:ind w:firstLine="420"/>
        <w:jc w:val="left"/>
        <w:rPr>
          <w:rFonts w:hint="eastAsia" w:asciiTheme="minorEastAsia" w:hAnsiTheme="minorEastAsia" w:cstheme="minorEastAsia"/>
          <w:szCs w:val="21"/>
        </w:rPr>
      </w:pPr>
      <w:r>
        <w:rPr>
          <w:rFonts w:hint="eastAsia" w:asciiTheme="minorEastAsia" w:hAnsiTheme="minorEastAsia" w:cstheme="minorEastAsia"/>
          <w:szCs w:val="21"/>
        </w:rPr>
        <w:t>② 付款模块（Payment）</w:t>
      </w:r>
    </w:p>
    <w:p w14:paraId="2AB002C4">
      <w:pPr>
        <w:widowControl/>
        <w:spacing w:line="360" w:lineRule="auto"/>
        <w:ind w:firstLine="420"/>
        <w:jc w:val="left"/>
        <w:rPr>
          <w:rFonts w:hint="eastAsia" w:asciiTheme="minorEastAsia" w:hAnsiTheme="minorEastAsia" w:cstheme="minorEastAsia"/>
          <w:szCs w:val="21"/>
        </w:rPr>
      </w:pPr>
      <w:r>
        <w:rPr>
          <w:rFonts w:hint="eastAsia" w:asciiTheme="minorEastAsia" w:hAnsiTheme="minorEastAsia" w:cstheme="minorEastAsia"/>
          <w:szCs w:val="21"/>
        </w:rPr>
        <w:t>通过Required Port对接 微信支付系统，处理支付请求和支付回调，支付成功后通过 update()向订单详情模块更新订单支付状态。</w:t>
      </w:r>
    </w:p>
    <w:p w14:paraId="3D66D080">
      <w:pPr>
        <w:widowControl/>
        <w:spacing w:line="360" w:lineRule="auto"/>
        <w:ind w:firstLine="420"/>
        <w:jc w:val="left"/>
        <w:rPr>
          <w:rFonts w:hint="eastAsia" w:asciiTheme="minorEastAsia" w:hAnsiTheme="minorEastAsia" w:cstheme="minorEastAsia"/>
          <w:szCs w:val="21"/>
        </w:rPr>
      </w:pPr>
      <w:r>
        <w:rPr>
          <w:rFonts w:hint="eastAsia" w:asciiTheme="minorEastAsia" w:hAnsiTheme="minorEastAsia" w:cstheme="minorEastAsia"/>
          <w:szCs w:val="21"/>
        </w:rPr>
        <w:t>③订单详情模块（Order Detail）</w:t>
      </w:r>
    </w:p>
    <w:p w14:paraId="2C599A4A">
      <w:pPr>
        <w:widowControl/>
        <w:spacing w:line="360" w:lineRule="auto"/>
        <w:ind w:firstLine="420"/>
        <w:jc w:val="left"/>
        <w:rPr>
          <w:rFonts w:hint="eastAsia" w:asciiTheme="minorEastAsia" w:hAnsiTheme="minorEastAsia" w:cstheme="minorEastAsia"/>
          <w:szCs w:val="21"/>
        </w:rPr>
      </w:pPr>
      <w:r>
        <w:rPr>
          <w:rFonts w:hint="eastAsia" w:asciiTheme="minorEastAsia" w:hAnsiTheme="minorEastAsia" w:cstheme="minorEastAsia"/>
          <w:szCs w:val="21"/>
        </w:rPr>
        <w:t>管理订单的持久化信息，包括取餐码、订单状态、预计取餐时间等。同时，它通过Required Port响应顾客查询/Query请求，返回订单详情。构件内部模块之间通过明确的接口，如call()、update()进行协作，体现出构件内部的 分层化、可组合式结构，同时对外仅暴露必要的接口。</w:t>
      </w:r>
    </w:p>
    <w:p w14:paraId="0480CFEB">
      <w:pPr>
        <w:widowControl/>
        <w:spacing w:line="360" w:lineRule="auto"/>
        <w:ind w:firstLine="420"/>
        <w:jc w:val="left"/>
        <w:rPr>
          <w:rFonts w:hint="eastAsia" w:asciiTheme="minorEastAsia" w:hAnsiTheme="minorEastAsia" w:cstheme="minorEastAsia"/>
          <w:szCs w:val="21"/>
        </w:rPr>
      </w:pPr>
      <w:r>
        <w:rPr>
          <w:rFonts w:hint="eastAsia" w:asciiTheme="minorEastAsia" w:hAnsiTheme="minorEastAsia" w:cstheme="minorEastAsia"/>
          <w:szCs w:val="21"/>
        </w:rPr>
        <w:t>订单管理构件与两个外部主体进行交互：</w:t>
      </w:r>
    </w:p>
    <w:p w14:paraId="5CB52557">
      <w:pPr>
        <w:widowControl/>
        <w:spacing w:line="360" w:lineRule="auto"/>
        <w:ind w:firstLine="420"/>
        <w:jc w:val="left"/>
        <w:rPr>
          <w:rFonts w:hint="eastAsia" w:asciiTheme="minorEastAsia" w:hAnsiTheme="minorEastAsia" w:cstheme="minorEastAsia"/>
          <w:szCs w:val="21"/>
        </w:rPr>
      </w:pPr>
      <w:r>
        <w:rPr>
          <w:rFonts w:hint="eastAsia" w:asciiTheme="minorEastAsia" w:hAnsiTheme="minorEastAsia" w:cstheme="minorEastAsia"/>
          <w:szCs w:val="21"/>
        </w:rPr>
        <w:t>①理工师生（小程序端）：用于发起订单创建、订单查询、支付操作。</w:t>
      </w:r>
    </w:p>
    <w:p w14:paraId="2C665293">
      <w:pPr>
        <w:widowControl/>
        <w:spacing w:line="360" w:lineRule="auto"/>
        <w:ind w:firstLine="420"/>
        <w:jc w:val="left"/>
        <w:rPr>
          <w:rFonts w:hint="eastAsia" w:asciiTheme="minorEastAsia" w:hAnsiTheme="minorEastAsia" w:cstheme="minorEastAsia"/>
          <w:szCs w:val="21"/>
        </w:rPr>
      </w:pPr>
      <w:r>
        <w:rPr>
          <w:rFonts w:hint="eastAsia" w:asciiTheme="minorEastAsia" w:hAnsiTheme="minorEastAsia" w:cstheme="minorEastAsia"/>
          <w:szCs w:val="21"/>
        </w:rPr>
        <w:t>图中以顾客请求/顾客查询的方式进入构件。</w:t>
      </w:r>
    </w:p>
    <w:p w14:paraId="6C7A8E51">
      <w:pPr>
        <w:widowControl/>
        <w:spacing w:line="360" w:lineRule="auto"/>
        <w:ind w:firstLine="420"/>
        <w:jc w:val="left"/>
        <w:rPr>
          <w:rFonts w:hint="eastAsia" w:asciiTheme="minorEastAsia" w:hAnsiTheme="minorEastAsia" w:cstheme="minorEastAsia"/>
          <w:szCs w:val="21"/>
        </w:rPr>
      </w:pPr>
      <w:r>
        <w:rPr>
          <w:rFonts w:hint="eastAsia" w:asciiTheme="minorEastAsia" w:hAnsiTheme="minorEastAsia" w:cstheme="minorEastAsia"/>
          <w:szCs w:val="21"/>
        </w:rPr>
        <w:t>② 微信支付系统（External System）</w:t>
      </w:r>
    </w:p>
    <w:p w14:paraId="34B2AD1E">
      <w:pPr>
        <w:widowControl/>
        <w:spacing w:line="360" w:lineRule="auto"/>
        <w:ind w:firstLine="420"/>
        <w:jc w:val="left"/>
        <w:rPr>
          <w:rFonts w:hint="eastAsia" w:asciiTheme="minorEastAsia" w:hAnsiTheme="minorEastAsia" w:cstheme="minorEastAsia"/>
          <w:szCs w:val="21"/>
        </w:rPr>
      </w:pPr>
      <w:r>
        <w:rPr>
          <w:rFonts w:hint="eastAsia" w:asciiTheme="minorEastAsia" w:hAnsiTheme="minorEastAsia" w:cstheme="minorEastAsia"/>
          <w:szCs w:val="21"/>
        </w:rPr>
        <w:t>构件中的付款模块通过Required Interface与外部支付系统交互，实现支付拉起和支付回调。</w:t>
      </w:r>
    </w:p>
    <w:p w14:paraId="45A81CC2">
      <w:pPr>
        <w:widowControl/>
        <w:spacing w:line="360" w:lineRule="auto"/>
        <w:ind w:firstLine="420"/>
        <w:jc w:val="left"/>
        <w:rPr>
          <w:rFonts w:hint="eastAsia" w:asciiTheme="minorEastAsia" w:hAnsiTheme="minorEastAsia" w:cstheme="minorEastAsia"/>
          <w:szCs w:val="21"/>
        </w:rPr>
      </w:pPr>
      <w:r>
        <w:rPr>
          <w:rFonts w:hint="eastAsia" w:asciiTheme="minorEastAsia" w:hAnsiTheme="minorEastAsia" w:cstheme="minorEastAsia"/>
          <w:szCs w:val="21"/>
        </w:rPr>
        <w:t>通过这种模式，订单管理构件充当系统中的订单生命周期协调中心，既屏蔽了外部系统差异，又对上层提供统一、稳定的服务接口。</w:t>
      </w:r>
    </w:p>
    <w:p w14:paraId="5D64158B">
      <w:pPr>
        <w:pStyle w:val="3"/>
        <w:rPr>
          <w:rFonts w:asciiTheme="minorEastAsia" w:hAnsiTheme="minorEastAsia" w:cstheme="minorEastAsia"/>
          <w:szCs w:val="21"/>
        </w:rPr>
      </w:pPr>
      <w:bookmarkStart w:id="16" w:name="_Toc15616"/>
      <w:r>
        <w:rPr>
          <w:rFonts w:hint="eastAsia" w:asciiTheme="majorEastAsia" w:hAnsiTheme="majorEastAsia" w:eastAsiaTheme="majorEastAsia" w:cstheme="majorEastAsia"/>
        </w:rPr>
        <w:t>3.3 订单管理构件功能描述</w:t>
      </w:r>
      <w:bookmarkEnd w:id="16"/>
    </w:p>
    <w:p w14:paraId="639B51E1">
      <w:pPr>
        <w:widowControl/>
        <w:spacing w:line="360" w:lineRule="auto"/>
        <w:ind w:firstLine="420"/>
        <w:jc w:val="left"/>
        <w:rPr>
          <w:rFonts w:hint="eastAsia" w:asciiTheme="minorEastAsia" w:hAnsiTheme="minorEastAsia" w:cstheme="minorEastAsia"/>
          <w:szCs w:val="21"/>
        </w:rPr>
      </w:pPr>
      <w:r>
        <w:rPr>
          <w:rFonts w:hint="eastAsia" w:asciiTheme="minorEastAsia" w:hAnsiTheme="minorEastAsia" w:cstheme="minorEastAsia"/>
          <w:szCs w:val="21"/>
        </w:rPr>
        <w:t>订单管理构件（Order Management System）承担系统中与订单生命周期有关的全部业务逻辑，主要功能如下：</w:t>
      </w:r>
    </w:p>
    <w:p w14:paraId="58A12384">
      <w:pPr>
        <w:widowControl/>
        <w:spacing w:line="360" w:lineRule="auto"/>
        <w:ind w:firstLine="420"/>
        <w:jc w:val="left"/>
        <w:rPr>
          <w:rFonts w:hint="eastAsia" w:asciiTheme="minorEastAsia" w:hAnsiTheme="minorEastAsia" w:cstheme="minorEastAsia"/>
          <w:szCs w:val="21"/>
        </w:rPr>
      </w:pPr>
      <w:r>
        <w:rPr>
          <w:rFonts w:hint="eastAsia" w:asciiTheme="minorEastAsia" w:hAnsiTheme="minorEastAsia" w:cstheme="minorEastAsia"/>
          <w:szCs w:val="21"/>
        </w:rPr>
        <w:t>① 接收用户订单请求（Information输入）</w:t>
      </w:r>
    </w:p>
    <w:p w14:paraId="38DC65AE">
      <w:pPr>
        <w:widowControl/>
        <w:spacing w:line="360" w:lineRule="auto"/>
        <w:ind w:firstLine="420"/>
        <w:jc w:val="left"/>
        <w:rPr>
          <w:rFonts w:hint="eastAsia" w:asciiTheme="minorEastAsia" w:hAnsiTheme="minorEastAsia" w:cstheme="minorEastAsia"/>
          <w:szCs w:val="21"/>
        </w:rPr>
      </w:pPr>
      <w:r>
        <w:rPr>
          <w:rFonts w:hint="eastAsia" w:asciiTheme="minorEastAsia" w:hAnsiTheme="minorEastAsia" w:cstheme="minorEastAsia"/>
          <w:szCs w:val="21"/>
        </w:rPr>
        <w:t>理工师生通过小程序提交订单信息，包括菜品、数量、地址、备注等，该构件对数据进行验证并转入提交订单模块。</w:t>
      </w:r>
    </w:p>
    <w:p w14:paraId="7A359F2C">
      <w:pPr>
        <w:widowControl/>
        <w:spacing w:line="360" w:lineRule="auto"/>
        <w:ind w:firstLine="420"/>
        <w:jc w:val="left"/>
        <w:rPr>
          <w:rFonts w:hint="eastAsia" w:asciiTheme="minorEastAsia" w:hAnsiTheme="minorEastAsia" w:cstheme="minorEastAsia"/>
          <w:szCs w:val="21"/>
        </w:rPr>
      </w:pPr>
      <w:r>
        <w:rPr>
          <w:rFonts w:hint="eastAsia" w:asciiTheme="minorEastAsia" w:hAnsiTheme="minorEastAsia" w:cstheme="minorEastAsia"/>
          <w:szCs w:val="21"/>
        </w:rPr>
        <w:t>② 处理提交订单逻辑（Submit Order子模块）</w:t>
      </w:r>
    </w:p>
    <w:p w14:paraId="76284874">
      <w:pPr>
        <w:widowControl/>
        <w:spacing w:line="360" w:lineRule="auto"/>
        <w:ind w:firstLine="420"/>
        <w:jc w:val="left"/>
        <w:rPr>
          <w:rFonts w:hint="eastAsia" w:asciiTheme="minorEastAsia" w:hAnsiTheme="minorEastAsia" w:cstheme="minorEastAsia"/>
          <w:szCs w:val="21"/>
        </w:rPr>
      </w:pPr>
      <w:r>
        <w:rPr>
          <w:rFonts w:hint="eastAsia" w:asciiTheme="minorEastAsia" w:hAnsiTheme="minorEastAsia" w:cstheme="minorEastAsia"/>
          <w:szCs w:val="21"/>
        </w:rPr>
        <w:t>首先创建未支付订单记录，然后分配初始订单编号，接着调用支付模块进行后续处理，最后返回订单创建结果。</w:t>
      </w:r>
    </w:p>
    <w:p w14:paraId="02707285">
      <w:pPr>
        <w:widowControl/>
        <w:spacing w:line="360" w:lineRule="auto"/>
        <w:ind w:firstLine="420"/>
        <w:jc w:val="left"/>
        <w:rPr>
          <w:rFonts w:hint="eastAsia" w:asciiTheme="minorEastAsia" w:hAnsiTheme="minorEastAsia" w:cstheme="minorEastAsia"/>
          <w:szCs w:val="21"/>
        </w:rPr>
      </w:pPr>
      <w:r>
        <w:rPr>
          <w:rFonts w:hint="eastAsia" w:asciiTheme="minorEastAsia" w:hAnsiTheme="minorEastAsia" w:cstheme="minorEastAsia"/>
          <w:szCs w:val="21"/>
        </w:rPr>
        <w:t>图中体现为：</w:t>
      </w:r>
    </w:p>
    <w:p w14:paraId="2EE60CD8">
      <w:pPr>
        <w:widowControl/>
        <w:spacing w:line="360" w:lineRule="auto"/>
        <w:ind w:firstLine="420"/>
        <w:jc w:val="left"/>
        <w:rPr>
          <w:rFonts w:hint="eastAsia" w:asciiTheme="minorEastAsia" w:hAnsiTheme="minorEastAsia" w:cstheme="minorEastAsia"/>
          <w:szCs w:val="21"/>
        </w:rPr>
      </w:pPr>
      <w:r>
        <w:rPr>
          <w:rFonts w:hint="eastAsia" w:asciiTheme="minorEastAsia" w:hAnsiTheme="minorEastAsia" w:cstheme="minorEastAsia"/>
          <w:szCs w:val="21"/>
        </w:rPr>
        <w:t>Information → Submit Order → call() → Payment</w:t>
      </w:r>
    </w:p>
    <w:p w14:paraId="4A877A9C">
      <w:pPr>
        <w:widowControl/>
        <w:spacing w:line="360" w:lineRule="auto"/>
        <w:ind w:firstLine="420"/>
        <w:jc w:val="left"/>
        <w:rPr>
          <w:rFonts w:hint="eastAsia" w:asciiTheme="minorEastAsia" w:hAnsiTheme="minorEastAsia" w:cstheme="minorEastAsia"/>
          <w:szCs w:val="21"/>
        </w:rPr>
      </w:pPr>
      <w:r>
        <w:rPr>
          <w:rFonts w:hint="eastAsia" w:asciiTheme="minorEastAsia" w:hAnsiTheme="minorEastAsia" w:cstheme="minorEastAsia"/>
          <w:szCs w:val="21"/>
        </w:rPr>
        <w:t>③ 对接支付模块并同步更新订单状态（Payment子模块）</w:t>
      </w:r>
    </w:p>
    <w:p w14:paraId="4A778FBC">
      <w:pPr>
        <w:widowControl/>
        <w:spacing w:line="360" w:lineRule="auto"/>
        <w:ind w:firstLine="420"/>
        <w:jc w:val="left"/>
        <w:rPr>
          <w:rFonts w:hint="eastAsia" w:asciiTheme="minorEastAsia" w:hAnsiTheme="minorEastAsia" w:cstheme="minorEastAsia"/>
          <w:szCs w:val="21"/>
        </w:rPr>
      </w:pPr>
      <w:r>
        <w:rPr>
          <w:rFonts w:hint="eastAsia" w:asciiTheme="minorEastAsia" w:hAnsiTheme="minorEastAsia" w:cstheme="minorEastAsia"/>
          <w:szCs w:val="21"/>
        </w:rPr>
        <w:t>首先将订单支付请求提交到外部系统，比如微信支付系统，待支付回调，根据回调结果更新订单状态，将最终状态写入订单详情模块。</w:t>
      </w:r>
    </w:p>
    <w:p w14:paraId="67D1E9B3">
      <w:pPr>
        <w:widowControl/>
        <w:spacing w:line="360" w:lineRule="auto"/>
        <w:ind w:firstLine="420"/>
        <w:jc w:val="left"/>
        <w:rPr>
          <w:rFonts w:hint="eastAsia" w:asciiTheme="minorEastAsia" w:hAnsiTheme="minorEastAsia" w:cstheme="minorEastAsia"/>
          <w:szCs w:val="21"/>
        </w:rPr>
      </w:pPr>
      <w:r>
        <w:rPr>
          <w:rFonts w:hint="eastAsia" w:asciiTheme="minorEastAsia" w:hAnsiTheme="minorEastAsia" w:cstheme="minorEastAsia"/>
          <w:szCs w:val="21"/>
        </w:rPr>
        <w:t>图中体现为：</w:t>
      </w:r>
    </w:p>
    <w:p w14:paraId="7AFF6006">
      <w:pPr>
        <w:widowControl/>
        <w:spacing w:line="360" w:lineRule="auto"/>
        <w:ind w:firstLine="420"/>
        <w:jc w:val="left"/>
        <w:rPr>
          <w:rFonts w:hint="eastAsia" w:asciiTheme="minorEastAsia" w:hAnsiTheme="minorEastAsia" w:cstheme="minorEastAsia"/>
          <w:szCs w:val="21"/>
        </w:rPr>
      </w:pPr>
      <w:r>
        <w:rPr>
          <w:rFonts w:hint="eastAsia" w:asciiTheme="minorEastAsia" w:hAnsiTheme="minorEastAsia" w:cstheme="minorEastAsia"/>
          <w:szCs w:val="21"/>
        </w:rPr>
        <w:t>Payment → update() → Order Detail</w:t>
      </w:r>
    </w:p>
    <w:p w14:paraId="3213CAE1">
      <w:pPr>
        <w:widowControl/>
        <w:spacing w:line="360" w:lineRule="auto"/>
        <w:ind w:firstLine="420"/>
        <w:jc w:val="left"/>
        <w:rPr>
          <w:rFonts w:hint="eastAsia" w:asciiTheme="minorEastAsia" w:hAnsiTheme="minorEastAsia" w:cstheme="minorEastAsia"/>
          <w:szCs w:val="21"/>
        </w:rPr>
      </w:pPr>
      <w:r>
        <w:rPr>
          <w:rFonts w:hint="eastAsia" w:asciiTheme="minorEastAsia" w:hAnsiTheme="minorEastAsia" w:cstheme="minorEastAsia"/>
          <w:szCs w:val="21"/>
        </w:rPr>
        <w:t>以及</w:t>
      </w:r>
    </w:p>
    <w:p w14:paraId="3C5AE797">
      <w:pPr>
        <w:widowControl/>
        <w:spacing w:line="360" w:lineRule="auto"/>
        <w:ind w:firstLine="420"/>
        <w:jc w:val="left"/>
        <w:rPr>
          <w:rFonts w:hint="eastAsia" w:asciiTheme="minorEastAsia" w:hAnsiTheme="minorEastAsia" w:cstheme="minorEastAsia"/>
          <w:szCs w:val="21"/>
        </w:rPr>
      </w:pPr>
      <w:r>
        <w:rPr>
          <w:rFonts w:hint="eastAsia" w:asciiTheme="minorEastAsia" w:hAnsiTheme="minorEastAsia" w:cstheme="minorEastAsia"/>
          <w:szCs w:val="21"/>
        </w:rPr>
        <w:t>Payment ↔ External System（微信支付）</w:t>
      </w:r>
    </w:p>
    <w:p w14:paraId="06735B22">
      <w:pPr>
        <w:widowControl/>
        <w:spacing w:line="360" w:lineRule="auto"/>
        <w:ind w:firstLine="420"/>
        <w:jc w:val="left"/>
        <w:rPr>
          <w:rFonts w:hint="eastAsia" w:asciiTheme="minorEastAsia" w:hAnsiTheme="minorEastAsia" w:cstheme="minorEastAsia"/>
          <w:szCs w:val="21"/>
        </w:rPr>
      </w:pPr>
      <w:r>
        <w:rPr>
          <w:rFonts w:hint="eastAsia" w:asciiTheme="minorEastAsia" w:hAnsiTheme="minorEastAsia" w:cstheme="minorEastAsia"/>
          <w:szCs w:val="21"/>
        </w:rPr>
        <w:t>④ 对外提供订单查询接口（Query → Order Detail）</w:t>
      </w:r>
    </w:p>
    <w:p w14:paraId="127BE193">
      <w:pPr>
        <w:widowControl/>
        <w:spacing w:line="360" w:lineRule="auto"/>
        <w:ind w:firstLine="420"/>
        <w:jc w:val="left"/>
        <w:rPr>
          <w:rFonts w:hint="eastAsia" w:asciiTheme="minorEastAsia" w:hAnsiTheme="minorEastAsia" w:cstheme="minorEastAsia"/>
          <w:szCs w:val="21"/>
        </w:rPr>
      </w:pPr>
      <w:r>
        <w:rPr>
          <w:rFonts w:hint="eastAsia" w:asciiTheme="minorEastAsia" w:hAnsiTheme="minorEastAsia" w:cstheme="minorEastAsia"/>
          <w:szCs w:val="21"/>
        </w:rPr>
        <w:t>理工师生通过小程序发起查询（Query）时，构件将根据订单号查询订单详情返回订单状态、取餐码、预计时间等，且支持轮询和实时更新。</w:t>
      </w:r>
    </w:p>
    <w:p w14:paraId="35897D0D">
      <w:pPr>
        <w:widowControl/>
        <w:spacing w:line="360" w:lineRule="auto"/>
        <w:ind w:firstLine="420"/>
        <w:jc w:val="left"/>
        <w:rPr>
          <w:rFonts w:hint="eastAsia" w:asciiTheme="minorEastAsia" w:hAnsiTheme="minorEastAsia" w:cstheme="minorEastAsia"/>
          <w:szCs w:val="21"/>
        </w:rPr>
      </w:pPr>
      <w:r>
        <w:rPr>
          <w:rFonts w:hint="eastAsia" w:asciiTheme="minorEastAsia" w:hAnsiTheme="minorEastAsia" w:cstheme="minorEastAsia"/>
          <w:szCs w:val="21"/>
        </w:rPr>
        <w:t>图中有：</w:t>
      </w:r>
    </w:p>
    <w:p w14:paraId="768F1B7C">
      <w:pPr>
        <w:widowControl/>
        <w:spacing w:line="360" w:lineRule="auto"/>
        <w:ind w:firstLine="420"/>
        <w:jc w:val="left"/>
        <w:rPr>
          <w:rFonts w:hint="eastAsia" w:asciiTheme="minorEastAsia" w:hAnsiTheme="minorEastAsia" w:cstheme="minorEastAsia"/>
          <w:szCs w:val="21"/>
        </w:rPr>
      </w:pPr>
      <w:r>
        <w:rPr>
          <w:rFonts w:hint="eastAsia" w:asciiTheme="minorEastAsia" w:hAnsiTheme="minorEastAsia" w:cstheme="minorEastAsia"/>
          <w:szCs w:val="21"/>
        </w:rPr>
        <w:t>Query → Order Detail</w:t>
      </w:r>
    </w:p>
    <w:p w14:paraId="6B1E53FD">
      <w:pPr>
        <w:widowControl/>
        <w:spacing w:line="360" w:lineRule="auto"/>
        <w:ind w:firstLine="420"/>
        <w:jc w:val="left"/>
        <w:rPr>
          <w:rFonts w:hint="eastAsia" w:asciiTheme="minorEastAsia" w:hAnsiTheme="minorEastAsia" w:cstheme="minorEastAsia"/>
          <w:szCs w:val="21"/>
        </w:rPr>
      </w:pPr>
      <w:r>
        <w:rPr>
          <w:rFonts w:hint="eastAsia" w:asciiTheme="minorEastAsia" w:hAnsiTheme="minorEastAsia" w:cstheme="minorEastAsia"/>
          <w:szCs w:val="21"/>
        </w:rPr>
        <w:t>⑤ 管理订单生命周期</w:t>
      </w:r>
    </w:p>
    <w:p w14:paraId="0588F924">
      <w:pPr>
        <w:widowControl/>
        <w:spacing w:line="360" w:lineRule="auto"/>
        <w:ind w:firstLine="420"/>
        <w:jc w:val="left"/>
        <w:rPr>
          <w:rFonts w:hint="eastAsia" w:asciiTheme="minorEastAsia" w:hAnsiTheme="minorEastAsia" w:cstheme="minorEastAsia"/>
          <w:szCs w:val="21"/>
        </w:rPr>
      </w:pPr>
      <w:r>
        <w:rPr>
          <w:rFonts w:hint="eastAsia" w:asciiTheme="minorEastAsia" w:hAnsiTheme="minorEastAsia" w:cstheme="minorEastAsia"/>
          <w:szCs w:val="21"/>
        </w:rPr>
        <w:t>构件负责维护订单待提交 → 待支付 → 已支付 → 商家接单 → 已完成的完整生命周期，并保证各阶段数据一致性。</w:t>
      </w:r>
    </w:p>
    <w:p w14:paraId="72CA80AA">
      <w:pPr>
        <w:widowControl/>
        <w:spacing w:line="360" w:lineRule="auto"/>
        <w:ind w:firstLine="420"/>
        <w:jc w:val="left"/>
        <w:rPr>
          <w:rFonts w:hint="eastAsia" w:asciiTheme="minorEastAsia" w:hAnsiTheme="minorEastAsia" w:cstheme="minorEastAsia"/>
          <w:szCs w:val="21"/>
        </w:rPr>
      </w:pPr>
      <w:r>
        <w:rPr>
          <w:rFonts w:hint="eastAsia" w:asciiTheme="minorEastAsia" w:hAnsiTheme="minorEastAsia" w:cstheme="minorEastAsia"/>
          <w:szCs w:val="21"/>
        </w:rPr>
        <w:t>订单管理构件负责处理订单创建、支付、状态更新与查询等核心业务，内部封装了提交订单、支付、订单详情三大子模块，并统一对接外部支付系统与前端小程序。</w:t>
      </w:r>
    </w:p>
    <w:p w14:paraId="5DB6E880">
      <w:pPr>
        <w:widowControl/>
        <w:spacing w:line="360" w:lineRule="auto"/>
        <w:ind w:firstLine="420"/>
        <w:jc w:val="left"/>
        <w:rPr>
          <w:rFonts w:hint="eastAsia" w:asciiTheme="minorEastAsia" w:hAnsiTheme="minorEastAsia" w:cstheme="minorEastAsia"/>
          <w:szCs w:val="21"/>
        </w:rPr>
      </w:pPr>
      <w:r>
        <w:rPr>
          <w:rFonts w:hint="eastAsia" w:asciiTheme="minorEastAsia" w:hAnsiTheme="minorEastAsia" w:cstheme="minorEastAsia"/>
          <w:szCs w:val="21"/>
        </w:rPr>
        <w:t>它通过高内聚、低耦合的设计有效隔离了复杂的订单流程与外部依赖，是系统中的核心业务构件。</w:t>
      </w:r>
    </w:p>
    <w:p w14:paraId="4D026252">
      <w:pPr>
        <w:widowControl/>
        <w:spacing w:line="360" w:lineRule="auto"/>
        <w:ind w:firstLine="420"/>
        <w:jc w:val="left"/>
        <w:rPr>
          <w:rFonts w:hint="eastAsia" w:asciiTheme="minorEastAsia" w:hAnsiTheme="minorEastAsia" w:cstheme="minorEastAsia"/>
          <w:szCs w:val="21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宋体标题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983735461"/>
      <w:docPartObj>
        <w:docPartGallery w:val="autotext"/>
      </w:docPartObj>
    </w:sdtPr>
    <w:sdtContent>
      <w:p w14:paraId="303D1C36">
        <w:pPr>
          <w:pStyle w:val="4"/>
          <w:jc w:val="center"/>
          <w:rPr>
            <w:rFonts w:hint="eastAsia"/>
          </w:rPr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538BB88D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06AE1D">
    <w:pPr>
      <w:pStyle w:val="5"/>
    </w:pPr>
    <w: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align>left</wp:align>
          </wp:positionH>
          <wp:positionV relativeFrom="margin">
            <wp:align>center</wp:align>
          </wp:positionV>
          <wp:extent cx="5274310" cy="5274310"/>
          <wp:effectExtent l="1092200" t="1092200" r="1101090" b="1101090"/>
          <wp:wrapNone/>
          <wp:docPr id="2" name="WordPictureWatermark111960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WordPictureWatermark111960" descr="logo"/>
                  <pic:cNvPicPr>
                    <a:picLocks noChangeAspect="1"/>
                  </pic:cNvPicPr>
                </pic:nvPicPr>
                <pic:blipFill>
                  <a:blip r:embed="rId1">
                    <a:lum bright="70000" contrast="-70000"/>
                  </a:blip>
                  <a:stretch>
                    <a:fillRect/>
                  </a:stretch>
                </pic:blipFill>
                <pic:spPr>
                  <a:xfrm rot="18900000">
                    <a:off x="0" y="0"/>
                    <a:ext cx="5274310" cy="52743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B4D2001"/>
    <w:multiLevelType w:val="singleLevel"/>
    <w:tmpl w:val="DB4D2001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1DD06976"/>
    <w:multiLevelType w:val="multilevel"/>
    <w:tmpl w:val="1DD06976"/>
    <w:lvl w:ilvl="0" w:tentative="0">
      <w:start w:val="1"/>
      <w:numFmt w:val="bullet"/>
      <w:lvlText w:val=""/>
      <w:lvlJc w:val="left"/>
      <w:pPr>
        <w:ind w:left="86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0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8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2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6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4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80" w:hanging="440"/>
      </w:pPr>
      <w:rPr>
        <w:rFonts w:hint="default" w:ascii="Wingdings" w:hAnsi="Wingdings"/>
      </w:rPr>
    </w:lvl>
  </w:abstractNum>
  <w:abstractNum w:abstractNumId="2">
    <w:nsid w:val="2C020A30"/>
    <w:multiLevelType w:val="multilevel"/>
    <w:tmpl w:val="2C020A30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%1.%2"/>
      <w:lvlJc w:val="left"/>
      <w:pPr>
        <w:ind w:left="992" w:hanging="567"/>
      </w:p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>
    <w:nsid w:val="305C0752"/>
    <w:multiLevelType w:val="multilevel"/>
    <w:tmpl w:val="305C0752"/>
    <w:lvl w:ilvl="0" w:tentative="0">
      <w:start w:val="1"/>
      <w:numFmt w:val="bullet"/>
      <w:lvlText w:val=""/>
      <w:lvlJc w:val="left"/>
      <w:pPr>
        <w:ind w:left="86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0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8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2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6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4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80" w:hanging="440"/>
      </w:pPr>
      <w:rPr>
        <w:rFonts w:hint="default" w:ascii="Wingdings" w:hAnsi="Wingdings"/>
      </w:rPr>
    </w:lvl>
  </w:abstractNum>
  <w:abstractNum w:abstractNumId="4">
    <w:nsid w:val="33BE3A46"/>
    <w:multiLevelType w:val="multilevel"/>
    <w:tmpl w:val="33BE3A4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390D7803"/>
    <w:multiLevelType w:val="multilevel"/>
    <w:tmpl w:val="390D7803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%1.%2"/>
      <w:lvlJc w:val="left"/>
      <w:pPr>
        <w:ind w:left="992" w:hanging="567"/>
      </w:p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>
    <w:nsid w:val="4027548D"/>
    <w:multiLevelType w:val="multilevel"/>
    <w:tmpl w:val="4027548D"/>
    <w:lvl w:ilvl="0" w:tentative="0">
      <w:start w:val="1"/>
      <w:numFmt w:val="decimal"/>
      <w:pStyle w:val="2"/>
      <w:lvlText w:val="%1"/>
      <w:lvlJc w:val="left"/>
      <w:pPr>
        <w:ind w:left="679" w:hanging="440"/>
      </w:pPr>
      <w:rPr>
        <w:rFonts w:hint="default" w:ascii="Times New Roman" w:hAnsi="Times New Roman" w:eastAsia="Times New Roman" w:cs="Times New Roman"/>
        <w:b/>
        <w:bCs/>
        <w:w w:val="99"/>
        <w:sz w:val="44"/>
        <w:szCs w:val="44"/>
      </w:rPr>
    </w:lvl>
    <w:lvl w:ilvl="1" w:tentative="0">
      <w:start w:val="1"/>
      <w:numFmt w:val="decimal"/>
      <w:lvlText w:val="%1.%2"/>
      <w:lvlJc w:val="left"/>
      <w:pPr>
        <w:ind w:left="799" w:hanging="560"/>
      </w:pPr>
      <w:rPr>
        <w:rFonts w:hint="default" w:ascii="Times New Roman" w:hAnsi="Times New Roman" w:eastAsia="Times New Roman" w:cs="Times New Roman"/>
        <w:b/>
        <w:bCs/>
        <w:spacing w:val="-1"/>
        <w:w w:val="99"/>
        <w:sz w:val="32"/>
        <w:szCs w:val="32"/>
      </w:rPr>
    </w:lvl>
    <w:lvl w:ilvl="2" w:tentative="0">
      <w:start w:val="1"/>
      <w:numFmt w:val="decimal"/>
      <w:lvlText w:val="%1.%2.%3"/>
      <w:lvlJc w:val="left"/>
      <w:pPr>
        <w:ind w:left="960" w:hanging="720"/>
      </w:pPr>
      <w:rPr>
        <w:rFonts w:hint="default" w:ascii="Times New Roman" w:hAnsi="Times New Roman" w:eastAsia="Times New Roman" w:cs="Times New Roman"/>
        <w:b/>
        <w:bCs/>
        <w:spacing w:val="-1"/>
        <w:w w:val="99"/>
        <w:sz w:val="32"/>
        <w:szCs w:val="32"/>
      </w:rPr>
    </w:lvl>
    <w:lvl w:ilvl="3" w:tentative="0">
      <w:start w:val="0"/>
      <w:numFmt w:val="bullet"/>
      <w:lvlText w:val="•"/>
      <w:lvlJc w:val="left"/>
      <w:pPr>
        <w:ind w:left="1040" w:hanging="720"/>
      </w:pPr>
    </w:lvl>
    <w:lvl w:ilvl="4" w:tentative="0">
      <w:start w:val="0"/>
      <w:numFmt w:val="bullet"/>
      <w:lvlText w:val="•"/>
      <w:lvlJc w:val="left"/>
      <w:pPr>
        <w:ind w:left="2155" w:hanging="720"/>
      </w:pPr>
    </w:lvl>
    <w:lvl w:ilvl="5" w:tentative="0">
      <w:start w:val="0"/>
      <w:numFmt w:val="bullet"/>
      <w:lvlText w:val="•"/>
      <w:lvlJc w:val="left"/>
      <w:pPr>
        <w:ind w:left="3270" w:hanging="720"/>
      </w:pPr>
    </w:lvl>
    <w:lvl w:ilvl="6" w:tentative="0">
      <w:start w:val="0"/>
      <w:numFmt w:val="bullet"/>
      <w:lvlText w:val="•"/>
      <w:lvlJc w:val="left"/>
      <w:pPr>
        <w:ind w:left="4385" w:hanging="720"/>
      </w:pPr>
    </w:lvl>
    <w:lvl w:ilvl="7" w:tentative="0">
      <w:start w:val="0"/>
      <w:numFmt w:val="bullet"/>
      <w:lvlText w:val="•"/>
      <w:lvlJc w:val="left"/>
      <w:pPr>
        <w:ind w:left="5500" w:hanging="720"/>
      </w:pPr>
    </w:lvl>
    <w:lvl w:ilvl="8" w:tentative="0">
      <w:start w:val="0"/>
      <w:numFmt w:val="bullet"/>
      <w:lvlText w:val="•"/>
      <w:lvlJc w:val="left"/>
      <w:pPr>
        <w:ind w:left="6615" w:hanging="720"/>
      </w:pPr>
    </w:lvl>
  </w:abstractNum>
  <w:abstractNum w:abstractNumId="7">
    <w:nsid w:val="4B9548A7"/>
    <w:multiLevelType w:val="multilevel"/>
    <w:tmpl w:val="4B9548A7"/>
    <w:lvl w:ilvl="0" w:tentative="0">
      <w:start w:val="1"/>
      <w:numFmt w:val="bullet"/>
      <w:lvlText w:val=""/>
      <w:lvlJc w:val="left"/>
      <w:pPr>
        <w:ind w:left="86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0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8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2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6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4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80" w:hanging="440"/>
      </w:pPr>
      <w:rPr>
        <w:rFonts w:hint="default" w:ascii="Wingdings" w:hAnsi="Wingdings"/>
      </w:rPr>
    </w:lvl>
  </w:abstractNum>
  <w:abstractNum w:abstractNumId="8">
    <w:nsid w:val="4DC5D4E8"/>
    <w:multiLevelType w:val="singleLevel"/>
    <w:tmpl w:val="4DC5D4E8"/>
    <w:lvl w:ilvl="0" w:tentative="0">
      <w:start w:val="26"/>
      <w:numFmt w:val="upperLetter"/>
      <w:suff w:val="nothing"/>
      <w:lvlText w:val="%1-"/>
      <w:lvlJc w:val="left"/>
    </w:lvl>
  </w:abstractNum>
  <w:abstractNum w:abstractNumId="9">
    <w:nsid w:val="7E694726"/>
    <w:multiLevelType w:val="multilevel"/>
    <w:tmpl w:val="7E694726"/>
    <w:lvl w:ilvl="0" w:tentative="0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num w:numId="1">
    <w:abstractNumId w:val="6"/>
  </w:num>
  <w:num w:numId="2">
    <w:abstractNumId w:val="8"/>
  </w:num>
  <w:num w:numId="3">
    <w:abstractNumId w:val="7"/>
  </w:num>
  <w:num w:numId="4">
    <w:abstractNumId w:val="1"/>
  </w:num>
  <w:num w:numId="5">
    <w:abstractNumId w:val="3"/>
  </w:num>
  <w:num w:numId="6">
    <w:abstractNumId w:val="0"/>
  </w:num>
  <w:num w:numId="7">
    <w:abstractNumId w:val="5"/>
  </w:num>
  <w:num w:numId="8">
    <w:abstractNumId w:val="2"/>
  </w:num>
  <w:num w:numId="9">
    <w:abstractNumId w:val="4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0861"/>
    <w:rsid w:val="00033433"/>
    <w:rsid w:val="00091BF2"/>
    <w:rsid w:val="000F6F11"/>
    <w:rsid w:val="002876FE"/>
    <w:rsid w:val="00294CF4"/>
    <w:rsid w:val="002A09A2"/>
    <w:rsid w:val="00335650"/>
    <w:rsid w:val="00363C5B"/>
    <w:rsid w:val="00383020"/>
    <w:rsid w:val="003E294E"/>
    <w:rsid w:val="004334CD"/>
    <w:rsid w:val="0043477B"/>
    <w:rsid w:val="00442B6E"/>
    <w:rsid w:val="004B2501"/>
    <w:rsid w:val="0052372E"/>
    <w:rsid w:val="005F11FA"/>
    <w:rsid w:val="00682694"/>
    <w:rsid w:val="00690861"/>
    <w:rsid w:val="00710324"/>
    <w:rsid w:val="007C4227"/>
    <w:rsid w:val="00933374"/>
    <w:rsid w:val="00997D45"/>
    <w:rsid w:val="009B6CEA"/>
    <w:rsid w:val="009E05EB"/>
    <w:rsid w:val="00A86817"/>
    <w:rsid w:val="00D206B1"/>
    <w:rsid w:val="00E468AA"/>
    <w:rsid w:val="00F431E9"/>
    <w:rsid w:val="00FB1958"/>
    <w:rsid w:val="08BA3BC1"/>
    <w:rsid w:val="08EE4992"/>
    <w:rsid w:val="0EC1005D"/>
    <w:rsid w:val="121B5BF3"/>
    <w:rsid w:val="26A50063"/>
    <w:rsid w:val="36A2574A"/>
    <w:rsid w:val="42F04A91"/>
    <w:rsid w:val="4E867815"/>
    <w:rsid w:val="587C1375"/>
    <w:rsid w:val="61AC1FF4"/>
    <w:rsid w:val="71BA1B10"/>
    <w:rsid w:val="78CC1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kern w:val="44"/>
      <w:sz w:val="24"/>
      <w:lang w:eastAsia="en-US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宋体标题"/>
      <w:b/>
    </w:rPr>
  </w:style>
  <w:style w:type="character" w:default="1" w:styleId="10">
    <w:name w:val="Default Paragraph Font"/>
    <w:unhideWhenUsed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2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toc 1"/>
    <w:basedOn w:val="1"/>
    <w:next w:val="1"/>
    <w:autoRedefine/>
    <w:qFormat/>
    <w:uiPriority w:val="39"/>
    <w:pPr>
      <w:tabs>
        <w:tab w:val="left" w:pos="440"/>
        <w:tab w:val="right" w:leader="dot" w:pos="8296"/>
      </w:tabs>
    </w:pPr>
    <w:rPr>
      <w:rFonts w:ascii="黑体" w:hAnsi="黑体" w:eastAsia="黑体" w:cstheme="minorEastAsia"/>
      <w:spacing w:val="-10"/>
      <w:kern w:val="0"/>
    </w:rPr>
  </w:style>
  <w:style w:type="paragraph" w:styleId="7">
    <w:name w:val="toc 2"/>
    <w:basedOn w:val="1"/>
    <w:next w:val="1"/>
    <w:autoRedefine/>
    <w:qFormat/>
    <w:uiPriority w:val="39"/>
    <w:pPr>
      <w:ind w:left="420" w:leftChars="200"/>
    </w:pPr>
  </w:style>
  <w:style w:type="table" w:styleId="9">
    <w:name w:val="Table Grid"/>
    <w:basedOn w:val="8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basedOn w:val="10"/>
    <w:unhideWhenUsed/>
    <w:qFormat/>
    <w:uiPriority w:val="99"/>
    <w:rPr>
      <w:color w:val="0026E5" w:themeColor="hyperlink"/>
      <w:u w:val="single"/>
      <w14:textFill>
        <w14:solidFill>
          <w14:schemeClr w14:val="hlink"/>
        </w14:solidFill>
      </w14:textFill>
    </w:rPr>
  </w:style>
  <w:style w:type="paragraph" w:customStyle="1" w:styleId="12">
    <w:name w:val="21bc9c4b-6a32-43e5-beaa-fd2d792c5735"/>
    <w:basedOn w:val="2"/>
    <w:next w:val="13"/>
    <w:qFormat/>
    <w:uiPriority w:val="0"/>
    <w:pPr>
      <w:adjustRightInd w:val="0"/>
      <w:spacing w:line="288" w:lineRule="auto"/>
      <w:ind w:left="0"/>
    </w:pPr>
    <w:rPr>
      <w:rFonts w:ascii="微软雅黑" w:hAnsi="微软雅黑" w:eastAsia="微软雅黑"/>
      <w:color w:val="000000"/>
      <w:sz w:val="32"/>
    </w:rPr>
  </w:style>
  <w:style w:type="paragraph" w:customStyle="1" w:styleId="13">
    <w:name w:val="acbfdd8b-e11b-4d36-88ff-6049b138f862"/>
    <w:basedOn w:val="1"/>
    <w:qFormat/>
    <w:uiPriority w:val="0"/>
    <w:pPr>
      <w:adjustRightInd w:val="0"/>
      <w:spacing w:line="288" w:lineRule="auto"/>
    </w:pPr>
    <w:rPr>
      <w:rFonts w:ascii="微软雅黑" w:hAnsi="微软雅黑" w:eastAsia="微软雅黑"/>
      <w:color w:val="000000"/>
    </w:rPr>
  </w:style>
  <w:style w:type="paragraph" w:customStyle="1" w:styleId="14">
    <w:name w:val="Table Paragraph"/>
    <w:basedOn w:val="1"/>
    <w:qFormat/>
    <w:uiPriority w:val="1"/>
    <w:pPr>
      <w:spacing w:before="46" w:line="254" w:lineRule="exact"/>
      <w:ind w:left="107"/>
    </w:pPr>
  </w:style>
  <w:style w:type="paragraph" w:styleId="15">
    <w:name w:val="List Paragraph"/>
    <w:basedOn w:val="1"/>
    <w:unhideWhenUsed/>
    <w:qFormat/>
    <w:uiPriority w:val="99"/>
    <w:pPr>
      <w:ind w:firstLine="420" w:firstLineChars="200"/>
    </w:pPr>
  </w:style>
  <w:style w:type="table" w:customStyle="1" w:styleId="16">
    <w:name w:val="Plain Table 2"/>
    <w:basedOn w:val="8"/>
    <w:qFormat/>
    <w:uiPriority w:val="42"/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  <w:style w:type="table" w:customStyle="1" w:styleId="17">
    <w:name w:val="Plain Table 1"/>
    <w:basedOn w:val="8"/>
    <w:qFormat/>
    <w:uiPriority w:val="41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table" w:customStyle="1" w:styleId="18">
    <w:name w:val="Plain Table 3"/>
    <w:basedOn w:val="8"/>
    <w:qFormat/>
    <w:uiPriority w:val="43"/>
    <w:tblStylePr w:type="firstRow">
      <w:rPr>
        <w:b/>
        <w:bCs/>
        <w:cap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  <w:caps/>
      </w:rPr>
      <w:tcPr>
        <w:tcBorders>
          <w:top w:val="nil"/>
        </w:tcBorders>
      </w:tcPr>
    </w:tblStylePr>
    <w:tblStylePr w:type="firstCol">
      <w:rPr>
        <w:b/>
        <w:bCs/>
        <w:caps/>
      </w:rPr>
      <w:tcPr>
        <w:tcBorders>
          <w:right w:val="single" w:color="7E7E7E" w:themeColor="text1" w:themeTint="80" w:sz="4" w:space="0"/>
        </w:tcBorders>
      </w:tcPr>
    </w:tblStylePr>
    <w:tblStylePr w:type="lastCol">
      <w:rPr>
        <w:b/>
        <w:bCs/>
        <w:caps/>
      </w:rPr>
      <w:tcPr>
        <w:tcBorders>
          <w:left w:val="nil"/>
        </w:tcBorders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type="table" w:customStyle="1" w:styleId="19">
    <w:name w:val="List Table 1 Light Accent 5"/>
    <w:basedOn w:val="8"/>
    <w:qFormat/>
    <w:uiPriority w:val="46"/>
    <w:tblStylePr w:type="firstRow">
      <w:rPr>
        <w:b/>
        <w:bCs/>
      </w:rPr>
      <w:tcPr>
        <w:tcBorders>
          <w:bottom w:val="single" w:color="7DDED6" w:themeColor="accent5" w:themeTint="99" w:sz="4" w:space="0"/>
        </w:tcBorders>
      </w:tcPr>
    </w:tblStylePr>
    <w:tblStylePr w:type="lastRow">
      <w:rPr>
        <w:b/>
        <w:bCs/>
      </w:rPr>
      <w:tcPr>
        <w:tcBorders>
          <w:top w:val="single" w:color="7DDED6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F4F1" w:themeFill="accent5" w:themeFillTint="33"/>
      </w:tcPr>
    </w:tblStylePr>
    <w:tblStylePr w:type="band1Horz">
      <w:tcPr>
        <w:shd w:val="clear" w:color="auto" w:fill="D3F4F1" w:themeFill="accent5" w:themeFillTint="33"/>
      </w:tcPr>
    </w:tblStylePr>
  </w:style>
  <w:style w:type="table" w:customStyle="1" w:styleId="20">
    <w:name w:val="Grid Table 3 Accent 1"/>
    <w:basedOn w:val="8"/>
    <w:qFormat/>
    <w:uiPriority w:val="48"/>
    <w:tblPr>
      <w:tblBorders>
        <w:top w:val="single" w:color="91ABDF" w:themeColor="accent1" w:themeTint="99" w:sz="4" w:space="0"/>
        <w:left w:val="single" w:color="91ABDF" w:themeColor="accent1" w:themeTint="99" w:sz="4" w:space="0"/>
        <w:bottom w:val="single" w:color="91ABDF" w:themeColor="accent1" w:themeTint="99" w:sz="4" w:space="0"/>
        <w:right w:val="single" w:color="91ABDF" w:themeColor="accent1" w:themeTint="99" w:sz="4" w:space="0"/>
        <w:insideH w:val="single" w:color="91ABDF" w:themeColor="accent1" w:themeTint="99" w:sz="4" w:space="0"/>
        <w:insideV w:val="single" w:color="91ABDF" w:themeColor="accent1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DAE3F4" w:themeFill="accent1" w:themeFillTint="33"/>
      </w:tcPr>
    </w:tblStylePr>
    <w:tblStylePr w:type="band1Horz">
      <w:tcPr>
        <w:shd w:val="clear" w:color="auto" w:fill="DAE3F4" w:themeFill="accent1" w:themeFillTint="33"/>
      </w:tcPr>
    </w:tblStylePr>
    <w:tblStylePr w:type="neCell">
      <w:tcPr>
        <w:tcBorders>
          <w:bottom w:val="single" w:color="91ABDF" w:themeColor="accent1" w:themeTint="99" w:sz="4" w:space="0"/>
        </w:tcBorders>
      </w:tcPr>
    </w:tblStylePr>
    <w:tblStylePr w:type="nwCell">
      <w:tcPr>
        <w:tcBorders>
          <w:bottom w:val="single" w:color="91ABDF" w:themeColor="accent1" w:themeTint="99" w:sz="4" w:space="0"/>
        </w:tcBorders>
      </w:tcPr>
    </w:tblStylePr>
    <w:tblStylePr w:type="seCell">
      <w:tcPr>
        <w:tcBorders>
          <w:top w:val="single" w:color="91ABDF" w:themeColor="accent1" w:themeTint="99" w:sz="4" w:space="0"/>
        </w:tcBorders>
      </w:tcPr>
    </w:tblStylePr>
    <w:tblStylePr w:type="swCell">
      <w:tcPr>
        <w:tcBorders>
          <w:top w:val="single" w:color="91ABDF" w:themeColor="accent1" w:themeTint="99" w:sz="4" w:space="0"/>
        </w:tcBorders>
      </w:tcPr>
    </w:tblStylePr>
  </w:style>
  <w:style w:type="character" w:customStyle="1" w:styleId="21">
    <w:name w:val="页脚 字符"/>
    <w:basedOn w:val="10"/>
    <w:link w:val="4"/>
    <w:qFormat/>
    <w:uiPriority w:val="99"/>
    <w:rPr>
      <w:rFonts w:asciiTheme="minorHAnsi" w:hAnsiTheme="minorHAnsi" w:eastAsiaTheme="minorEastAsia" w:cstheme="minorBidi"/>
      <w:kern w:val="2"/>
      <w:sz w:val="18"/>
      <w:szCs w:val="22"/>
    </w:rPr>
  </w:style>
  <w:style w:type="paragraph" w:customStyle="1" w:styleId="22">
    <w:name w:val="TOC Heading"/>
    <w:basedOn w:val="2"/>
    <w:next w:val="1"/>
    <w:unhideWhenUsed/>
    <w:qFormat/>
    <w:uiPriority w:val="39"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color w:val="2E54A1" w:themeColor="accent1" w:themeShade="BF"/>
      <w:kern w:val="0"/>
      <w:sz w:val="32"/>
      <w:szCs w:val="32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1018</Words>
  <Characters>1065</Characters>
  <Lines>29</Lines>
  <Paragraphs>8</Paragraphs>
  <TotalTime>0</TotalTime>
  <ScaleCrop>false</ScaleCrop>
  <LinksUpToDate>false</LinksUpToDate>
  <CharactersWithSpaces>1111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2025-11-24T03:53:00Z</dcterms:created>
  <dc:creator>黄红洲</dc:creator>
  <cp:lastModifiedBy>黄红洲</cp:lastModifiedBy>
  <dcterms:modified xsi:type="dcterms:W3CDTF">2026-01-05T03:23:23Z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eyJoZGlkIjoiNzczYWZhYjQ0NTFjNDQxYmFlN2E0MDRmMDc2NzI1ZjIiLCJ1c2VySWQiOiIxNTU1NDExMDcxIn0=</vt:lpwstr>
  </property>
  <property fmtid="{D5CDD505-2E9C-101B-9397-08002B2CF9AE}" pid="4" name="ICV">
    <vt:lpwstr>250FED1562D3447090E5964F8401C746_12</vt:lpwstr>
  </property>
</Properties>
</file>