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CFD7C">
      <w:pPr>
        <w:pStyle w:val="3"/>
        <w:spacing w:before="0" w:after="156" w:afterLines="50" w:line="415" w:lineRule="auto"/>
        <w:jc w:val="center"/>
        <w:rPr>
          <w:rFonts w:ascii="Times New Roman" w:hAnsi="Times New Roman" w:cs="Times New Roman"/>
          <w:b/>
          <w:color w:val="000000"/>
        </w:rPr>
      </w:pPr>
      <w:r>
        <w:rPr>
          <w:rFonts w:ascii="Times New Roman" w:hAnsi="Times New Roman" w:cs="Times New Roman"/>
          <w:b/>
          <w:color w:val="000000"/>
        </w:rPr>
        <w:t>浙江理工大学本科毕业设计</w:t>
      </w:r>
      <w:r>
        <w:rPr>
          <w:rFonts w:hint="eastAsia" w:ascii="Times New Roman" w:hAnsi="Times New Roman" w:cs="Times New Roman"/>
          <w:b/>
          <w:color w:val="000000"/>
        </w:rPr>
        <w:t>(</w:t>
      </w:r>
      <w:r>
        <w:rPr>
          <w:rFonts w:ascii="Times New Roman" w:hAnsi="Times New Roman" w:cs="Times New Roman"/>
          <w:b/>
          <w:color w:val="000000"/>
        </w:rPr>
        <w:t>论文</w:t>
      </w:r>
      <w:r>
        <w:rPr>
          <w:rFonts w:hint="eastAsia" w:ascii="Times New Roman" w:hAnsi="Times New Roman" w:cs="Times New Roman"/>
          <w:b/>
          <w:color w:val="000000"/>
        </w:rPr>
        <w:t>)</w:t>
      </w:r>
      <w:r>
        <w:rPr>
          <w:rFonts w:ascii="Times New Roman" w:hAnsi="Times New Roman" w:cs="Times New Roman"/>
          <w:b/>
          <w:color w:val="000000"/>
        </w:rPr>
        <w:t>答辩记录表</w:t>
      </w:r>
    </w:p>
    <w:tbl>
      <w:tblPr>
        <w:tblStyle w:val="16"/>
        <w:tblW w:w="9016"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518"/>
        <w:gridCol w:w="2702"/>
        <w:gridCol w:w="1673"/>
        <w:gridCol w:w="2123"/>
      </w:tblGrid>
      <w:tr w14:paraId="7F0B89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2518" w:type="dxa"/>
            <w:tcBorders>
              <w:top w:val="single" w:color="auto" w:sz="4" w:space="0"/>
              <w:left w:val="single" w:color="auto" w:sz="4" w:space="0"/>
              <w:bottom w:val="single" w:color="auto" w:sz="4" w:space="0"/>
              <w:right w:val="single" w:color="auto" w:sz="4" w:space="0"/>
            </w:tcBorders>
          </w:tcPr>
          <w:p w14:paraId="15156766">
            <w:pPr>
              <w:spacing w:line="360" w:lineRule="auto"/>
              <w:jc w:val="center"/>
            </w:pPr>
            <w:r>
              <w:rPr>
                <w:rFonts w:hint="eastAsia"/>
              </w:rPr>
              <w:t>学</w:t>
            </w:r>
            <w:r>
              <w:t xml:space="preserve">  </w:t>
            </w:r>
            <w:r>
              <w:rPr>
                <w:rFonts w:hint="eastAsia"/>
              </w:rPr>
              <w:t>院</w:t>
            </w:r>
          </w:p>
        </w:tc>
        <w:tc>
          <w:tcPr>
            <w:tcW w:w="2702" w:type="dxa"/>
            <w:tcBorders>
              <w:top w:val="single" w:color="auto" w:sz="4" w:space="0"/>
              <w:left w:val="single" w:color="auto" w:sz="4" w:space="0"/>
              <w:bottom w:val="single" w:color="auto" w:sz="4" w:space="0"/>
              <w:right w:val="single" w:color="auto" w:sz="4" w:space="0"/>
            </w:tcBorders>
          </w:tcPr>
          <w:p w14:paraId="712C765D">
            <w:pPr>
              <w:spacing w:line="360" w:lineRule="auto"/>
              <w:jc w:val="center"/>
            </w:pPr>
            <w:r>
              <w:rPr>
                <w:rFonts w:hint="eastAsia"/>
              </w:rPr>
              <w:t>组长</w:t>
            </w:r>
          </w:p>
        </w:tc>
        <w:tc>
          <w:tcPr>
            <w:tcW w:w="3796" w:type="dxa"/>
            <w:gridSpan w:val="2"/>
            <w:tcBorders>
              <w:top w:val="single" w:color="auto" w:sz="4" w:space="0"/>
              <w:left w:val="single" w:color="auto" w:sz="4" w:space="0"/>
              <w:bottom w:val="single" w:color="auto" w:sz="4" w:space="0"/>
              <w:right w:val="single" w:color="auto" w:sz="4" w:space="0"/>
            </w:tcBorders>
          </w:tcPr>
          <w:p w14:paraId="2B0F2502">
            <w:pPr>
              <w:spacing w:line="360" w:lineRule="auto"/>
              <w:jc w:val="center"/>
            </w:pPr>
            <w:r>
              <w:rPr>
                <w:rFonts w:hint="eastAsia"/>
              </w:rPr>
              <w:t>小组成员</w:t>
            </w:r>
          </w:p>
        </w:tc>
      </w:tr>
      <w:tr w14:paraId="520717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2518" w:type="dxa"/>
            <w:tcBorders>
              <w:top w:val="single" w:color="auto" w:sz="4" w:space="0"/>
              <w:left w:val="single" w:color="auto" w:sz="4" w:space="0"/>
              <w:bottom w:val="single" w:color="auto" w:sz="4" w:space="0"/>
              <w:right w:val="single" w:color="auto" w:sz="4" w:space="0"/>
            </w:tcBorders>
          </w:tcPr>
          <w:p w14:paraId="78A31FC9">
            <w:pPr>
              <w:jc w:val="center"/>
            </w:pPr>
            <w:r>
              <w:rPr>
                <w:rFonts w:hint="eastAsia"/>
              </w:rPr>
              <w:t>计算机科学与技术学院（人工智能学院）</w:t>
            </w:r>
          </w:p>
        </w:tc>
        <w:tc>
          <w:tcPr>
            <w:tcW w:w="2702" w:type="dxa"/>
            <w:tcBorders>
              <w:top w:val="single" w:color="auto" w:sz="4" w:space="0"/>
              <w:left w:val="single" w:color="auto" w:sz="4" w:space="0"/>
              <w:bottom w:val="single" w:color="auto" w:sz="4" w:space="0"/>
              <w:right w:val="single" w:color="auto" w:sz="4" w:space="0"/>
            </w:tcBorders>
          </w:tcPr>
          <w:p w14:paraId="25076D77">
            <w:pPr>
              <w:spacing w:line="360" w:lineRule="auto"/>
              <w:jc w:val="center"/>
              <w:rPr>
                <w:rFonts w:hint="eastAsia" w:eastAsia="宋体"/>
                <w:lang w:val="en-US" w:eastAsia="zh-CN"/>
              </w:rPr>
            </w:pPr>
          </w:p>
        </w:tc>
        <w:tc>
          <w:tcPr>
            <w:tcW w:w="3796" w:type="dxa"/>
            <w:gridSpan w:val="2"/>
            <w:tcBorders>
              <w:top w:val="single" w:color="auto" w:sz="4" w:space="0"/>
              <w:left w:val="single" w:color="auto" w:sz="4" w:space="0"/>
              <w:bottom w:val="single" w:color="auto" w:sz="4" w:space="0"/>
              <w:right w:val="single" w:color="auto" w:sz="4" w:space="0"/>
            </w:tcBorders>
          </w:tcPr>
          <w:p w14:paraId="5EF0AC19">
            <w:pPr>
              <w:spacing w:line="360" w:lineRule="auto"/>
              <w:jc w:val="center"/>
              <w:rPr>
                <w:rFonts w:hint="eastAsia" w:eastAsia="宋体"/>
                <w:lang w:val="en-US" w:eastAsia="zh-CN"/>
              </w:rPr>
            </w:pPr>
            <w:bookmarkStart w:id="0" w:name="_GoBack"/>
            <w:bookmarkEnd w:id="0"/>
          </w:p>
        </w:tc>
      </w:tr>
      <w:tr w14:paraId="2385C9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18" w:type="dxa"/>
            <w:tcBorders>
              <w:top w:val="single" w:color="auto" w:sz="4" w:space="0"/>
              <w:left w:val="single" w:color="auto" w:sz="4" w:space="0"/>
              <w:bottom w:val="single" w:color="auto" w:sz="4" w:space="0"/>
              <w:right w:val="single" w:color="auto" w:sz="4" w:space="0"/>
            </w:tcBorders>
            <w:vAlign w:val="center"/>
          </w:tcPr>
          <w:p w14:paraId="750AEFC8">
            <w:pPr>
              <w:spacing w:line="360" w:lineRule="auto"/>
            </w:pPr>
            <w:r>
              <w:rPr>
                <w:rFonts w:hint="eastAsia"/>
              </w:rPr>
              <w:t>设计题目</w:t>
            </w:r>
          </w:p>
        </w:tc>
        <w:tc>
          <w:tcPr>
            <w:tcW w:w="6498" w:type="dxa"/>
            <w:gridSpan w:val="3"/>
            <w:tcBorders>
              <w:top w:val="single" w:color="auto" w:sz="4" w:space="0"/>
              <w:left w:val="single" w:color="auto" w:sz="4" w:space="0"/>
              <w:bottom w:val="single" w:color="auto" w:sz="4" w:space="0"/>
              <w:right w:val="single" w:color="auto" w:sz="4" w:space="0"/>
            </w:tcBorders>
          </w:tcPr>
          <w:p w14:paraId="69656A5D">
            <w:pPr>
              <w:spacing w:line="360" w:lineRule="auto"/>
              <w:jc w:val="center"/>
            </w:pPr>
            <w:r>
              <w:rPr>
                <w:rFonts w:hint="eastAsia"/>
              </w:rPr>
              <w:t xml:space="preserve">基于Spring Boot与Vue的图书借阅管理系统 </w:t>
            </w:r>
          </w:p>
        </w:tc>
      </w:tr>
      <w:tr w14:paraId="4AC731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518" w:type="dxa"/>
            <w:tcBorders>
              <w:top w:val="single" w:color="auto" w:sz="4" w:space="0"/>
              <w:left w:val="single" w:color="auto" w:sz="4" w:space="0"/>
              <w:bottom w:val="single" w:color="auto" w:sz="4" w:space="0"/>
              <w:right w:val="single" w:color="auto" w:sz="4" w:space="0"/>
            </w:tcBorders>
            <w:vAlign w:val="center"/>
          </w:tcPr>
          <w:p w14:paraId="5EA1C592">
            <w:r>
              <w:rPr>
                <w:rFonts w:hint="eastAsia"/>
              </w:rPr>
              <w:t>答辩时间 (年月日/时刻)</w:t>
            </w:r>
          </w:p>
        </w:tc>
        <w:tc>
          <w:tcPr>
            <w:tcW w:w="2702" w:type="dxa"/>
            <w:tcBorders>
              <w:top w:val="single" w:color="auto" w:sz="4" w:space="0"/>
              <w:left w:val="single" w:color="auto" w:sz="4" w:space="0"/>
              <w:bottom w:val="single" w:color="auto" w:sz="4" w:space="0"/>
              <w:right w:val="single" w:color="auto" w:sz="4" w:space="0"/>
            </w:tcBorders>
          </w:tcPr>
          <w:p w14:paraId="7F255EC2">
            <w:pPr>
              <w:jc w:val="center"/>
            </w:pPr>
            <w:r>
              <w:rPr>
                <w:rFonts w:hint="eastAsia"/>
              </w:rPr>
              <w:t>2025年</w:t>
            </w:r>
            <w:r>
              <w:rPr>
                <w:rFonts w:hint="eastAsia"/>
                <w:lang w:val="en-US" w:eastAsia="zh-CN"/>
              </w:rPr>
              <w:t>12</w:t>
            </w:r>
            <w:r>
              <w:rPr>
                <w:rFonts w:hint="eastAsia"/>
              </w:rPr>
              <w:t>月</w:t>
            </w:r>
            <w:r>
              <w:rPr>
                <w:rFonts w:hint="eastAsia"/>
                <w:lang w:val="en-US" w:eastAsia="zh-CN"/>
              </w:rPr>
              <w:t>29</w:t>
            </w:r>
            <w:r>
              <w:rPr>
                <w:rFonts w:hint="eastAsia"/>
              </w:rPr>
              <w:t>日</w:t>
            </w:r>
          </w:p>
        </w:tc>
        <w:tc>
          <w:tcPr>
            <w:tcW w:w="1673" w:type="dxa"/>
            <w:tcBorders>
              <w:top w:val="single" w:color="auto" w:sz="4" w:space="0"/>
              <w:left w:val="single" w:color="auto" w:sz="4" w:space="0"/>
              <w:bottom w:val="single" w:color="auto" w:sz="4" w:space="0"/>
              <w:right w:val="single" w:color="auto" w:sz="4" w:space="0"/>
            </w:tcBorders>
            <w:vAlign w:val="center"/>
          </w:tcPr>
          <w:p w14:paraId="57B127D2">
            <w:pPr>
              <w:jc w:val="center"/>
            </w:pPr>
            <w:r>
              <w:rPr>
                <w:rFonts w:hint="eastAsia"/>
              </w:rPr>
              <w:t>答</w:t>
            </w:r>
            <w:r>
              <w:t xml:space="preserve"> </w:t>
            </w:r>
            <w:r>
              <w:rPr>
                <w:rFonts w:hint="eastAsia"/>
              </w:rPr>
              <w:t>辩</w:t>
            </w:r>
            <w:r>
              <w:t xml:space="preserve"> </w:t>
            </w:r>
            <w:r>
              <w:rPr>
                <w:rFonts w:hint="eastAsia"/>
              </w:rPr>
              <w:t>地</w:t>
            </w:r>
            <w:r>
              <w:t xml:space="preserve"> </w:t>
            </w:r>
            <w:r>
              <w:rPr>
                <w:rFonts w:hint="eastAsia"/>
              </w:rPr>
              <w:t>点</w:t>
            </w:r>
          </w:p>
        </w:tc>
        <w:tc>
          <w:tcPr>
            <w:tcW w:w="2123" w:type="dxa"/>
            <w:tcBorders>
              <w:top w:val="single" w:color="auto" w:sz="4" w:space="0"/>
              <w:left w:val="single" w:color="auto" w:sz="4" w:space="0"/>
              <w:bottom w:val="single" w:color="auto" w:sz="4" w:space="0"/>
              <w:right w:val="single" w:color="auto" w:sz="4" w:space="0"/>
            </w:tcBorders>
            <w:vAlign w:val="center"/>
          </w:tcPr>
          <w:p w14:paraId="42517A22">
            <w:pPr>
              <w:jc w:val="center"/>
            </w:pPr>
            <w:r>
              <w:rPr>
                <w:rFonts w:hint="eastAsia"/>
                <w:lang w:val="en-US" w:eastAsia="zh-CN"/>
              </w:rPr>
              <w:t>2N-415</w:t>
            </w:r>
          </w:p>
        </w:tc>
      </w:tr>
      <w:tr w14:paraId="154734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935" w:hRule="atLeast"/>
        </w:trPr>
        <w:tc>
          <w:tcPr>
            <w:tcW w:w="9016" w:type="dxa"/>
            <w:gridSpan w:val="4"/>
            <w:tcBorders>
              <w:top w:val="single" w:color="auto" w:sz="4" w:space="0"/>
              <w:left w:val="single" w:color="auto" w:sz="4" w:space="0"/>
              <w:bottom w:val="single" w:color="auto" w:sz="4" w:space="0"/>
              <w:right w:val="single" w:color="auto" w:sz="4" w:space="0"/>
            </w:tcBorders>
          </w:tcPr>
          <w:p w14:paraId="04F1FB56">
            <w:pPr>
              <w:spacing w:line="360" w:lineRule="auto"/>
            </w:pPr>
            <w:r>
              <w:rPr>
                <w:rFonts w:hint="eastAsia"/>
              </w:rPr>
              <w:t>答辩记录(可另附页)：</w:t>
            </w:r>
          </w:p>
          <w:p w14:paraId="072CD615">
            <w:pPr>
              <w:keepNext w:val="0"/>
              <w:keepLines w:val="0"/>
              <w:widowControl/>
              <w:suppressLineNumbers w:val="0"/>
              <w:spacing w:line="360" w:lineRule="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问题1：该项目你们小组使用了哪些架构？</w:t>
            </w:r>
          </w:p>
          <w:p w14:paraId="096EC692">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本系统</w:t>
            </w:r>
            <w:r>
              <w:rPr>
                <w:rFonts w:hint="eastAsia" w:ascii="宋体" w:hAnsi="宋体" w:cs="宋体"/>
                <w:kern w:val="2"/>
                <w:sz w:val="21"/>
                <w:szCs w:val="21"/>
                <w:lang w:val="en-US" w:eastAsia="zh-CN" w:bidi="ar-SA"/>
              </w:rPr>
              <w:t>我们小组</w:t>
            </w:r>
            <w:r>
              <w:rPr>
                <w:rFonts w:hint="eastAsia" w:ascii="宋体" w:hAnsi="宋体" w:eastAsia="宋体" w:cs="宋体"/>
                <w:kern w:val="2"/>
                <w:sz w:val="21"/>
                <w:szCs w:val="21"/>
                <w:lang w:val="en-US" w:eastAsia="zh-CN" w:bidi="ar-SA"/>
              </w:rPr>
              <w:t>采用</w:t>
            </w:r>
            <w:r>
              <w:rPr>
                <w:rFonts w:hint="eastAsia" w:ascii="宋体" w:hAnsi="宋体" w:cs="宋体"/>
                <w:kern w:val="2"/>
                <w:sz w:val="21"/>
                <w:szCs w:val="21"/>
                <w:lang w:val="en-US" w:eastAsia="zh-CN" w:bidi="ar-SA"/>
              </w:rPr>
              <w:t>了</w:t>
            </w:r>
            <w:r>
              <w:rPr>
                <w:rFonts w:hint="eastAsia" w:ascii="宋体" w:hAnsi="宋体" w:eastAsia="宋体" w:cs="宋体"/>
                <w:kern w:val="2"/>
                <w:sz w:val="21"/>
                <w:szCs w:val="21"/>
                <w:lang w:val="en-US" w:eastAsia="zh-CN" w:bidi="ar-SA"/>
              </w:rPr>
              <w:t>基于B/S模式的前后端分离架构，前端与后端通过统一的RESTful API进行通信，实现了业务逻辑与界面展示的有效解耦。后端核心基于Spring Boot框架构建，利用其自动配置机制和内嵌Tomcat容器实现了服务的快速搭建与独立部署；前端基于Vue 3构建单页应用（SPA），通过HTTP接口与后端进行数据交互，从整体上保证了系统在功能扩展和后期维护方面的灵活性与可扩展性。</w:t>
            </w:r>
          </w:p>
          <w:p w14:paraId="00041BA0">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在后端架构设计上，系统遵循标准的三层分层结构，包括Controller、Service和DAO层。Controller层负责请求接收与参数校验，Service层集中处理核心业务逻辑，如图书借还流程中的事务控制与库存原子性扣减，DAO层采用MyBatis-Plus框架，通过继承BaseMapper和使用LambdaQueryWrapper简化了单表CRUD操作，并在复杂查询场景下结合手写SQL保证查询效率。数据存储方面，系统使用MySQL存储图书、读者及借阅记录等核心业务数据，同时引入Redis存储登录Token，实现基于白名单的会话校验机制，并配合HikariCP数据库连接池提升并发访问性能。在前端实现上，系统基于Vue 3的Composition API与&lt;script setup&gt;语法进行开发，通过Pinia管理用户登录状态，并封装Axios拦截器实现Token自动携带与统一异常处理，结合Element Plus组件库构建了结构清晰、交互友好的用户界面。</w:t>
            </w:r>
          </w:p>
          <w:p w14:paraId="5011DAB9">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kern w:val="2"/>
                <w:sz w:val="21"/>
                <w:szCs w:val="21"/>
                <w:lang w:val="en-US" w:eastAsia="zh-CN" w:bidi="ar-SA"/>
              </w:rPr>
            </w:pPr>
          </w:p>
          <w:p w14:paraId="5D91D9CC">
            <w:pPr>
              <w:keepNext w:val="0"/>
              <w:keepLines w:val="0"/>
              <w:widowControl/>
              <w:suppressLineNumbers w:val="0"/>
              <w:spacing w:line="360" w:lineRule="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问题2：MyBatis-Plus和MyBatis有何区别，你们小组的项目哪些地方用到了MyBatis-Plus?</w:t>
            </w:r>
          </w:p>
          <w:p w14:paraId="2A7C6D39">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MyBatis-Plus是MyBatis的增强工具，其核心理念是只做增强不做改变。相比于MyBatis需要为每个操作即使是简单的单表查询</w:t>
            </w:r>
            <w:r>
              <w:rPr>
                <w:rFonts w:hint="eastAsia" w:ascii="宋体" w:hAnsi="宋体" w:cs="宋体"/>
                <w:kern w:val="2"/>
                <w:sz w:val="21"/>
                <w:szCs w:val="21"/>
                <w:lang w:val="en-US" w:eastAsia="zh-CN" w:bidi="ar-SA"/>
              </w:rPr>
              <w:t>也要</w:t>
            </w:r>
            <w:r>
              <w:rPr>
                <w:rFonts w:hint="eastAsia" w:ascii="宋体" w:hAnsi="宋体" w:eastAsia="宋体" w:cs="宋体"/>
                <w:kern w:val="2"/>
                <w:sz w:val="21"/>
                <w:szCs w:val="21"/>
                <w:lang w:val="en-US" w:eastAsia="zh-CN" w:bidi="ar-SA"/>
              </w:rPr>
              <w:t>编写详细的XML或注解SQL，MyBatis-Plus内置了通用的Mapper和Service接口，能够自动生成单表的CRUD操作。同时，它提供的条件构造器允许使用Java代码构建类型安全的查询条件，大大提升了开发效率并减少了SQL拼写错误。</w:t>
            </w:r>
          </w:p>
          <w:p w14:paraId="7E47612E">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我们小组的</w:t>
            </w:r>
            <w:r>
              <w:rPr>
                <w:rFonts w:hint="eastAsia" w:ascii="宋体" w:hAnsi="宋体" w:eastAsia="宋体" w:cs="宋体"/>
                <w:kern w:val="2"/>
                <w:sz w:val="21"/>
                <w:szCs w:val="21"/>
                <w:lang w:val="en-US" w:eastAsia="zh-CN" w:bidi="ar-SA"/>
              </w:rPr>
              <w:t>项目在数据持久层深度应用了MyBatis-Plus的核心特性，具体体现在以下四个方面：</w:t>
            </w:r>
          </w:p>
          <w:p w14:paraId="1FF738F9">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w:t>
            </w:r>
            <w:r>
              <w:rPr>
                <w:rFonts w:hint="eastAsia" w:ascii="宋体" w:hAnsi="宋体" w:eastAsia="宋体" w:cs="宋体"/>
                <w:kern w:val="2"/>
                <w:sz w:val="21"/>
                <w:szCs w:val="21"/>
                <w:lang w:val="en-US" w:eastAsia="zh-CN" w:bidi="ar-SA"/>
              </w:rPr>
              <w:t>继承</w:t>
            </w:r>
            <w:r>
              <w:rPr>
                <w:rFonts w:hint="eastAsia" w:ascii="宋体" w:hAnsi="宋体" w:cs="宋体"/>
                <w:kern w:val="2"/>
                <w:sz w:val="21"/>
                <w:szCs w:val="21"/>
                <w:lang w:val="en-US" w:eastAsia="zh-CN" w:bidi="ar-SA"/>
              </w:rPr>
              <w:t>了</w:t>
            </w:r>
            <w:r>
              <w:rPr>
                <w:rFonts w:hint="eastAsia" w:ascii="宋体" w:hAnsi="宋体" w:eastAsia="宋体" w:cs="宋体"/>
                <w:kern w:val="2"/>
                <w:sz w:val="21"/>
                <w:szCs w:val="21"/>
                <w:lang w:val="en-US" w:eastAsia="zh-CN" w:bidi="ar-SA"/>
              </w:rPr>
              <w:t>BaseMapper实现零SQL开发</w:t>
            </w:r>
            <w:r>
              <w:rPr>
                <w:rFonts w:hint="eastAsia" w:ascii="宋体" w:hAnsi="宋体" w:cs="宋体"/>
                <w:kern w:val="2"/>
                <w:sz w:val="21"/>
                <w:szCs w:val="21"/>
                <w:lang w:val="en-US" w:eastAsia="zh-CN" w:bidi="ar-SA"/>
              </w:rPr>
              <w:t>，</w:t>
            </w:r>
            <w:r>
              <w:rPr>
                <w:rFonts w:hint="eastAsia" w:ascii="宋体" w:hAnsi="宋体" w:eastAsia="宋体" w:cs="宋体"/>
                <w:kern w:val="2"/>
                <w:sz w:val="21"/>
                <w:szCs w:val="21"/>
                <w:lang w:val="en-US" w:eastAsia="zh-CN" w:bidi="ar-SA"/>
              </w:rPr>
              <w:t>项目中所有的Mapper接口均继承了MP提供的BaseMapper&lt;T&gt;接口。在AdminMapper.java中，定义了public interface AdminMapper extends BaseMapper&lt;Admin&gt;。这使得我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在Service层可以直接调用adminMapper.insert()或deleteById()等方法，无需编写任何SQL语句即可完成管理员的增删改查。</w:t>
            </w:r>
          </w:p>
          <w:p w14:paraId="1E819A5C">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2.</w:t>
            </w:r>
            <w:r>
              <w:rPr>
                <w:rFonts w:hint="eastAsia" w:ascii="宋体" w:hAnsi="宋体" w:eastAsia="宋体" w:cs="宋体"/>
                <w:kern w:val="2"/>
                <w:sz w:val="21"/>
                <w:szCs w:val="21"/>
                <w:lang w:val="en-US" w:eastAsia="zh-CN" w:bidi="ar-SA"/>
              </w:rPr>
              <w:t>使用</w:t>
            </w:r>
            <w:r>
              <w:rPr>
                <w:rFonts w:hint="eastAsia" w:ascii="宋体" w:hAnsi="宋体" w:cs="宋体"/>
                <w:kern w:val="2"/>
                <w:sz w:val="21"/>
                <w:szCs w:val="21"/>
                <w:lang w:val="en-US" w:eastAsia="zh-CN" w:bidi="ar-SA"/>
              </w:rPr>
              <w:t>了</w:t>
            </w:r>
            <w:r>
              <w:rPr>
                <w:rFonts w:hint="eastAsia" w:ascii="宋体" w:hAnsi="宋体" w:eastAsia="宋体" w:cs="宋体"/>
                <w:kern w:val="2"/>
                <w:sz w:val="21"/>
                <w:szCs w:val="21"/>
                <w:lang w:val="en-US" w:eastAsia="zh-CN" w:bidi="ar-SA"/>
              </w:rPr>
              <w:t>LambdaQueryWrapper构建动态查询</w:t>
            </w:r>
            <w:r>
              <w:rPr>
                <w:rFonts w:hint="eastAsia" w:ascii="宋体" w:hAnsi="宋体" w:cs="宋体"/>
                <w:kern w:val="2"/>
                <w:sz w:val="21"/>
                <w:szCs w:val="21"/>
                <w:lang w:val="en-US" w:eastAsia="zh-CN" w:bidi="ar-SA"/>
              </w:rPr>
              <w:t>，</w:t>
            </w:r>
            <w:r>
              <w:rPr>
                <w:rFonts w:hint="eastAsia" w:ascii="宋体" w:hAnsi="宋体" w:eastAsia="宋体" w:cs="宋体"/>
                <w:kern w:val="2"/>
                <w:sz w:val="21"/>
                <w:szCs w:val="21"/>
                <w:lang w:val="en-US" w:eastAsia="zh-CN" w:bidi="ar-SA"/>
              </w:rPr>
              <w:t>在复杂的搜索业务中，我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利用LambdaQueryWrapper来替代硬编码的SQL字符串，保证了代码的类型安全。在BookServiceImpl.java的图书分页查询中，我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使用了queryWrapper.like(..., Book::getTitle, bookName)。这种Lambda表达式写法（Book::getTitle）能通过编译器检查字段名，有效防止了拼写错误。</w:t>
            </w:r>
          </w:p>
          <w:p w14:paraId="1F8BF03B">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3.</w:t>
            </w:r>
            <w:r>
              <w:rPr>
                <w:rFonts w:hint="eastAsia" w:ascii="宋体" w:hAnsi="宋体" w:eastAsia="宋体" w:cs="宋体"/>
                <w:kern w:val="2"/>
                <w:sz w:val="21"/>
                <w:szCs w:val="21"/>
                <w:lang w:val="en-US" w:eastAsia="zh-CN" w:bidi="ar-SA"/>
              </w:rPr>
              <w:t>内置分页插件的应用</w:t>
            </w:r>
            <w:r>
              <w:rPr>
                <w:rFonts w:hint="eastAsia" w:ascii="宋体" w:hAnsi="宋体" w:cs="宋体"/>
                <w:kern w:val="2"/>
                <w:sz w:val="21"/>
                <w:szCs w:val="21"/>
                <w:lang w:val="en-US" w:eastAsia="zh-CN" w:bidi="ar-SA"/>
              </w:rPr>
              <w:t>，</w:t>
            </w:r>
            <w:r>
              <w:rPr>
                <w:rFonts w:hint="eastAsia" w:ascii="宋体" w:hAnsi="宋体" w:eastAsia="宋体" w:cs="宋体"/>
                <w:kern w:val="2"/>
                <w:sz w:val="21"/>
                <w:szCs w:val="21"/>
                <w:lang w:val="en-US" w:eastAsia="zh-CN" w:bidi="ar-SA"/>
              </w:rPr>
              <w:t>系统利用MP的分页插件快速实现了后端分页逻辑。在BookServiceImpl.java中，通过调用bookMapper.selectPage(new Page&lt;&gt;(currentPage, pageSize), queryWrapper)，仅用一行代码就完成了包含总记录数统计（Count）和数据截取（Limit）的复杂分页查询。</w:t>
            </w:r>
          </w:p>
          <w:p w14:paraId="78956F00">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4.</w:t>
            </w:r>
            <w:r>
              <w:rPr>
                <w:rFonts w:hint="eastAsia" w:ascii="宋体" w:hAnsi="宋体" w:eastAsia="宋体" w:cs="宋体"/>
                <w:kern w:val="2"/>
                <w:sz w:val="21"/>
                <w:szCs w:val="21"/>
                <w:lang w:val="en-US" w:eastAsia="zh-CN" w:bidi="ar-SA"/>
              </w:rPr>
              <w:t>注解适配数据库主键策略</w:t>
            </w:r>
            <w:r>
              <w:rPr>
                <w:rFonts w:hint="eastAsia" w:ascii="宋体" w:hAnsi="宋体" w:cs="宋体"/>
                <w:kern w:val="2"/>
                <w:sz w:val="21"/>
                <w:szCs w:val="21"/>
                <w:lang w:val="en-US" w:eastAsia="zh-CN" w:bidi="ar-SA"/>
              </w:rPr>
              <w:t>，</w:t>
            </w:r>
            <w:r>
              <w:rPr>
                <w:rFonts w:hint="eastAsia" w:ascii="宋体" w:hAnsi="宋体" w:eastAsia="宋体" w:cs="宋体"/>
                <w:kern w:val="2"/>
                <w:sz w:val="21"/>
                <w:szCs w:val="21"/>
                <w:lang w:val="en-US" w:eastAsia="zh-CN" w:bidi="ar-SA"/>
              </w:rPr>
              <w:t>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使用了@TableId注解来精准控制主键的生成策略。在Admin.java实体类中，使用@TableId(type = IdType.AUTO)适配了MySQL的自增主键；而在Book.java中，使用@TableId指定ISBN为非自增的自然主键。</w:t>
            </w:r>
          </w:p>
          <w:p w14:paraId="2AA8E1CF">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对于涉及多表关联的复杂查询，我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保留了MyBatis原生的注解方式。在BorrowMapper.java中，为了关联查询借阅记录、图书信息和读者信息，我</w:t>
            </w:r>
            <w:r>
              <w:rPr>
                <w:rFonts w:hint="eastAsia" w:ascii="宋体" w:hAnsi="宋体" w:cs="宋体"/>
                <w:kern w:val="2"/>
                <w:sz w:val="21"/>
                <w:szCs w:val="21"/>
                <w:lang w:val="en-US" w:eastAsia="zh-CN" w:bidi="ar-SA"/>
              </w:rPr>
              <w:t>们小组</w:t>
            </w:r>
            <w:r>
              <w:rPr>
                <w:rFonts w:hint="eastAsia" w:ascii="宋体" w:hAnsi="宋体" w:eastAsia="宋体" w:cs="宋体"/>
                <w:kern w:val="2"/>
                <w:sz w:val="21"/>
                <w:szCs w:val="21"/>
                <w:lang w:val="en-US" w:eastAsia="zh-CN" w:bidi="ar-SA"/>
              </w:rPr>
              <w:t>使用了@Select("SELECT ... FROM borrow b LEFT JOIN book ...")手写SQL，以兼顾开发的便捷性与查询的灵活性</w:t>
            </w:r>
          </w:p>
          <w:p w14:paraId="29FEDB8A">
            <w:pPr>
              <w:spacing w:line="360" w:lineRule="auto"/>
              <w:rPr>
                <w:rFonts w:hint="eastAsia" w:eastAsia="宋体"/>
                <w:lang w:eastAsia="zh-CN"/>
              </w:rPr>
            </w:pPr>
          </w:p>
          <w:p w14:paraId="177F6658">
            <w:pPr>
              <w:spacing w:line="360" w:lineRule="auto"/>
            </w:pPr>
          </w:p>
          <w:p w14:paraId="722B36C4">
            <w:pPr>
              <w:spacing w:line="360" w:lineRule="auto"/>
              <w:ind w:firstLine="6090" w:firstLineChars="2900"/>
            </w:pPr>
            <w:r>
              <w:rPr>
                <w:rFonts w:hint="eastAsia"/>
              </w:rPr>
              <w:t>答辩记录人：</w:t>
            </w:r>
            <w:r>
              <w:rPr>
                <w:rFonts w:hint="eastAsia"/>
                <w:lang w:val="en-US" w:eastAsia="zh-CN"/>
              </w:rPr>
              <w:t>黄红洲</w:t>
            </w:r>
            <w:r>
              <w:t xml:space="preserve"> </w:t>
            </w:r>
          </w:p>
          <w:p w14:paraId="7EE0E892">
            <w:pPr>
              <w:spacing w:line="360" w:lineRule="auto"/>
            </w:pPr>
            <w:r>
              <w:rPr>
                <w:rFonts w:hint="eastAsia"/>
              </w:rPr>
              <w:t xml:space="preserve">                                                         </w:t>
            </w:r>
            <w:r>
              <w:t xml:space="preserve"> 202</w:t>
            </w:r>
            <w:r>
              <w:rPr>
                <w:rFonts w:hint="eastAsia"/>
              </w:rPr>
              <w:t>5年</w:t>
            </w:r>
            <w:r>
              <w:rPr>
                <w:rFonts w:hint="eastAsia"/>
                <w:lang w:val="en-US" w:eastAsia="zh-CN"/>
              </w:rPr>
              <w:t>12</w:t>
            </w:r>
            <w:r>
              <w:rPr>
                <w:rFonts w:hint="eastAsia"/>
              </w:rPr>
              <w:t>月</w:t>
            </w:r>
            <w:r>
              <w:rPr>
                <w:rFonts w:hint="eastAsia"/>
                <w:lang w:val="en-US" w:eastAsia="zh-CN"/>
              </w:rPr>
              <w:t>29</w:t>
            </w:r>
            <w:r>
              <w:rPr>
                <w:rFonts w:hint="eastAsia"/>
              </w:rPr>
              <w:t>日</w:t>
            </w:r>
          </w:p>
        </w:tc>
      </w:tr>
    </w:tbl>
    <w:p w14:paraId="65E8E6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F5F"/>
    <w:rsid w:val="000A21EA"/>
    <w:rsid w:val="000C5842"/>
    <w:rsid w:val="000F2072"/>
    <w:rsid w:val="00111E54"/>
    <w:rsid w:val="00167E37"/>
    <w:rsid w:val="001A4DBF"/>
    <w:rsid w:val="00255EF3"/>
    <w:rsid w:val="002E5271"/>
    <w:rsid w:val="00321E23"/>
    <w:rsid w:val="00334C30"/>
    <w:rsid w:val="00382929"/>
    <w:rsid w:val="00487E87"/>
    <w:rsid w:val="00507646"/>
    <w:rsid w:val="0066514E"/>
    <w:rsid w:val="00705CE8"/>
    <w:rsid w:val="00727C57"/>
    <w:rsid w:val="00766FDB"/>
    <w:rsid w:val="00836879"/>
    <w:rsid w:val="008E48BF"/>
    <w:rsid w:val="0095503B"/>
    <w:rsid w:val="00961D68"/>
    <w:rsid w:val="009C03AF"/>
    <w:rsid w:val="00AA09F2"/>
    <w:rsid w:val="00AB644F"/>
    <w:rsid w:val="00AE0FFD"/>
    <w:rsid w:val="00B26ED1"/>
    <w:rsid w:val="00B51E3A"/>
    <w:rsid w:val="00BC68CE"/>
    <w:rsid w:val="00BF008E"/>
    <w:rsid w:val="00C101F0"/>
    <w:rsid w:val="00C11ADA"/>
    <w:rsid w:val="00C208DA"/>
    <w:rsid w:val="00C74B5C"/>
    <w:rsid w:val="00CA06EE"/>
    <w:rsid w:val="00D37C72"/>
    <w:rsid w:val="00D622D0"/>
    <w:rsid w:val="00D963B6"/>
    <w:rsid w:val="00E11F5F"/>
    <w:rsid w:val="00EA7B8C"/>
    <w:rsid w:val="00EB5AE3"/>
    <w:rsid w:val="00FB36E4"/>
    <w:rsid w:val="00FE6049"/>
    <w:rsid w:val="06473D8B"/>
    <w:rsid w:val="098B21E0"/>
    <w:rsid w:val="137543A3"/>
    <w:rsid w:val="25FD0B8C"/>
    <w:rsid w:val="32A001FB"/>
    <w:rsid w:val="33A06705"/>
    <w:rsid w:val="382A2A41"/>
    <w:rsid w:val="49C5081B"/>
    <w:rsid w:val="509D2370"/>
    <w:rsid w:val="56E524FD"/>
    <w:rsid w:val="57CB5BAD"/>
    <w:rsid w:val="5EE96902"/>
    <w:rsid w:val="6DA74EBF"/>
    <w:rsid w:val="6E8663F2"/>
    <w:rsid w:val="72EC6569"/>
    <w:rsid w:val="73700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14:ligatures w14:val="standardContextual"/>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14:ligatures w14:val="standardContextual"/>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14:ligatures w14:val="standardContextual"/>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14:ligatures w14:val="standardContextual"/>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14:ligatures w14:val="standardContextual"/>
    </w:rPr>
  </w:style>
  <w:style w:type="paragraph" w:styleId="7">
    <w:name w:val="heading 6"/>
    <w:basedOn w:val="1"/>
    <w:next w:val="1"/>
    <w:link w:val="25"/>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14:ligatures w14:val="standardContextual"/>
    </w:rPr>
  </w:style>
  <w:style w:type="paragraph" w:styleId="8">
    <w:name w:val="heading 7"/>
    <w:basedOn w:val="1"/>
    <w:next w:val="1"/>
    <w:link w:val="26"/>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14:ligatures w14:val="standardContextual"/>
    </w:rPr>
  </w:style>
  <w:style w:type="paragraph" w:styleId="9">
    <w:name w:val="heading 8"/>
    <w:basedOn w:val="1"/>
    <w:next w:val="1"/>
    <w:link w:val="27"/>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14:ligatures w14:val="standardContextual"/>
    </w:rPr>
  </w:style>
  <w:style w:type="paragraph" w:styleId="10">
    <w:name w:val="heading 9"/>
    <w:basedOn w:val="1"/>
    <w:next w:val="1"/>
    <w:link w:val="28"/>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14:ligatures w14:val="standardContextua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12">
    <w:name w:val="header"/>
    <w:basedOn w:val="1"/>
    <w:link w:val="38"/>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standardContextua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styleId="18">
    <w:name w:val="Strong"/>
    <w:basedOn w:val="17"/>
    <w:qFormat/>
    <w:uiPriority w:val="22"/>
    <w:rPr>
      <w:b/>
    </w:rPr>
  </w:style>
  <w:style w:type="character" w:styleId="19">
    <w:name w:val="HTML Code"/>
    <w:basedOn w:val="17"/>
    <w:semiHidden/>
    <w:unhideWhenUsed/>
    <w:uiPriority w:val="99"/>
    <w:rPr>
      <w:rFonts w:ascii="Courier New" w:hAnsi="Courier New"/>
      <w:sz w:val="20"/>
    </w:rPr>
  </w:style>
  <w:style w:type="character" w:customStyle="1" w:styleId="2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qFormat/>
    <w:uiPriority w:val="9"/>
    <w:rPr>
      <w:rFonts w:cstheme="majorBidi"/>
      <w:color w:val="104862" w:themeColor="accent1" w:themeShade="BF"/>
      <w:sz w:val="28"/>
      <w:szCs w:val="28"/>
    </w:rPr>
  </w:style>
  <w:style w:type="character" w:customStyle="1" w:styleId="24">
    <w:name w:val="标题 5 字符"/>
    <w:basedOn w:val="17"/>
    <w:link w:val="6"/>
    <w:semiHidden/>
    <w:qFormat/>
    <w:uiPriority w:val="9"/>
    <w:rPr>
      <w:rFonts w:cstheme="majorBidi"/>
      <w:color w:val="104862" w:themeColor="accent1" w:themeShade="BF"/>
      <w:sz w:val="24"/>
      <w:szCs w:val="24"/>
    </w:rPr>
  </w:style>
  <w:style w:type="character" w:customStyle="1" w:styleId="25">
    <w:name w:val="标题 6 字符"/>
    <w:basedOn w:val="17"/>
    <w:link w:val="7"/>
    <w:semiHidden/>
    <w:qFormat/>
    <w:uiPriority w:val="9"/>
    <w:rPr>
      <w:rFonts w:cstheme="majorBidi"/>
      <w:b/>
      <w:bCs/>
      <w:color w:val="104862"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14:ligatures w14:val="standardContextua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rPr>
      <w:rFonts w:asciiTheme="minorHAnsi" w:hAnsiTheme="minorHAnsi" w:eastAsiaTheme="minorEastAsia" w:cstheme="minorBidi"/>
      <w:szCs w:val="22"/>
      <w14:ligatures w14:val="standardContextual"/>
    </w:rPr>
  </w:style>
  <w:style w:type="character" w:customStyle="1" w:styleId="34">
    <w:name w:val="明显强调1"/>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14:ligatures w14:val="standardContextual"/>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明显参考1"/>
    <w:basedOn w:val="17"/>
    <w:qFormat/>
    <w:uiPriority w:val="32"/>
    <w:rPr>
      <w:b/>
      <w:bCs/>
      <w:smallCaps/>
      <w:color w:val="104862" w:themeColor="accent1" w:themeShade="BF"/>
      <w:spacing w:val="5"/>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1244</Words>
  <Characters>1997</Characters>
  <Lines>69</Lines>
  <Paragraphs>29</Paragraphs>
  <TotalTime>77</TotalTime>
  <ScaleCrop>false</ScaleCrop>
  <LinksUpToDate>false</LinksUpToDate>
  <CharactersWithSpaces>2090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2024-05-22T07:05:00Z</dcterms:created>
  <dc:creator>e2232@365ip.top</dc:creator>
  <cp:lastModifiedBy>黄红洲</cp:lastModifiedBy>
  <dcterms:modified xsi:type="dcterms:W3CDTF">2026-01-05T02:53:32Z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eyJoZGlkIjoiNzczYWZhYjQ0NTFjNDQxYmFlN2E0MDRmMDc2NzI1ZjIiLCJ1c2VySWQiOiIxNTU1NDExMDcxIn0=</vt:lpwstr>
  </property>
  <property fmtid="{D5CDD505-2E9C-101B-9397-08002B2CF9AE}" pid="3" name="KSOProductBuildVer">
    <vt:lpwstr>2052-12.1.0.24034</vt:lpwstr>
  </property>
  <property fmtid="{D5CDD505-2E9C-101B-9397-08002B2CF9AE}" pid="4" name="ICV">
    <vt:lpwstr>4A8504F7B53D4FB78CFC7FEAADEBA22E_13</vt:lpwstr>
  </property>
</Properties>
</file>