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40" w:before="0"/>
        <w:jc w:val="center"/>
      </w:pPr>
      <w:r>
        <w:rPr>
          <w:rFonts w:ascii="Arial" w:cs="Arial" w:eastAsia="Arial" w:hAnsi="Arial"/>
          <w:b/>
          <w:bCs/>
          <w:caps/>
          <w:color w:val="5D6D7E"/>
          <w:sz w:val="20"/>
          <w:szCs w:val="20"/>
        </w:rPr>
        <w:t xml:space="preserve">LAPORAN ANALISIS BISNIS &amp; FINTECH</w:t>
      </w:r>
    </w:p>
    <w:p>
      <w:pPr>
        <w:pBdr>
          <w:bottom w:val="single" w:color="0E6655" w:sz="12" w:space="8"/>
        </w:pBdr>
        <w:spacing w:after="160" w:before="0"/>
        <w:jc w:val="center"/>
      </w:pPr>
      <w:r>
        <w:rPr>
          <w:rFonts w:ascii="Arial" w:cs="Arial" w:eastAsia="Arial" w:hAnsi="Arial"/>
          <w:b/>
          <w:bCs/>
          <w:color w:val="0E6655"/>
          <w:sz w:val="17"/>
          <w:szCs w:val="17"/>
        </w:rPr>
        <w:t xml:space="preserve">KAJIAN MENDALAM  |  SISTEM PEMBAYARAN DIGITAL INDONESIA  |  2024</w:t>
      </w:r>
    </w:p>
    <w:p>
      <w:pPr>
        <w:spacing w:after="80" w:before="180"/>
        <w:jc w:val="center"/>
      </w:pPr>
      <w:r>
        <w:rPr>
          <w:rFonts w:ascii="Arial" w:cs="Arial" w:eastAsia="Arial" w:hAnsi="Arial"/>
          <w:b/>
          <w:bCs/>
          <w:color w:val="1B3A6B"/>
          <w:sz w:val="36"/>
          <w:szCs w:val="36"/>
        </w:rPr>
        <w:t xml:space="preserve">Struktur Biaya, Model Bisnis, dan</w:t>
      </w:r>
    </w:p>
    <w:p>
      <w:pPr>
        <w:spacing w:after="80" w:before="0"/>
        <w:jc w:val="center"/>
      </w:pPr>
      <w:r>
        <w:rPr>
          <w:rFonts w:ascii="Arial" w:cs="Arial" w:eastAsia="Arial" w:hAnsi="Arial"/>
          <w:b/>
          <w:bCs/>
          <w:color w:val="0E6655"/>
          <w:sz w:val="36"/>
          <w:szCs w:val="36"/>
        </w:rPr>
        <w:t xml:space="preserve">Transparansi Fee E-Wallet di Indonesia</w:t>
      </w:r>
    </w:p>
    <w:p>
      <w:pPr>
        <w:spacing w:after="200" w:before="0"/>
        <w:jc w:val="center"/>
      </w:pPr>
      <w:r>
        <w:rPr>
          <w:rFonts w:ascii="Arial" w:cs="Arial" w:eastAsia="Arial" w:hAnsi="Arial"/>
          <w:i/>
          <w:iCs/>
          <w:color w:val="5D6D7E"/>
          <w:sz w:val="21"/>
          <w:szCs w:val="21"/>
        </w:rPr>
        <w:t xml:space="preserve">Analisis Komprehensif terhadap OVO, GoPay, ShopeePay, LinkAja, dan DANA:
Model Pendapatan, Struktur Biaya Pengguna, Regulasi Bank Indonesia,
dan Strategi Mitigasi Biaya bagi Konsumen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Topik</w:t>
            </w:r>
          </w:p>
        </w:tc>
        <w:tc>
          <w:tcPr>
            <w:tcW w:type="dxa" w:w="65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Arial" w:cs="Arial" w:eastAsia="Arial" w:hAnsi="Arial"/>
                <w:b w:val="false"/>
                <w:bCs w:val="false"/>
                <w:color w:val="2C3E50"/>
                <w:sz w:val="20"/>
                <w:szCs w:val="20"/>
              </w:rPr>
              <w:t xml:space="preserve">Analisis Biaya &amp; Model Bisnis E-Wallet Indonesia</w:t>
            </w:r>
          </w:p>
        </w:tc>
      </w:tr>
      <w:tr>
        <w:tc>
          <w:tcPr>
            <w:tcW w:type="dxa" w:w="2800"/>
            <w:tcBorders>
              <w:top w:val="single" w:color="D5D8DC" w:sz="1"/>
              <w:left w:val="single" w:color="D5D8DC" w:sz="1"/>
              <w:bottom w:val="single" w:color="D5D8DC" w:sz="1"/>
              <w:right w:val="single" w:color="D5D8D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Ruang Lingkup</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OVO, GoPay, ShopeePay, LinkAja, DANA</w:t>
            </w:r>
          </w:p>
        </w:tc>
      </w:tr>
      <w:tr>
        <w:tc>
          <w:tcPr>
            <w:tcW w:type="dxa" w:w="2800"/>
            <w:tcBorders>
              <w:top w:val="single" w:color="D5D8DC" w:sz="1"/>
              <w:left w:val="single" w:color="D5D8DC" w:sz="1"/>
              <w:bottom w:val="single" w:color="D5D8DC" w:sz="1"/>
              <w:right w:val="single" w:color="D5D8D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Referensi Regulasi</w:t>
            </w:r>
          </w:p>
        </w:tc>
        <w:tc>
          <w:tcPr>
            <w:tcW w:type="dxa" w:w="65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Arial" w:cs="Arial" w:eastAsia="Arial" w:hAnsi="Arial"/>
                <w:b w:val="false"/>
                <w:bCs w:val="false"/>
                <w:color w:val="2C3E50"/>
                <w:sz w:val="20"/>
                <w:szCs w:val="20"/>
              </w:rPr>
              <w:t xml:space="preserve">PBI No. 23/6/PBI/2021 — Penyedia Jasa Pembayaran</w:t>
            </w:r>
          </w:p>
        </w:tc>
      </w:tr>
      <w:tr>
        <w:tc>
          <w:tcPr>
            <w:tcW w:type="dxa" w:w="2800"/>
            <w:tcBorders>
              <w:top w:val="single" w:color="D5D8DC" w:sz="1"/>
              <w:left w:val="single" w:color="D5D8DC" w:sz="1"/>
              <w:bottom w:val="single" w:color="D5D8DC" w:sz="1"/>
              <w:right w:val="single" w:color="D5D8D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Referensi Regulasi</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PBI No. 22/23/PBI/2020 — Sistem Pembayaran</w:t>
            </w:r>
          </w:p>
        </w:tc>
      </w:tr>
      <w:tr>
        <w:tc>
          <w:tcPr>
            <w:tcW w:type="dxa" w:w="2800"/>
            <w:tcBorders>
              <w:top w:val="single" w:color="D5D8DC" w:sz="1"/>
              <w:left w:val="single" w:color="D5D8DC" w:sz="1"/>
              <w:bottom w:val="single" w:color="D5D8DC" w:sz="1"/>
              <w:right w:val="single" w:color="D5D8D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Referensi Regulasi</w:t>
            </w:r>
          </w:p>
        </w:tc>
        <w:tc>
          <w:tcPr>
            <w:tcW w:type="dxa" w:w="65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Arial" w:cs="Arial" w:eastAsia="Arial" w:hAnsi="Arial"/>
                <w:b w:val="false"/>
                <w:bCs w:val="false"/>
                <w:color w:val="2C3E50"/>
                <w:sz w:val="20"/>
                <w:szCs w:val="20"/>
              </w:rPr>
              <w:t xml:space="preserve">POJK No. 77/POJK.01/2016 — Fintech</w:t>
            </w:r>
          </w:p>
        </w:tc>
      </w:tr>
      <w:tr>
        <w:tc>
          <w:tcPr>
            <w:tcW w:type="dxa" w:w="2800"/>
            <w:tcBorders>
              <w:top w:val="single" w:color="D5D8DC" w:sz="1"/>
              <w:left w:val="single" w:color="D5D8DC" w:sz="1"/>
              <w:bottom w:val="single" w:color="D5D8DC" w:sz="1"/>
              <w:right w:val="single" w:color="D5D8D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Otoritas Terkait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Bank Indonesia (BI) &amp; Otoritas Jasa Keuangan (OJK)</w:t>
            </w:r>
          </w:p>
        </w:tc>
      </w:tr>
      <w:tr>
        <w:tc>
          <w:tcPr>
            <w:tcW w:type="dxa" w:w="2800"/>
            <w:tcBorders>
              <w:top w:val="single" w:color="D5D8DC" w:sz="1"/>
              <w:left w:val="single" w:color="D5D8DC" w:sz="1"/>
              <w:bottom w:val="single" w:color="D5D8DC" w:sz="1"/>
              <w:right w:val="single" w:color="D5D8D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Fokus Analisis</w:t>
            </w:r>
          </w:p>
        </w:tc>
        <w:tc>
          <w:tcPr>
            <w:tcW w:type="dxa" w:w="65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Arial" w:cs="Arial" w:eastAsia="Arial" w:hAnsi="Arial"/>
                <w:b w:val="false"/>
                <w:bCs w:val="false"/>
                <w:color w:val="2C3E50"/>
                <w:sz w:val="20"/>
                <w:szCs w:val="20"/>
              </w:rPr>
              <w:t xml:space="preserve">Struktur fee, model monetisasi, hak konsumen, mitigasi biaya</w:t>
            </w:r>
          </w:p>
        </w:tc>
      </w:tr>
      <w:tr>
        <w:tc>
          <w:tcPr>
            <w:tcW w:type="dxa" w:w="2800"/>
            <w:tcBorders>
              <w:top w:val="single" w:color="D5D8DC" w:sz="1"/>
              <w:left w:val="single" w:color="D5D8DC" w:sz="1"/>
              <w:bottom w:val="single" w:color="D5D8DC" w:sz="1"/>
              <w:right w:val="single" w:color="D5D8D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Jenis Dokumen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Laporan Analisis Bisnis &amp; Edukasi Keuangan Digital</w:t>
            </w:r>
          </w:p>
        </w:tc>
      </w:tr>
      <w:tr>
        <w:tc>
          <w:tcPr>
            <w:tcW w:type="dxa" w:w="2800"/>
            <w:tcBorders>
              <w:top w:val="single" w:color="D5D8DC" w:sz="1"/>
              <w:left w:val="single" w:color="D5D8DC" w:sz="1"/>
              <w:bottom w:val="single" w:color="D5D8DC" w:sz="1"/>
              <w:right w:val="single" w:color="D5D8D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Tahun</w:t>
            </w:r>
          </w:p>
        </w:tc>
        <w:tc>
          <w:tcPr>
            <w:tcW w:type="dxa" w:w="65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Arial" w:cs="Arial" w:eastAsia="Arial" w:hAnsi="Arial"/>
                <w:b w:val="false"/>
                <w:bCs w:val="false"/>
                <w:color w:val="2C3E50"/>
                <w:sz w:val="20"/>
                <w:szCs w:val="20"/>
              </w:rPr>
              <w:t xml:space="preserve">2024</w:t>
            </w:r>
          </w:p>
        </w:tc>
      </w:tr>
    </w:tbl>
    <w:p>
      <w:pPr>
        <w:spacing w:after="60" w:before="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EBF5FB" w:val="clear"/>
            <w:tcMar>
              <w:top w:type="dxa" w:w="120"/>
              <w:left w:type="dxa" w:w="180"/>
              <w:bottom w:type="dxa" w:w="120"/>
              <w:right w:type="dxa" w:w="180"/>
            </w:tcMar>
          </w:tcPr>
          <w:p>
            <w:r>
              <w:rPr>
                <w:rFonts w:ascii="Arial" w:cs="Arial" w:eastAsia="Arial" w:hAnsi="Arial"/>
                <w:color w:val="1A5276"/>
                <w:sz w:val="19"/>
                <w:szCs w:val="19"/>
              </w:rPr>
              <w:t xml:space="preserve">CATATAN EDITORIAL: Laporan ini disusun berdasarkan informasi yang tersedia secara publik, regulasi Bank Indonesia, dan analisis struktur industri. Seluruh kalkulasi yang disajikan bersifat estimasi ilustratif berdasarkan asumsi yang disebutkan secara eksplisit dan bukan merupakan data keuangan audited dari perusahaan-perusahaan yang disebutkan.</w:t>
            </w:r>
          </w:p>
        </w:tc>
      </w:tr>
    </w:tbl>
    <w:p>
      <w:r>
        <w:br w:type="page"/>
      </w:r>
    </w:p>
    <w:p>
      <w:pPr>
        <w:pStyle w:val="Heading1"/>
        <w:pBdr>
          <w:bottom w:val="single" w:color="0E6655" w:sz="6" w:space="4"/>
        </w:pBdr>
        <w:spacing w:after="140" w:before="480"/>
      </w:pPr>
      <w:r>
        <w:rPr>
          <w:rFonts w:ascii="Arial" w:cs="Arial" w:eastAsia="Arial" w:hAnsi="Arial"/>
          <w:b/>
          <w:bCs/>
          <w:color w:val="1B3A6B"/>
          <w:sz w:val="30"/>
          <w:szCs w:val="30"/>
        </w:rPr>
        <w:t xml:space="preserve">Daftar Isi</w:t>
      </w:r>
    </w:p>
    <w:p>
      <w:pPr>
        <w:spacing w:after="90" w:before="60"/>
      </w:pPr>
      <w:r>
        <w:rPr>
          <w:rFonts w:ascii="Arial" w:cs="Arial" w:eastAsia="Arial" w:hAnsi="Arial"/>
          <w:color w:val="1B3A6B"/>
          <w:sz w:val="20"/>
          <w:szCs w:val="20"/>
        </w:rPr>
        <w:t xml:space="preserve">1.  Pendahuluan &amp; Latar Belakang</w:t>
      </w:r>
    </w:p>
    <w:p>
      <w:pPr>
        <w:spacing w:after="90" w:before="60"/>
      </w:pPr>
      <w:r>
        <w:rPr>
          <w:rFonts w:ascii="Arial" w:cs="Arial" w:eastAsia="Arial" w:hAnsi="Arial"/>
          <w:color w:val="1B3A6B"/>
          <w:sz w:val="20"/>
          <w:szCs w:val="20"/>
        </w:rPr>
        <w:t xml:space="preserve">2.  Gambaran Industri E-Wallet Indonesia</w:t>
      </w:r>
    </w:p>
    <w:p>
      <w:pPr>
        <w:spacing w:after="90" w:before="60"/>
      </w:pPr>
      <w:r>
        <w:rPr>
          <w:rFonts w:ascii="Arial" w:cs="Arial" w:eastAsia="Arial" w:hAnsi="Arial"/>
          <w:color w:val="1B3A6B"/>
          <w:sz w:val="20"/>
          <w:szCs w:val="20"/>
        </w:rPr>
        <w:t xml:space="preserve">3.  Anatomi Struktur Biaya E-Wallet</w:t>
      </w:r>
    </w:p>
    <w:p>
      <w:pPr>
        <w:spacing w:after="90" w:before="60"/>
      </w:pPr>
      <w:r>
        <w:rPr>
          <w:rFonts w:ascii="Arial" w:cs="Arial" w:eastAsia="Arial" w:hAnsi="Arial"/>
          <w:color w:val="1B3A6B"/>
          <w:sz w:val="20"/>
          <w:szCs w:val="20"/>
        </w:rPr>
        <w:t xml:space="preserve">4.  Analisis Model Pendapatan (Revenue Model)</w:t>
      </w:r>
    </w:p>
    <w:p>
      <w:pPr>
        <w:spacing w:after="90" w:before="60"/>
      </w:pPr>
      <w:r>
        <w:rPr>
          <w:rFonts w:ascii="Arial" w:cs="Arial" w:eastAsia="Arial" w:hAnsi="Arial"/>
          <w:color w:val="1B3A6B"/>
          <w:sz w:val="20"/>
          <w:szCs w:val="20"/>
        </w:rPr>
        <w:t xml:space="preserve">5.  Kalkulasi Dampak Biaya pada Konsumen</w:t>
      </w:r>
    </w:p>
    <w:p>
      <w:pPr>
        <w:spacing w:after="90" w:before="60"/>
      </w:pPr>
      <w:r>
        <w:rPr>
          <w:rFonts w:ascii="Arial" w:cs="Arial" w:eastAsia="Arial" w:hAnsi="Arial"/>
          <w:color w:val="1B3A6B"/>
          <w:sz w:val="20"/>
          <w:szCs w:val="20"/>
        </w:rPr>
        <w:t xml:space="preserve">6.  Analisis QRIS dan Merchant Discount Rate (MDR)</w:t>
      </w:r>
    </w:p>
    <w:p>
      <w:pPr>
        <w:spacing w:after="90" w:before="60"/>
      </w:pPr>
      <w:r>
        <w:rPr>
          <w:rFonts w:ascii="Arial" w:cs="Arial" w:eastAsia="Arial" w:hAnsi="Arial"/>
          <w:color w:val="1B3A6B"/>
          <w:sz w:val="20"/>
          <w:szCs w:val="20"/>
        </w:rPr>
        <w:t xml:space="preserve">7.  Strategi Monetisasi: Dari Akuisisi Pengguna ke Komersialisasi</w:t>
      </w:r>
    </w:p>
    <w:p>
      <w:pPr>
        <w:spacing w:after="90" w:before="60"/>
      </w:pPr>
      <w:r>
        <w:rPr>
          <w:rFonts w:ascii="Arial" w:cs="Arial" w:eastAsia="Arial" w:hAnsi="Arial"/>
          <w:color w:val="1B3A6B"/>
          <w:sz w:val="20"/>
          <w:szCs w:val="20"/>
        </w:rPr>
        <w:t xml:space="preserve">8.  Perbandingan Biaya Antar Platform E-Wallet</w:t>
      </w:r>
    </w:p>
    <w:p>
      <w:pPr>
        <w:spacing w:after="90" w:before="60"/>
      </w:pPr>
      <w:r>
        <w:rPr>
          <w:rFonts w:ascii="Arial" w:cs="Arial" w:eastAsia="Arial" w:hAnsi="Arial"/>
          <w:color w:val="1B3A6B"/>
          <w:sz w:val="20"/>
          <w:szCs w:val="20"/>
        </w:rPr>
        <w:t xml:space="preserve">9.  Regulasi Bank Indonesia dan Hak Konsumen</w:t>
      </w:r>
    </w:p>
    <w:p>
      <w:pPr>
        <w:spacing w:after="90" w:before="60"/>
      </w:pPr>
      <w:r>
        <w:rPr>
          <w:rFonts w:ascii="Arial" w:cs="Arial" w:eastAsia="Arial" w:hAnsi="Arial"/>
          <w:color w:val="1B3A6B"/>
          <w:sz w:val="20"/>
          <w:szCs w:val="20"/>
        </w:rPr>
        <w:t xml:space="preserve">10. Peran OJK dalam Pengawasan Fintech</w:t>
      </w:r>
    </w:p>
    <w:p>
      <w:pPr>
        <w:spacing w:after="90" w:before="60"/>
      </w:pPr>
      <w:r>
        <w:rPr>
          <w:rFonts w:ascii="Arial" w:cs="Arial" w:eastAsia="Arial" w:hAnsi="Arial"/>
          <w:color w:val="1B3A6B"/>
          <w:sz w:val="20"/>
          <w:szCs w:val="20"/>
        </w:rPr>
        <w:t xml:space="preserve">11. Transparansi Biaya: Kewajiban dan Praktik di Lapangan</w:t>
      </w:r>
    </w:p>
    <w:p>
      <w:pPr>
        <w:spacing w:after="90" w:before="60"/>
      </w:pPr>
      <w:r>
        <w:rPr>
          <w:rFonts w:ascii="Arial" w:cs="Arial" w:eastAsia="Arial" w:hAnsi="Arial"/>
          <w:color w:val="1B3A6B"/>
          <w:sz w:val="20"/>
          <w:szCs w:val="20"/>
        </w:rPr>
        <w:t xml:space="preserve">12. Ekosistem Bisnis dan Interkoneksi E-Wallet</w:t>
      </w:r>
    </w:p>
    <w:p>
      <w:pPr>
        <w:spacing w:after="90" w:before="60"/>
      </w:pPr>
      <w:r>
        <w:rPr>
          <w:rFonts w:ascii="Arial" w:cs="Arial" w:eastAsia="Arial" w:hAnsi="Arial"/>
          <w:color w:val="1B3A6B"/>
          <w:sz w:val="20"/>
          <w:szCs w:val="20"/>
        </w:rPr>
        <w:t xml:space="preserve">13. Analisis Risiko Konsumen</w:t>
      </w:r>
    </w:p>
    <w:p>
      <w:pPr>
        <w:spacing w:after="90" w:before="60"/>
      </w:pPr>
      <w:r>
        <w:rPr>
          <w:rFonts w:ascii="Arial" w:cs="Arial" w:eastAsia="Arial" w:hAnsi="Arial"/>
          <w:color w:val="1B3A6B"/>
          <w:sz w:val="20"/>
          <w:szCs w:val="20"/>
        </w:rPr>
        <w:t xml:space="preserve">14. Strategi Mitigasi Biaya bagi Konsumen</w:t>
      </w:r>
    </w:p>
    <w:p>
      <w:pPr>
        <w:spacing w:after="90" w:before="60"/>
      </w:pPr>
      <w:r>
        <w:rPr>
          <w:rFonts w:ascii="Arial" w:cs="Arial" w:eastAsia="Arial" w:hAnsi="Arial"/>
          <w:color w:val="1B3A6B"/>
          <w:sz w:val="20"/>
          <w:szCs w:val="20"/>
        </w:rPr>
        <w:t xml:space="preserve">15. Rekomendasi Kebijakan</w:t>
      </w:r>
    </w:p>
    <w:p>
      <w:pPr>
        <w:spacing w:after="90" w:before="60"/>
      </w:pPr>
      <w:r>
        <w:rPr>
          <w:rFonts w:ascii="Arial" w:cs="Arial" w:eastAsia="Arial" w:hAnsi="Arial"/>
          <w:color w:val="1B3A6B"/>
          <w:sz w:val="20"/>
          <w:szCs w:val="20"/>
        </w:rPr>
        <w:t xml:space="preserve">16. Kesimpulan</w:t>
      </w:r>
    </w:p>
    <w:p>
      <w:pPr>
        <w:spacing w:after="90" w:before="60"/>
      </w:pPr>
      <w:r>
        <w:rPr>
          <w:rFonts w:ascii="Arial" w:cs="Arial" w:eastAsia="Arial" w:hAnsi="Arial"/>
          <w:color w:val="1B3A6B"/>
          <w:sz w:val="20"/>
          <w:szCs w:val="20"/>
        </w:rPr>
        <w:t xml:space="preserve">17. Referensi &amp; Dasar Hukum</w:t>
      </w:r>
    </w:p>
    <w:p>
      <w:r>
        <w:br w:type="page"/>
      </w:r>
    </w:p>
    <w:p>
      <w:pPr>
        <w:pStyle w:val="Heading1"/>
        <w:pBdr>
          <w:bottom w:val="single" w:color="0E6655" w:sz="6" w:space="4"/>
        </w:pBdr>
        <w:spacing w:after="140" w:before="480"/>
      </w:pPr>
      <w:r>
        <w:rPr>
          <w:rFonts w:ascii="Arial" w:cs="Arial" w:eastAsia="Arial" w:hAnsi="Arial"/>
          <w:b/>
          <w:bCs/>
          <w:color w:val="1B3A6B"/>
          <w:sz w:val="30"/>
          <w:szCs w:val="30"/>
        </w:rPr>
        <w:t xml:space="preserve">1. Pendahuluan &amp; Latar Belakang</w:t>
      </w:r>
    </w:p>
    <w:p>
      <w:pPr>
        <w:spacing w:after="90" w:before="60"/>
      </w:pPr>
      <w:r>
        <w:rPr>
          <w:rFonts w:ascii="Arial" w:cs="Arial" w:eastAsia="Arial" w:hAnsi="Arial"/>
          <w:color w:val="2C3E50"/>
          <w:sz w:val="20"/>
          <w:szCs w:val="20"/>
        </w:rPr>
        <w:t xml:space="preserve">Industri pembayaran digital Indonesia telah mengalami transformasi luar biasa dalam satu dekade terakhir. Didorong oleh penetrasi smartphone yang masif, program inklusi keuangan pemerintah, dan strategi promosi agresif platform e-wallet, jutaan masyarakat Indonesia beralih dari transaksi tunai ke transaksi digital. Per tahun 2023, nilai transaksi uang elektronik di Indonesia telah melampaui Rp 800 triliun secara tahunan, dengan pertumbuhan dua digit yang konsisten setiap tahunnya.</w:t>
      </w:r>
    </w:p>
    <w:p>
      <w:pPr>
        <w:spacing w:after="90" w:before="60"/>
      </w:pPr>
      <w:r>
        <w:rPr>
          <w:rFonts w:ascii="Arial" w:cs="Arial" w:eastAsia="Arial" w:hAnsi="Arial"/>
          <w:color w:val="2C3E50"/>
          <w:sz w:val="20"/>
          <w:szCs w:val="20"/>
        </w:rPr>
        <w:t xml:space="preserve">Di balik pertumbuhan spektakuler ini, terdapat ekosistem monetisasi yang kompleks dan — dalam banyak kasus — kurang dipahami oleh pengguna awam. Biaya-biaya kecil yang dikenakan pada setiap transaksi, ketika dijumlahkan dalam skala puluhan juta pengguna aktif, membentuk aliran pendapatan yang sangat signifikan bagi platform e-wallet. Laporan ini bertujuan untuk mengurai struktur biaya tersebut secara transparan, menganalisis model bisnis yang mendasarinya, dan memberikan panduan praktis bagi konsumen untuk mengoptimalkan penggunaan layanan pembayaran digital.</w:t>
      </w:r>
    </w:p>
    <w:p>
      <w:pPr>
        <w:spacing w:after="90" w:before="60"/>
      </w:pPr>
      <w:r>
        <w:rPr>
          <w:rFonts w:ascii="Arial" w:cs="Arial" w:eastAsia="Arial" w:hAnsi="Arial"/>
          <w:color w:val="2C3E50"/>
          <w:sz w:val="20"/>
          <w:szCs w:val="20"/>
        </w:rPr>
        <w:t xml:space="preserve">Analisis ini mencakup lima platform e-wallet terbesar di Indonesia berdasarkan pangsa pasar dan jumlah pengguna aktif: OVO, GoPay, ShopeePay, LinkAja, dan DANA. Setiap platform memiliki struktur biaya, ekosistem bisnis, dan strategi monetisasi yang berbeda-beda, namun semuanya beroperasi dalam kerangka regulasi yang sama — yakni Peraturan Bank Indonesia (PBI) dan pengawasan Otoritas Jasa Keuangan (OJK).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EBF5FB" w:val="clear"/>
            <w:tcMar>
              <w:top w:type="dxa" w:w="120"/>
              <w:left w:type="dxa" w:w="180"/>
              <w:bottom w:type="dxa" w:w="120"/>
              <w:right w:type="dxa" w:w="180"/>
            </w:tcMar>
          </w:tcPr>
          <w:p>
            <w:r>
              <w:rPr>
                <w:rFonts w:ascii="Arial" w:cs="Arial" w:eastAsia="Arial" w:hAnsi="Arial"/>
                <w:color w:val="1A5276"/>
                <w:sz w:val="19"/>
                <w:szCs w:val="19"/>
              </w:rPr>
              <w:t xml:space="preserve">TUJUAN LAPORAN: Memberikan pemahaman yang objektif, berbasis data, dan dapat ditindaklanjuti kepada konsumen mengenai biaya layanan e-wallet, hak-hak yang dilindungi regulasi, dan strategi penggunaan yang lebih efisien — bukan untuk mendorong penolakan terhadap sistem pembayaran digital, melainkan untuk mendorong penggunaan yang lebih cerdas dan sadar.</w:t>
            </w:r>
          </w:p>
        </w:tc>
      </w:tr>
    </w:tbl>
    <w:p>
      <w:pPr>
        <w:spacing w:after="60" w:before="0"/>
      </w:pPr>
      <w:r>
        <w:t xml:space="preserve"/>
      </w:r>
    </w:p>
    <w:p>
      <w:pPr>
        <w:pStyle w:val="Heading2"/>
        <w:spacing w:after="80" w:before="300"/>
      </w:pPr>
      <w:r>
        <w:rPr>
          <w:rFonts w:ascii="Arial" w:cs="Arial" w:eastAsia="Arial" w:hAnsi="Arial"/>
          <w:b/>
          <w:bCs/>
          <w:color w:val="1B3A6B"/>
          <w:sz w:val="24"/>
          <w:szCs w:val="24"/>
        </w:rPr>
        <w:t xml:space="preserve">1.1 Pertumbuhan E-Wallet Indonesia — Data Kunci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600"/>
        <w:gridCol w:w="1360"/>
      </w:tblGrid>
      <w:tr>
        <w:tc>
          <w:tcPr>
            <w:tcW w:type="dxa" w:w="34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120"/>
            </w:tcMar>
          </w:tcPr>
          <w:p>
            <w:r>
              <w:rPr>
                <w:rFonts w:ascii="Arial" w:cs="Arial" w:eastAsia="Arial" w:hAnsi="Arial"/>
                <w:b/>
                <w:bCs/>
                <w:color w:val="FFFFFF"/>
                <w:sz w:val="18"/>
                <w:szCs w:val="18"/>
              </w:rPr>
              <w:t xml:space="preserve">Indikator</w:t>
            </w:r>
          </w:p>
        </w:tc>
        <w:tc>
          <w:tcPr>
            <w:tcW w:type="dxa" w:w="15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120"/>
            </w:tcMar>
          </w:tcPr>
          <w:p>
            <w:r>
              <w:rPr>
                <w:rFonts w:ascii="Arial" w:cs="Arial" w:eastAsia="Arial" w:hAnsi="Arial"/>
                <w:b/>
                <w:bCs/>
                <w:color w:val="FFFFFF"/>
                <w:sz w:val="18"/>
                <w:szCs w:val="18"/>
              </w:rPr>
              <w:t xml:space="preserve">2019</w:t>
            </w:r>
          </w:p>
        </w:tc>
        <w:tc>
          <w:tcPr>
            <w:tcW w:type="dxa" w:w="15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120"/>
            </w:tcMar>
          </w:tcPr>
          <w:p>
            <w:r>
              <w:rPr>
                <w:rFonts w:ascii="Arial" w:cs="Arial" w:eastAsia="Arial" w:hAnsi="Arial"/>
                <w:b/>
                <w:bCs/>
                <w:color w:val="FFFFFF"/>
                <w:sz w:val="18"/>
                <w:szCs w:val="18"/>
              </w:rPr>
              <w:t xml:space="preserve">2021</w:t>
            </w:r>
          </w:p>
        </w:tc>
        <w:tc>
          <w:tcPr>
            <w:tcW w:type="dxa" w:w="16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120"/>
            </w:tcMar>
          </w:tcPr>
          <w:p>
            <w:r>
              <w:rPr>
                <w:rFonts w:ascii="Arial" w:cs="Arial" w:eastAsia="Arial" w:hAnsi="Arial"/>
                <w:b/>
                <w:bCs/>
                <w:color w:val="FFFFFF"/>
                <w:sz w:val="18"/>
                <w:szCs w:val="18"/>
              </w:rPr>
              <w:t xml:space="preserve">2023</w:t>
            </w:r>
          </w:p>
        </w:tc>
        <w:tc>
          <w:tcPr>
            <w:tcW w:type="dxa" w:w="136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120"/>
            </w:tcMar>
          </w:tcPr>
          <w:p>
            <w:r>
              <w:rPr>
                <w:rFonts w:ascii="Arial" w:cs="Arial" w:eastAsia="Arial" w:hAnsi="Arial"/>
                <w:b/>
                <w:bCs/>
                <w:color w:val="FFFFFF"/>
                <w:sz w:val="18"/>
                <w:szCs w:val="18"/>
              </w:rPr>
              <w:t xml:space="preserve">Tren</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Nilai Transaksi Uang Elektronik</w:t>
            </w:r>
          </w:p>
        </w:tc>
        <w:tc>
          <w:tcPr>
            <w:tcW w:type="dxa" w:w="1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145 T</w:t>
            </w:r>
          </w:p>
        </w:tc>
        <w:tc>
          <w:tcPr>
            <w:tcW w:type="dxa" w:w="1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305 T</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800+ T</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Naik ~5.5x dalam 4 tahun</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Jumlah Rekening Uang Elektronik</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~410 juta</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~540 juta</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~700+ juta</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Pertumbuhan konsisten</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Pengguna Smartphone (est.)</w:t>
            </w:r>
          </w:p>
        </w:tc>
        <w:tc>
          <w:tcPr>
            <w:tcW w:type="dxa" w:w="1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~192 juta</w:t>
            </w:r>
          </w:p>
        </w:tc>
        <w:tc>
          <w:tcPr>
            <w:tcW w:type="dxa" w:w="1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~214 juta</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~250+ juta</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Penetrasi ~90%</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Merchant QRIS Terdaftar</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N/A</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~12 juta</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~30+ juta</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Tumbuh masif</w:t>
            </w:r>
          </w:p>
        </w:tc>
      </w:tr>
      <w:tr>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Pangsa Transaksi Non-Tunai</w:t>
            </w:r>
          </w:p>
        </w:tc>
        <w:tc>
          <w:tcPr>
            <w:tcW w:type="dxa" w:w="1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~35%</w:t>
            </w:r>
          </w:p>
        </w:tc>
        <w:tc>
          <w:tcPr>
            <w:tcW w:type="dxa" w:w="1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~55%</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~68%</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Pergeseran ke digital</w:t>
            </w:r>
          </w:p>
        </w:tc>
      </w:tr>
    </w:tbl>
    <w:p>
      <w:pPr>
        <w:spacing w:after="90" w:before="60"/>
      </w:pPr>
      <w:r>
        <w:rPr>
          <w:rFonts w:ascii="Arial" w:cs="Arial" w:eastAsia="Arial" w:hAnsi="Arial"/>
          <w:i/>
          <w:iCs/>
          <w:color w:val="5D6D7E"/>
          <w:sz w:val="19"/>
          <w:szCs w:val="19"/>
        </w:rPr>
        <w:t xml:space="preserve">Sumber: Laporan Bank Indonesia, Statistik Sistem Pembayaran BI, estimasi industri. Angka bersifat ilustratif berdasarkan data publik yang tersedia.</w:t>
      </w:r>
    </w:p>
    <w:p>
      <w:pPr>
        <w:spacing w:after="60" w:before="0"/>
      </w:pPr>
      <w:r>
        <w:t xml:space="preserve"/>
      </w:r>
    </w:p>
    <w:p>
      <w:pPr>
        <w:pStyle w:val="Heading2"/>
        <w:spacing w:after="80" w:before="300"/>
      </w:pPr>
      <w:r>
        <w:rPr>
          <w:rFonts w:ascii="Arial" w:cs="Arial" w:eastAsia="Arial" w:hAnsi="Arial"/>
          <w:b/>
          <w:bCs/>
          <w:color w:val="1B3A6B"/>
          <w:sz w:val="24"/>
          <w:szCs w:val="24"/>
        </w:rPr>
        <w:t xml:space="preserve">1.2 Lima Platform E-Wallet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1960"/>
      </w:tblGrid>
      <w:tr>
        <w:tc>
          <w:tcPr>
            <w:tcW w:type="dxa" w:w="16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26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Induk Perusahaan</w:t>
            </w:r>
          </w:p>
        </w:tc>
        <w:tc>
          <w:tcPr>
            <w:tcW w:type="dxa" w:w="32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Ekosistem Utama</w:t>
            </w:r>
          </w:p>
        </w:tc>
        <w:tc>
          <w:tcPr>
            <w:tcW w:type="dxa" w:w="19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Lisensi BI</w:t>
            </w:r>
          </w:p>
        </w:tc>
      </w:tr>
      <w:tr>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GoPay</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Gojek / GoTo Group</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Transportasi, food delivery, marketplace</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Uang Elektronik (UE)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OVO</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Grab / Lippo Group</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Transportasi, Tokopedia (kolaborasi), ritel</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Uang Elektronik (UE)</w:t>
            </w:r>
          </w:p>
        </w:tc>
      </w:tr>
      <w:tr>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ShopeePay</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Sea Limited / Shopee</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E-commerce, hiburan digital</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Uang Elektronik (UE)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DANA</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Ant Group / Emtek</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Platform terbuka, berbagai merchant</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Uang Elektronik (UE)</w:t>
            </w:r>
          </w:p>
        </w:tc>
      </w:tr>
      <w:tr>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LinkAja</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BUMN Consortium</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Transportasi publik, layanan pemerintah</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Uang Elektronik (UE)</w:t>
            </w:r>
          </w:p>
        </w:tc>
      </w:tr>
    </w:tbl>
    <w:p>
      <w:pPr>
        <w:spacing w:after="90" w:before="60"/>
      </w:pPr>
      <w:r>
        <w:rPr>
          <w:rFonts w:ascii="Arial" w:cs="Arial" w:eastAsia="Arial" w:hAnsi="Arial"/>
          <w:i/>
          <w:iCs/>
          <w:color w:val="5D6D7E"/>
          <w:sz w:val="19"/>
          <w:szCs w:val="19"/>
        </w:rPr>
        <w:t xml:space="preserve">Semua platform memiliki lisensi resmi sebagai Penyelenggara Uang Elektronik dari Bank Indonesia.</w:t>
      </w:r>
    </w:p>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2. Gambaran Industri E-Wallet Indonesia</w:t>
      </w:r>
    </w:p>
    <w:p>
      <w:pPr>
        <w:pStyle w:val="Heading2"/>
        <w:spacing w:after="80" w:before="300"/>
      </w:pPr>
      <w:r>
        <w:rPr>
          <w:rFonts w:ascii="Arial" w:cs="Arial" w:eastAsia="Arial" w:hAnsi="Arial"/>
          <w:b/>
          <w:bCs/>
          <w:color w:val="1B3A6B"/>
          <w:sz w:val="24"/>
          <w:szCs w:val="24"/>
        </w:rPr>
        <w:t xml:space="preserve">2.1 Ekosistem Pembayaran Digital</w:t>
      </w:r>
    </w:p>
    <w:p>
      <w:pPr>
        <w:spacing w:after="90" w:before="60"/>
      </w:pPr>
      <w:r>
        <w:rPr>
          <w:rFonts w:ascii="Arial" w:cs="Arial" w:eastAsia="Arial" w:hAnsi="Arial"/>
          <w:color w:val="2C3E50"/>
          <w:sz w:val="20"/>
          <w:szCs w:val="20"/>
        </w:rPr>
        <w:t xml:space="preserve">Industri e-wallet Indonesia tidak berdiri sendiri — ia merupakan bagian dari ekosistem pembayaran digital yang lebih besar yang mencakup bank, penyelenggara switching (seperti GPN - Gerbang Pembayaran Nasional), jaringan QRIS, dan berbagai merchant. Setiap pemain dalam ekosistem ini memiliki peran spesifik dan model pendapatan yang saling berkaitan.</w:t>
      </w:r>
    </w:p>
    <w:p>
      <w:pPr>
        <w:spacing w:after="90" w:before="60"/>
      </w:pPr>
      <w:r>
        <w:rPr>
          <w:rFonts w:ascii="Arial" w:cs="Arial" w:eastAsia="Arial" w:hAnsi="Arial"/>
          <w:color w:val="2C3E50"/>
          <w:sz w:val="20"/>
          <w:szCs w:val="20"/>
        </w:rPr>
        <w:t xml:space="preserve">Dalam arsitektur sistem pembayaran Indonesia, Bank Indonesia berperan sebagai regulator dan penyelenggara sistem pembayaran tingkat sistem (seperti BI-FAST dan RTGS), sementara platform e-wallet beroperasi sebagai Penyelenggara Uang Elektronik (PUE) yang terhubung ke jaringan perbankan melalui mekanisme switching dan interkoneksi.</w:t>
      </w:r>
    </w:p>
    <w:p>
      <w:pPr>
        <w:spacing w:after="60" w:before="0"/>
      </w:pPr>
      <w:r>
        <w:t xml:space="preserve"/>
      </w:r>
    </w:p>
    <w:p>
      <w:pPr>
        <w:pStyle w:val="Heading2"/>
        <w:spacing w:after="80" w:before="300"/>
      </w:pPr>
      <w:r>
        <w:rPr>
          <w:rFonts w:ascii="Arial" w:cs="Arial" w:eastAsia="Arial" w:hAnsi="Arial"/>
          <w:b/>
          <w:bCs/>
          <w:color w:val="1B3A6B"/>
          <w:sz w:val="24"/>
          <w:szCs w:val="24"/>
        </w:rPr>
        <w:t xml:space="preserve">2.2 Posisi E-Wallet dalam Rantai Nilai Pembayaran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200"/>
        <w:gridCol w:w="1360"/>
      </w:tblGrid>
      <w:tr>
        <w:tc>
          <w:tcPr>
            <w:tcW w:type="dxa" w:w="20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Lapisan</w:t>
            </w:r>
          </w:p>
        </w:tc>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Pemain</w:t>
            </w:r>
          </w:p>
        </w:tc>
        <w:tc>
          <w:tcPr>
            <w:tcW w:type="dxa" w:w="32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Peran</w:t>
            </w:r>
          </w:p>
        </w:tc>
        <w:tc>
          <w:tcPr>
            <w:tcW w:type="dxa" w:w="13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Sumber Pendapatan</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Infrastruktur</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Bank Indonesia, GPN, Artajasa</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Switching, settlement, interkoneksi</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switching per transaksi</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Bank Penerbit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BCA, BRI, BNI, Mandiri, dll.</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Rekening sumber dana, transfer</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NIM, biaya layanan perbankan</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Platform E-Wallet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GoPay, OVO, ShopeePay, DANA, LinkAja</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Interface pengguna, transaksi digital</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admin, MDR, interest float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Merchant Aggregator</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Midtrans, Xendit, DOKU</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Payment gateway</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Processing fee dari merchant</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Merchant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Warung, resto, ritel, online store</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Penerima pembayaran</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Penjualan barang/jasa</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Konsumen Akhir</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Pengguna e-wallet</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Pengirim pembayaran</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Membayar biaya layanan</w:t>
            </w:r>
          </w:p>
        </w:tc>
      </w:tr>
    </w:tbl>
    <w:p>
      <w:pPr>
        <w:spacing w:after="60" w:before="0"/>
      </w:pPr>
      <w:r>
        <w:t xml:space="preserve"/>
      </w:r>
    </w:p>
    <w:p>
      <w:pPr>
        <w:pStyle w:val="Heading2"/>
        <w:spacing w:after="80" w:before="300"/>
      </w:pPr>
      <w:r>
        <w:rPr>
          <w:rFonts w:ascii="Arial" w:cs="Arial" w:eastAsia="Arial" w:hAnsi="Arial"/>
          <w:b/>
          <w:bCs/>
          <w:color w:val="1B3A6B"/>
          <w:sz w:val="24"/>
          <w:szCs w:val="24"/>
        </w:rPr>
        <w:t xml:space="preserve">2.3 Fase Perkembangan Industri E-Wallet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900"/>
        <w:gridCol w:w="2360"/>
      </w:tblGrid>
      <w:tr>
        <w:tc>
          <w:tcPr>
            <w:tcW w:type="dxa" w:w="16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1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Periode</w:t>
            </w:r>
          </w:p>
        </w:tc>
        <w:tc>
          <w:tcPr>
            <w:tcW w:type="dxa" w:w="39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Karakteristik</w:t>
            </w:r>
          </w:p>
        </w:tc>
        <w:tc>
          <w:tcPr>
            <w:tcW w:type="dxa" w:w="23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Implikasi Biaya</w:t>
            </w:r>
          </w:p>
        </w:tc>
      </w:tr>
      <w:tr>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Fase 1 — Akuisisi</w:t>
            </w:r>
          </w:p>
        </w:tc>
        <w:tc>
          <w:tcPr>
            <w:tcW w:type="dxa" w:w="1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2015-2018</w:t>
            </w:r>
          </w:p>
        </w:tc>
        <w:tc>
          <w:tcPr>
            <w:tcW w:type="dxa" w:w="3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 semua fitur, cashback besar, bakar duit masif</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Tidak ada biaya — subsidi penuh dari investor</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Fase 2 — Pertumbuhan</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2019-2021</w:t>
            </w:r>
          </w:p>
        </w:tc>
        <w:tc>
          <w:tcPr>
            <w:tcW w:type="dxa" w:w="3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Mulai selective charging, cashback mulai dikurangi</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Biaya mulai muncul secara bertahap</w:t>
            </w:r>
          </w:p>
        </w:tc>
      </w:tr>
      <w:tr>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Fase 3 — Monetisasi</w:t>
            </w:r>
          </w:p>
        </w:tc>
        <w:tc>
          <w:tcPr>
            <w:tcW w:type="dxa" w:w="1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2022-kini</w:t>
            </w:r>
          </w:p>
        </w:tc>
        <w:tc>
          <w:tcPr>
            <w:tcW w:type="dxa" w:w="3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Full fee structure, fokus profitabilitas</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penuh di hampir semua transaksi</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Fase 4 — Konsolidasi</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2024+</w:t>
            </w:r>
          </w:p>
        </w:tc>
        <w:tc>
          <w:tcPr>
            <w:tcW w:type="dxa" w:w="3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Merger, akuisisi, efisiensi biaya operasional</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Potensi kenaikan fee lebih lanjut</w:t>
            </w:r>
          </w:p>
        </w:tc>
      </w:tr>
    </w:tbl>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3. Anatomi Struktur Biaya E-Wallet</w:t>
      </w:r>
    </w:p>
    <w:p>
      <w:pPr>
        <w:spacing w:after="90" w:before="60"/>
      </w:pPr>
      <w:r>
        <w:rPr>
          <w:rFonts w:ascii="Arial" w:cs="Arial" w:eastAsia="Arial" w:hAnsi="Arial"/>
          <w:color w:val="2C3E50"/>
          <w:sz w:val="20"/>
          <w:szCs w:val="20"/>
        </w:rPr>
        <w:t xml:space="preserve">Struktur biaya e-wallet mencakup berbagai jenis pungutan yang dikenakan pada pengguna di berbagai titik transaksi. Pemahaman yang komprehensif terhadap setiap komponen biaya ini penting agar konsumen dapat mengelola pengeluaran mereka secara lebih efisien.</w:t>
      </w:r>
    </w:p>
    <w:p>
      <w:pPr>
        <w:pStyle w:val="Heading2"/>
        <w:spacing w:after="80" w:before="300"/>
      </w:pPr>
      <w:r>
        <w:rPr>
          <w:rFonts w:ascii="Arial" w:cs="Arial" w:eastAsia="Arial" w:hAnsi="Arial"/>
          <w:b/>
          <w:bCs/>
          <w:color w:val="1B3A6B"/>
          <w:sz w:val="24"/>
          <w:szCs w:val="24"/>
        </w:rPr>
        <w:t xml:space="preserve">3.1 Klasifikasi Biaya E-Wallet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c>
          <w:tcPr>
            <w:tcW w:type="dxa" w:w="30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Jenis Biaya</w:t>
            </w:r>
          </w:p>
        </w:tc>
        <w:tc>
          <w:tcPr>
            <w:tcW w:type="dxa" w:w="20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Kisaran (Rp)</w:t>
            </w:r>
          </w:p>
        </w:tc>
        <w:tc>
          <w:tcPr>
            <w:tcW w:type="dxa" w:w="2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Dipungut Saat</w:t>
            </w:r>
          </w:p>
        </w:tc>
        <w:tc>
          <w:tcPr>
            <w:tcW w:type="dxa" w:w="18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Pihak Penerima</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Top-Up / Isi Saldo (transfer bank)</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1.000 — 2.500</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Setiap top-up dari rekening bank</w:t>
            </w:r>
          </w:p>
        </w:tc>
        <w:tc>
          <w:tcPr>
            <w:tcW w:type="dxa" w:w="18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Platform e-wallet (sebagian besar) + bank</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Biaya Top-Up dari ATM</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2.500 — 5.000</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Setiap top-up via ATM</w:t>
            </w:r>
          </w:p>
        </w:tc>
        <w:tc>
          <w:tcPr>
            <w:tcW w:type="dxa" w:w="1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Bank penerbit ATM</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Transfer Antar E-Wallet (beda platform)</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1.000 — 2.500</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Setiap transfer lintas platform</w:t>
            </w:r>
          </w:p>
        </w:tc>
        <w:tc>
          <w:tcPr>
            <w:tcW w:type="dxa" w:w="18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Platform pengirim + biaya interkoneksi</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Biaya Transfer ke Rekening Bank</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2.000 — 2.500</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Setiap penarikan/transfer ke bank</w:t>
            </w:r>
          </w:p>
        </w:tc>
        <w:tc>
          <w:tcPr>
            <w:tcW w:type="dxa" w:w="1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Platform e-wallet + bank penerima</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Tarik Tunai (via ATM)</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2.500 — 7.500</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Setiap penarikan tunai</w:t>
            </w:r>
          </w:p>
        </w:tc>
        <w:tc>
          <w:tcPr>
            <w:tcW w:type="dxa" w:w="18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Platform e-wallet + bank pemilik ATM</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Biaya Pembayaran Tagihan (listrik, BPJS, dll.)</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1.000 — 3.000</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Per transaksi pembayaran tagihan</w:t>
            </w:r>
          </w:p>
        </w:tc>
        <w:tc>
          <w:tcPr>
            <w:tcW w:type="dxa" w:w="1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Platform e-wallet</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Admin Bulanan</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0 — 10.000</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Per bulan (platform tertentu)</w:t>
            </w:r>
          </w:p>
        </w:tc>
        <w:tc>
          <w:tcPr>
            <w:tcW w:type="dxa" w:w="18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Platform e-wallet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Merchant Discount Rate (MDR) — QRIS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0,3% — 0,7% per transaksi</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Setiap transaksi QRIS</w:t>
            </w:r>
          </w:p>
        </w:tc>
        <w:tc>
          <w:tcPr>
            <w:tcW w:type="dxa" w:w="1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Platform e-wallet + acquirer</w:t>
            </w:r>
          </w:p>
        </w:tc>
      </w:tr>
    </w:tbl>
    <w:p>
      <w:pPr>
        <w:spacing w:after="90" w:before="60"/>
      </w:pPr>
      <w:r>
        <w:rPr>
          <w:rFonts w:ascii="Arial" w:cs="Arial" w:eastAsia="Arial" w:hAnsi="Arial"/>
          <w:i/>
          <w:iCs/>
          <w:color w:val="5D6D7E"/>
          <w:sz w:val="19"/>
          <w:szCs w:val="19"/>
        </w:rPr>
        <w:t xml:space="preserve">Catatan: Kisaran biaya bervariasi per platform dan dapat berubah. Selalu verifikasi biaya terkini di aplikasi masing-masing platform.</w:t>
      </w:r>
    </w:p>
    <w:p>
      <w:pPr>
        <w:spacing w:after="60" w:before="0"/>
      </w:pPr>
      <w:r>
        <w:t xml:space="preserve"/>
      </w:r>
    </w:p>
    <w:p>
      <w:pPr>
        <w:pStyle w:val="Heading2"/>
        <w:spacing w:after="80" w:before="300"/>
      </w:pPr>
      <w:r>
        <w:rPr>
          <w:rFonts w:ascii="Arial" w:cs="Arial" w:eastAsia="Arial" w:hAnsi="Arial"/>
          <w:b/>
          <w:bCs/>
          <w:color w:val="1B3A6B"/>
          <w:sz w:val="24"/>
          <w:szCs w:val="24"/>
        </w:rPr>
        <w:t xml:space="preserve">3.2 Biaya Top-Up — Analisis Mendalam</w:t>
      </w:r>
    </w:p>
    <w:p>
      <w:pPr>
        <w:spacing w:after="90" w:before="60"/>
      </w:pPr>
      <w:r>
        <w:rPr>
          <w:rFonts w:ascii="Arial" w:cs="Arial" w:eastAsia="Arial" w:hAnsi="Arial"/>
          <w:color w:val="2C3E50"/>
          <w:sz w:val="20"/>
          <w:szCs w:val="20"/>
        </w:rPr>
        <w:t xml:space="preserve">Biaya top-up adalah komponen biaya yang paling sering ditemui pengguna e-wallet. Meskipun terlihat kecil (Rp 1.000-2.500 per transaksi), frekuensinya yang tinggi menjadikannya kontributor signifikan terhadap total biaya tahunan pengguna.</w:t>
      </w:r>
    </w:p>
    <w:p>
      <w:pPr>
        <w:pStyle w:val="ListParagraph"/>
        <w:numPr>
          <w:ilvl w:val="0"/>
          <w:numId w:val="2"/>
        </w:numPr>
        <w:spacing w:after="40" w:before="40"/>
      </w:pPr>
      <w:r>
        <w:rPr>
          <w:rFonts w:ascii="Arial" w:cs="Arial" w:eastAsia="Arial" w:hAnsi="Arial"/>
          <w:color w:val="2C3E50"/>
          <w:sz w:val="20"/>
          <w:szCs w:val="20"/>
        </w:rPr>
        <w:t xml:space="preserve">Mekanisme biaya top-up</w:t>
      </w:r>
      <w:r>
        <w:rPr>
          <w:rFonts w:ascii="Arial" w:cs="Arial" w:eastAsia="Arial" w:hAnsi="Arial"/>
          <w:color w:val="5D6D7E"/>
          <w:sz w:val="18"/>
          <w:szCs w:val="18"/>
        </w:rPr>
        <w:t xml:space="preserve"> — Saat pengguna melakukan top-up dari rekening bank ke e-wallet, terjadi transfer antar institusi yang melibatkan jaringan switching (misalnya ATM Bersama, Prima, atau BI-FAST). Platform e-wallet menetapkan biaya top-up yang dibagi antara mereka sendiri dan jaringan interkoneksi.</w:t>
      </w:r>
    </w:p>
    <w:p>
      <w:pPr>
        <w:pStyle w:val="ListParagraph"/>
        <w:numPr>
          <w:ilvl w:val="0"/>
          <w:numId w:val="2"/>
        </w:numPr>
        <w:spacing w:after="40" w:before="40"/>
      </w:pPr>
      <w:r>
        <w:rPr>
          <w:rFonts w:ascii="Arial" w:cs="Arial" w:eastAsia="Arial" w:hAnsi="Arial"/>
          <w:color w:val="2C3E50"/>
          <w:sz w:val="20"/>
          <w:szCs w:val="20"/>
        </w:rPr>
        <w:t xml:space="preserve">Bank partner vs non-partner</w:t>
      </w:r>
      <w:r>
        <w:rPr>
          <w:rFonts w:ascii="Arial" w:cs="Arial" w:eastAsia="Arial" w:hAnsi="Arial"/>
          <w:color w:val="5D6D7E"/>
          <w:sz w:val="18"/>
          <w:szCs w:val="18"/>
        </w:rPr>
        <w:t xml:space="preserve"> — Sebagian besar platform e-wallet memiliki 'bank partner' resmi — biasanya bank yang menjadi investor atau memiliki kerja sama eksklusif. Top-up dari bank partner seringkali gratis atau berbiaya lebih rendah dibandingkan bank non-partner.</w:t>
      </w:r>
    </w:p>
    <w:p>
      <w:pPr>
        <w:pStyle w:val="ListParagraph"/>
        <w:numPr>
          <w:ilvl w:val="0"/>
          <w:numId w:val="2"/>
        </w:numPr>
        <w:spacing w:after="40" w:before="40"/>
      </w:pPr>
      <w:r>
        <w:rPr>
          <w:rFonts w:ascii="Arial" w:cs="Arial" w:eastAsia="Arial" w:hAnsi="Arial"/>
          <w:color w:val="2C3E50"/>
          <w:sz w:val="20"/>
          <w:szCs w:val="20"/>
        </w:rPr>
        <w:t xml:space="preserve">Variasi berdasarkan metode</w:t>
      </w:r>
      <w:r>
        <w:rPr>
          <w:rFonts w:ascii="Arial" w:cs="Arial" w:eastAsia="Arial" w:hAnsi="Arial"/>
          <w:color w:val="5D6D7E"/>
          <w:sz w:val="18"/>
          <w:szCs w:val="18"/>
        </w:rPr>
        <w:t xml:space="preserve"> — Top-up via virtual account (VA) umumnya dikenakan biaya, sementara top-up via mobile banking bank partner bisa gratis. Top-up via minimarket (Indomaret, Alfamart) juga memiliki struktur biaya tersendiri.</w:t>
      </w:r>
    </w:p>
    <w:p>
      <w:pPr>
        <w:pStyle w:val="ListParagraph"/>
        <w:numPr>
          <w:ilvl w:val="0"/>
          <w:numId w:val="2"/>
        </w:numPr>
        <w:spacing w:after="40" w:before="40"/>
      </w:pPr>
      <w:r>
        <w:rPr>
          <w:rFonts w:ascii="Arial" w:cs="Arial" w:eastAsia="Arial" w:hAnsi="Arial"/>
          <w:color w:val="2C3E50"/>
          <w:sz w:val="20"/>
          <w:szCs w:val="20"/>
        </w:rPr>
        <w:t xml:space="preserve">Alokasi biaya</w:t>
      </w:r>
      <w:r>
        <w:rPr>
          <w:rFonts w:ascii="Arial" w:cs="Arial" w:eastAsia="Arial" w:hAnsi="Arial"/>
          <w:color w:val="5D6D7E"/>
          <w:sz w:val="18"/>
          <w:szCs w:val="18"/>
        </w:rPr>
        <w:t xml:space="preserve"> — Dari biaya top-up yang dibayarkan pengguna, sebagian besar masuk ke platform e-wallet, sementara porsi yang lebih kecil dibayarkan ke bank atau jaringan switching sebagai 'switching fee'.</w:t>
      </w:r>
    </w:p>
    <w:p>
      <w:pPr>
        <w:spacing w:after="60" w:before="0"/>
      </w:pPr>
      <w:r>
        <w:t xml:space="preserve"/>
      </w:r>
    </w:p>
    <w:p>
      <w:pPr>
        <w:pStyle w:val="Heading2"/>
        <w:spacing w:after="80" w:before="300"/>
      </w:pPr>
      <w:r>
        <w:rPr>
          <w:rFonts w:ascii="Arial" w:cs="Arial" w:eastAsia="Arial" w:hAnsi="Arial"/>
          <w:b/>
          <w:bCs/>
          <w:color w:val="1B3A6B"/>
          <w:sz w:val="24"/>
          <w:szCs w:val="24"/>
        </w:rPr>
        <w:t xml:space="preserve">3.3 Biaya Transfer dan Penarikan</w:t>
      </w:r>
    </w:p>
    <w:p>
      <w:pPr>
        <w:spacing w:after="90" w:before="60"/>
      </w:pPr>
      <w:r>
        <w:rPr>
          <w:rFonts w:ascii="Arial" w:cs="Arial" w:eastAsia="Arial" w:hAnsi="Arial"/>
          <w:color w:val="2C3E50"/>
          <w:sz w:val="20"/>
          <w:szCs w:val="20"/>
        </w:rPr>
        <w:t xml:space="preserve">Biaya transfer dan penarikan mencerminkan biaya riil dari perpindahan dana antar institusi keuangan, ditambah margin keuntungan platform. Regulasi BI-FAST yang diluncurkan Bank Indonesia sejak 2021 sebenarnya memungkinkan transfer antar bank dengan biaya sangat rendah (maksimal Rp 2.500 per transaksi dari sisi bank), namun platform e-wallet tidak otomatis meneruskan efisiensi ini ke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2160"/>
      </w:tblGrid>
      <w:tr>
        <w:tc>
          <w:tcPr>
            <w:tcW w:type="dxa" w:w="26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Tipe Transfer</w:t>
            </w:r>
          </w:p>
        </w:tc>
        <w:tc>
          <w:tcPr>
            <w:tcW w:type="dxa" w:w="1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Biaya Umum</w:t>
            </w:r>
          </w:p>
        </w:tc>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Infrastruktur Yang Digunakan</w:t>
            </w:r>
          </w:p>
        </w:tc>
        <w:tc>
          <w:tcPr>
            <w:tcW w:type="dxa" w:w="21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Catatan</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Antar pengguna satu platform</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Internal platform (tidak keluar sistem)</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Tidak ada biaya switching — full profit margin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Antar platform e-wallet berbeda</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1.000-2.500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Interkoneksi BI, jaringan nasional</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Biaya interkoneksi dibagi antar platform</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E-wallet ke rekening bank</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2.000-2.500</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BI-FAST atau SKN (Sistem Kliring Nasional)</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BI-FAST antar bank sangat rendah</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E-wallet ke rekening bank (real-time)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2.500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BI-FAST real-time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Layanan premium — biaya lebih tinggi</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Tarik tunai ATM</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2.500-7.500</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Jaringan ATM Bersama/Prima</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ATM + margin platform</w:t>
            </w:r>
          </w:p>
        </w:tc>
      </w:tr>
    </w:tbl>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4. Analisis Model Pendapatan (Revenue Model)</w:t>
      </w:r>
    </w:p>
    <w:p>
      <w:pPr>
        <w:spacing w:after="90" w:before="60"/>
      </w:pPr>
      <w:r>
        <w:rPr>
          <w:rFonts w:ascii="Arial" w:cs="Arial" w:eastAsia="Arial" w:hAnsi="Arial"/>
          <w:color w:val="2C3E50"/>
          <w:sz w:val="20"/>
          <w:szCs w:val="20"/>
        </w:rPr>
        <w:t xml:space="preserve">Platform e-wallet memiliki model pendapatan yang jauh lebih beragam dari sekadar biaya transaksi pengguna. Pemahaman terhadap seluruh aliran pendapatan ini memberikan gambaran yang lebih lengkap tentang mengapa platform e-wallet dapat menawarkan berbagai promo sekaligus tetap menguntungkan.</w:t>
      </w:r>
    </w:p>
    <w:p>
      <w:pPr>
        <w:pStyle w:val="Heading2"/>
        <w:spacing w:after="80" w:before="300"/>
      </w:pPr>
      <w:r>
        <w:rPr>
          <w:rFonts w:ascii="Arial" w:cs="Arial" w:eastAsia="Arial" w:hAnsi="Arial"/>
          <w:b/>
          <w:bCs/>
          <w:color w:val="1B3A6B"/>
          <w:sz w:val="24"/>
          <w:szCs w:val="24"/>
        </w:rPr>
        <w:t xml:space="preserve">4.1 Sumber Pendapatan Utama E-Wallet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000"/>
        <w:gridCol w:w="1560"/>
      </w:tblGrid>
      <w:tr>
        <w:tc>
          <w:tcPr>
            <w:tcW w:type="dxa" w:w="26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Sumber Pendapatan</w:t>
            </w:r>
          </w:p>
        </w:tc>
        <w:tc>
          <w:tcPr>
            <w:tcW w:type="dxa" w:w="32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c>
          <w:tcPr>
            <w:tcW w:type="dxa" w:w="20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Estimasi Kontribusi</w:t>
            </w:r>
          </w:p>
        </w:tc>
        <w:tc>
          <w:tcPr>
            <w:tcW w:type="dxa" w:w="15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Visibilitas ke Pengguna</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Transaksi Pengguna</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Top-up, transfer, tarik, tagihan</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Signifikan — volume tinggi</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Tinggi — terlihat langsung</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Merchant Discount Rate (MDR)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Fee dari merchant per transaksi QRIS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Sangat signifikan — skala besar</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Rendah — dibayar merchant</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Float Income / Interest Float</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Bunga dari saldo mengendap pengguna</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Moderat — tergantung total saldo</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Tidak terlihat pengguna</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Value Added Services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Paylater, asuransi mikro, investasi</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Tumbuh pesat</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Sebagian terlihat</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Iklan dan Promosi Berbayar</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Merchant membayar untuk visibility</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Signifikan di platform besar</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Sebagian terlihat</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Data Analytics / Monetisasi Data</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Jual insight perilaku konsumen (agregat)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Moderat — model bisnis berkembang</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Tidak terlihat pengguna</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Komisi Layanan (Marketplace)</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Komisi dari transaksi di ekosistem</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Signifikan di GoPay, OVO</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Tidak langsung terlihat</w:t>
            </w:r>
          </w:p>
        </w:tc>
      </w:tr>
    </w:tbl>
    <w:p>
      <w:pPr>
        <w:spacing w:after="60" w:before="0"/>
      </w:pPr>
      <w:r>
        <w:t xml:space="preserve"/>
      </w:r>
    </w:p>
    <w:p>
      <w:pPr>
        <w:pStyle w:val="Heading2"/>
        <w:spacing w:after="80" w:before="300"/>
      </w:pPr>
      <w:r>
        <w:rPr>
          <w:rFonts w:ascii="Arial" w:cs="Arial" w:eastAsia="Arial" w:hAnsi="Arial"/>
          <w:b/>
          <w:bCs/>
          <w:color w:val="1B3A6B"/>
          <w:sz w:val="24"/>
          <w:szCs w:val="24"/>
        </w:rPr>
        <w:t xml:space="preserve">4.2 Float Income — Sumber Pendapatan yang Sering Terlupakan</w:t>
      </w:r>
    </w:p>
    <w:p>
      <w:pPr>
        <w:spacing w:after="90" w:before="60"/>
      </w:pPr>
      <w:r>
        <w:rPr>
          <w:rFonts w:ascii="Arial" w:cs="Arial" w:eastAsia="Arial" w:hAnsi="Arial"/>
          <w:color w:val="2C3E50"/>
          <w:sz w:val="20"/>
          <w:szCs w:val="20"/>
        </w:rPr>
        <w:t xml:space="preserve">Salah satu sumber pendapatan terpenting — dan paling tidak disadari pengguna — adalah float income. Ketika jutaan pengguna menyimpan saldo di e-wallet mereka, platform mengakumulasi 'dana mengendap' (float) dalam jumlah sangat besar. Dana ini biasanya disimpan dalam instrumen keuangan berbunga rendah (seperti deposito atau SBN jangka pendek).</w:t>
      </w:r>
    </w:p>
    <w:p>
      <w:pPr>
        <w:pStyle w:val="ListParagraph"/>
        <w:numPr>
          <w:ilvl w:val="0"/>
          <w:numId w:val="2"/>
        </w:numPr>
        <w:spacing w:after="40" w:before="40"/>
      </w:pPr>
      <w:r>
        <w:rPr>
          <w:rFonts w:ascii="Arial" w:cs="Arial" w:eastAsia="Arial" w:hAnsi="Arial"/>
          <w:color w:val="2C3E50"/>
          <w:sz w:val="20"/>
          <w:szCs w:val="20"/>
        </w:rPr>
        <w:t xml:space="preserve">Ilustrasi matematis</w:t>
      </w:r>
      <w:r>
        <w:rPr>
          <w:rFonts w:ascii="Arial" w:cs="Arial" w:eastAsia="Arial" w:hAnsi="Arial"/>
          <w:color w:val="5D6D7E"/>
          <w:sz w:val="18"/>
          <w:szCs w:val="18"/>
        </w:rPr>
        <w:t xml:space="preserve"> — Jika 50 juta pengguna aktif rata-rata menyimpan saldo Rp 100.000 di e-wallet mereka, total float dana mencapai Rp 5 triliun. Pada bunga investasi konservatif 4% per tahun, platform memperoleh sekitar Rp 200 miliar per tahun dari float saja — tanpa mengenakan biaya apapun kepada pengguna.</w:t>
      </w:r>
    </w:p>
    <w:p>
      <w:pPr>
        <w:pStyle w:val="ListParagraph"/>
        <w:numPr>
          <w:ilvl w:val="0"/>
          <w:numId w:val="2"/>
        </w:numPr>
        <w:spacing w:after="40" w:before="40"/>
      </w:pPr>
      <w:r>
        <w:rPr>
          <w:rFonts w:ascii="Arial" w:cs="Arial" w:eastAsia="Arial" w:hAnsi="Arial"/>
          <w:color w:val="2C3E50"/>
          <w:sz w:val="20"/>
          <w:szCs w:val="20"/>
        </w:rPr>
        <w:t xml:space="preserve">Regulasi float</w:t>
      </w:r>
      <w:r>
        <w:rPr>
          <w:rFonts w:ascii="Arial" w:cs="Arial" w:eastAsia="Arial" w:hAnsi="Arial"/>
          <w:color w:val="5D6D7E"/>
          <w:sz w:val="18"/>
          <w:szCs w:val="18"/>
        </w:rPr>
        <w:t xml:space="preserve"> — Bank Indonesia mengatur bahwa dana float e-wallet harus disimpan dalam instrumen yang aman (deposito atau SBN) pada bank yang ditunjuk. Platform tidak diizinkan menggunakan dana float untuk kegiatan investasi berisiko.</w:t>
      </w:r>
    </w:p>
    <w:p>
      <w:pPr>
        <w:pStyle w:val="ListParagraph"/>
        <w:numPr>
          <w:ilvl w:val="0"/>
          <w:numId w:val="2"/>
        </w:numPr>
        <w:spacing w:after="40" w:before="40"/>
      </w:pPr>
      <w:r>
        <w:rPr>
          <w:rFonts w:ascii="Arial" w:cs="Arial" w:eastAsia="Arial" w:hAnsi="Arial"/>
          <w:color w:val="2C3E50"/>
          <w:sz w:val="20"/>
          <w:szCs w:val="20"/>
        </w:rPr>
        <w:t xml:space="preserve">Implikasi bagi pengguna</w:t>
      </w:r>
      <w:r>
        <w:rPr>
          <w:rFonts w:ascii="Arial" w:cs="Arial" w:eastAsia="Arial" w:hAnsi="Arial"/>
          <w:color w:val="5D6D7E"/>
          <w:sz w:val="18"/>
          <w:szCs w:val="18"/>
        </w:rPr>
        <w:t xml:space="preserve"> — Saldo yang 'diam' di e-wallet tidak menghasilkan bunga bagi pengguna (berbeda dengan tabungan bank), namun menghasilkan pendapatan bagi platform.</w:t>
      </w:r>
    </w:p>
    <w:p>
      <w:pPr>
        <w:spacing w:after="60" w:before="0"/>
      </w:pPr>
      <w:r>
        <w:t xml:space="preserve"/>
      </w:r>
    </w:p>
    <w:p>
      <w:pPr>
        <w:pStyle w:val="Heading2"/>
        <w:spacing w:after="80" w:before="300"/>
      </w:pPr>
      <w:r>
        <w:rPr>
          <w:rFonts w:ascii="Arial" w:cs="Arial" w:eastAsia="Arial" w:hAnsi="Arial"/>
          <w:b/>
          <w:bCs/>
          <w:color w:val="1B3A6B"/>
          <w:sz w:val="24"/>
          <w:szCs w:val="24"/>
        </w:rPr>
        <w:t xml:space="preserve">4.3 Paylater — Pilar Pendapatan Baru</w:t>
      </w:r>
    </w:p>
    <w:p>
      <w:pPr>
        <w:spacing w:after="90" w:before="60"/>
      </w:pPr>
      <w:r>
        <w:rPr>
          <w:rFonts w:ascii="Arial" w:cs="Arial" w:eastAsia="Arial" w:hAnsi="Arial"/>
          <w:color w:val="2C3E50"/>
          <w:sz w:val="20"/>
          <w:szCs w:val="20"/>
        </w:rPr>
        <w:t xml:space="preserve">Fitur Paylater (beli sekarang bayar nanti) telah menjadi salah satu sumber pendapatan dengan pertumbuhan tercepat untuk platform e-wallet. Dengan menawarkan kredit konsumtif digital yang mudah diakses, platform e-wallet memasuki ranah bisnis keuangan dengan margin yang jauh lebih tinggi dibandingkan bisnis payment murni.</w:t>
      </w:r>
    </w:p>
    <w:p>
      <w:pPr>
        <w:pStyle w:val="ListParagraph"/>
        <w:numPr>
          <w:ilvl w:val="0"/>
          <w:numId w:val="2"/>
        </w:numPr>
        <w:spacing w:after="40" w:before="40"/>
      </w:pPr>
      <w:r>
        <w:rPr>
          <w:rFonts w:ascii="Arial" w:cs="Arial" w:eastAsia="Arial" w:hAnsi="Arial"/>
          <w:color w:val="2C3E50"/>
          <w:sz w:val="20"/>
          <w:szCs w:val="20"/>
        </w:rPr>
        <w:t xml:space="preserve">Model bunga Paylater</w:t>
      </w:r>
      <w:r>
        <w:rPr>
          <w:rFonts w:ascii="Arial" w:cs="Arial" w:eastAsia="Arial" w:hAnsi="Arial"/>
          <w:color w:val="5D6D7E"/>
          <w:sz w:val="18"/>
          <w:szCs w:val="18"/>
        </w:rPr>
        <w:t xml:space="preserve"> — Umumnya berkisar antara 2,95% hingga 5% per bulan (setara dengan bunga efektif tahunan yang sangat tinggi dibanding kredit bank konvensional)</w:t>
      </w:r>
    </w:p>
    <w:p>
      <w:pPr>
        <w:pStyle w:val="ListParagraph"/>
        <w:numPr>
          <w:ilvl w:val="0"/>
          <w:numId w:val="2"/>
        </w:numPr>
        <w:spacing w:after="40" w:before="40"/>
      </w:pPr>
      <w:r>
        <w:rPr>
          <w:rFonts w:ascii="Arial" w:cs="Arial" w:eastAsia="Arial" w:hAnsi="Arial"/>
          <w:color w:val="2C3E50"/>
          <w:sz w:val="20"/>
          <w:szCs w:val="20"/>
        </w:rPr>
        <w:t xml:space="preserve">Target segmen</w:t>
      </w:r>
      <w:r>
        <w:rPr>
          <w:rFonts w:ascii="Arial" w:cs="Arial" w:eastAsia="Arial" w:hAnsi="Arial"/>
          <w:color w:val="5D6D7E"/>
          <w:sz w:val="18"/>
          <w:szCs w:val="18"/>
        </w:rPr>
        <w:t xml:space="preserve"> — Pengguna yang tidak memiliki akses ke kartu kredit perbankan tradisional — segmen yang sangat besar di Indonesia</w:t>
      </w:r>
    </w:p>
    <w:p>
      <w:pPr>
        <w:pStyle w:val="ListParagraph"/>
        <w:numPr>
          <w:ilvl w:val="0"/>
          <w:numId w:val="2"/>
        </w:numPr>
        <w:spacing w:after="40" w:before="40"/>
      </w:pPr>
      <w:r>
        <w:rPr>
          <w:rFonts w:ascii="Arial" w:cs="Arial" w:eastAsia="Arial" w:hAnsi="Arial"/>
          <w:color w:val="2C3E50"/>
          <w:sz w:val="20"/>
          <w:szCs w:val="20"/>
        </w:rPr>
        <w:t xml:space="preserve">Regulasi</w:t>
      </w:r>
      <w:r>
        <w:rPr>
          <w:rFonts w:ascii="Arial" w:cs="Arial" w:eastAsia="Arial" w:hAnsi="Arial"/>
          <w:color w:val="5D6D7E"/>
          <w:sz w:val="18"/>
          <w:szCs w:val="18"/>
        </w:rPr>
        <w:t xml:space="preserve"> — Masuk dalam kategori Layanan Pinjam Meminjam Uang Berbasis Teknologi (LPMUBTI) yang diawasi OJK, sehingga harus memenuhi ketentuan POJK yang berlaku</w:t>
      </w:r>
    </w:p>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5. Kalkulasi Dampak Biaya pada Konsumen</w:t>
      </w:r>
    </w:p>
    <w:p>
      <w:pPr>
        <w:spacing w:after="90" w:before="60"/>
      </w:pPr>
      <w:r>
        <w:rPr>
          <w:rFonts w:ascii="Arial" w:cs="Arial" w:eastAsia="Arial" w:hAnsi="Arial"/>
          <w:color w:val="2C3E50"/>
          <w:sz w:val="20"/>
          <w:szCs w:val="20"/>
        </w:rPr>
        <w:t xml:space="preserve">Untuk memberikan gambaran nyata tentang dampak finansial biaya e-wallet, laporan ini menyajikan kalkulasi ilustratif berdasarkan pola penggunaan umum konsumen Indonesia. Perlu ditekankan bahwa angka-angka berikut bersifat estimasi berdasarkan asumsi yang disebutkan secara transparan.</w:t>
      </w:r>
    </w:p>
    <w:p>
      <w:pPr>
        <w:pStyle w:val="Heading2"/>
        <w:spacing w:after="80" w:before="300"/>
      </w:pPr>
      <w:r>
        <w:rPr>
          <w:rFonts w:ascii="Arial" w:cs="Arial" w:eastAsia="Arial" w:hAnsi="Arial"/>
          <w:b/>
          <w:bCs/>
          <w:color w:val="1B3A6B"/>
          <w:sz w:val="24"/>
          <w:szCs w:val="24"/>
        </w:rPr>
        <w:t xml:space="preserve">5.1 Skenario Pengguna Aktif — Asumsi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2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Nilai</w:t>
            </w:r>
          </w:p>
        </w:tc>
        <w:tc>
          <w:tcPr>
            <w:tcW w:type="dxa" w:w="36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Dasar Asumsi</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Frekuensi top-up</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3x per minggu</w:t>
            </w:r>
          </w:p>
        </w:tc>
        <w:tc>
          <w:tcPr>
            <w:tcW w:type="dxa" w:w="36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Estimasi pengguna aktif urban</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Biaya top-up per transaksi</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1.500</w:t>
            </w:r>
          </w:p>
        </w:tc>
        <w:tc>
          <w:tcPr>
            <w:tcW w:type="dxa" w:w="3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Rata-rata biaya antar platform</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Transfer ke bank per bulan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2x per bulan</w:t>
            </w:r>
          </w:p>
        </w:tc>
        <w:tc>
          <w:tcPr>
            <w:tcW w:type="dxa" w:w="36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Penarikan periodik</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Biaya transfer ke bank</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2.500</w:t>
            </w:r>
          </w:p>
        </w:tc>
        <w:tc>
          <w:tcPr>
            <w:tcW w:type="dxa" w:w="3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Rata-rata biaya platform</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Pembayaran tagihan per bulan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4x per bulan</w:t>
            </w:r>
          </w:p>
        </w:tc>
        <w:tc>
          <w:tcPr>
            <w:tcW w:type="dxa" w:w="36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Listrik, air, BPJS, internet</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Biaya pembayaran tagihan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1.500</w:t>
            </w:r>
          </w:p>
        </w:tc>
        <w:tc>
          <w:tcPr>
            <w:tcW w:type="dxa" w:w="3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Rata-rata biaya admin</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Transfer antar platform per bulan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2x per bulan</w:t>
            </w:r>
          </w:p>
        </w:tc>
        <w:tc>
          <w:tcPr>
            <w:tcW w:type="dxa" w:w="36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Pengiriman ke teman/keluarga</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Biaya transfer antar platform</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2.000</w:t>
            </w:r>
          </w:p>
        </w:tc>
        <w:tc>
          <w:tcPr>
            <w:tcW w:type="dxa" w:w="3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Rata-rata biaya</w:t>
            </w:r>
          </w:p>
        </w:tc>
      </w:tr>
    </w:tbl>
    <w:p>
      <w:pPr>
        <w:spacing w:after="60" w:before="0"/>
      </w:pPr>
      <w:r>
        <w:t xml:space="preserve"/>
      </w:r>
    </w:p>
    <w:p>
      <w:pPr>
        <w:pStyle w:val="Heading2"/>
        <w:spacing w:after="80" w:before="300"/>
      </w:pPr>
      <w:r>
        <w:rPr>
          <w:rFonts w:ascii="Arial" w:cs="Arial" w:eastAsia="Arial" w:hAnsi="Arial"/>
          <w:b/>
          <w:bCs/>
          <w:color w:val="1B3A6B"/>
          <w:sz w:val="24"/>
          <w:szCs w:val="24"/>
        </w:rPr>
        <w:t xml:space="preserve">5.2 Total Biaya Tahunan — Proyeksi Berdasarkan Asumsi di Atas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200"/>
        <w:gridCol w:w="1760"/>
      </w:tblGrid>
      <w:tr>
        <w:tc>
          <w:tcPr>
            <w:tcW w:type="dxa" w:w="30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120"/>
            </w:tcMar>
          </w:tcPr>
          <w:p>
            <w:r>
              <w:rPr>
                <w:rFonts w:ascii="Arial" w:cs="Arial" w:eastAsia="Arial" w:hAnsi="Arial"/>
                <w:b/>
                <w:bCs/>
                <w:color w:val="FFFFFF"/>
                <w:sz w:val="18"/>
                <w:szCs w:val="18"/>
              </w:rPr>
              <w:t xml:space="preserve">Komponen Biaya</w:t>
            </w:r>
          </w:p>
        </w:tc>
        <w:tc>
          <w:tcPr>
            <w:tcW w:type="dxa" w:w="24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120"/>
            </w:tcMar>
          </w:tcPr>
          <w:p>
            <w:r>
              <w:rPr>
                <w:rFonts w:ascii="Arial" w:cs="Arial" w:eastAsia="Arial" w:hAnsi="Arial"/>
                <w:b/>
                <w:bCs/>
                <w:color w:val="FFFFFF"/>
                <w:sz w:val="18"/>
                <w:szCs w:val="18"/>
              </w:rPr>
              <w:t xml:space="preserve">Frekuensi / Tahun</w:t>
            </w:r>
          </w:p>
        </w:tc>
        <w:tc>
          <w:tcPr>
            <w:tcW w:type="dxa" w:w="22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120"/>
            </w:tcMar>
          </w:tcPr>
          <w:p>
            <w:r>
              <w:rPr>
                <w:rFonts w:ascii="Arial" w:cs="Arial" w:eastAsia="Arial" w:hAnsi="Arial"/>
                <w:b/>
                <w:bCs/>
                <w:color w:val="FFFFFF"/>
                <w:sz w:val="18"/>
                <w:szCs w:val="18"/>
              </w:rPr>
              <w:t xml:space="preserve">Biaya Per Transaksi</w:t>
            </w:r>
          </w:p>
        </w:tc>
        <w:tc>
          <w:tcPr>
            <w:tcW w:type="dxa" w:w="176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120"/>
            </w:tcMar>
          </w:tcPr>
          <w:p>
            <w:r>
              <w:rPr>
                <w:rFonts w:ascii="Arial" w:cs="Arial" w:eastAsia="Arial" w:hAnsi="Arial"/>
                <w:b/>
                <w:bCs/>
                <w:color w:val="FFFFFF"/>
                <w:sz w:val="18"/>
                <w:szCs w:val="18"/>
              </w:rPr>
              <w:t xml:space="preserve">Total / Tahun</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Top-up e-wallet</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156 kali (3x/mgg × 52 mgg)</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1.500</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234.000</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Transfer ke rekening bank</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24 kali (2x/bln × 12 bln)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2.500</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60.000</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Pembayaran tagihan</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48 kali (4x/bln × 12 bln)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1.500</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72.000</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Transfer antar platform</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24 kali (2x/bln × 12 bln)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2.000</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48.000</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TOTAL ESTIMASI</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252 transaksi / tahun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Rata-rata Rp 1.642</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414.000 / tahun</w:t>
            </w:r>
          </w:p>
        </w:tc>
      </w:tr>
    </w:tbl>
    <w:p>
      <w:pPr>
        <w:spacing w:after="90" w:before="60"/>
      </w:pPr>
      <w:r>
        <w:rPr>
          <w:rFonts w:ascii="Arial" w:cs="Arial" w:eastAsia="Arial" w:hAnsi="Arial"/>
          <w:i/>
          <w:iCs/>
          <w:color w:val="5D6D7E"/>
          <w:sz w:val="19"/>
          <w:szCs w:val="19"/>
        </w:rPr>
        <w:t xml:space="preserve">Catatan penting: Angka di atas adalah proyeksi ilustratif. Biaya aktual sangat bergantung pada platform yang digunakan, bank partner, dan frekuensi transaksi individu. Beberapa biaya mungkin Rp 0 jika menggunakan bank partner yang tepat.</w:t>
      </w:r>
    </w:p>
    <w:p>
      <w:pPr>
        <w:spacing w:after="60" w:before="0"/>
      </w:pPr>
      <w:r>
        <w:t xml:space="preserve"/>
      </w:r>
    </w:p>
    <w:p>
      <w:pPr>
        <w:pStyle w:val="Heading2"/>
        <w:spacing w:after="80" w:before="300"/>
      </w:pPr>
      <w:r>
        <w:rPr>
          <w:rFonts w:ascii="Arial" w:cs="Arial" w:eastAsia="Arial" w:hAnsi="Arial"/>
          <w:b/>
          <w:bCs/>
          <w:color w:val="1B3A6B"/>
          <w:sz w:val="24"/>
          <w:szCs w:val="24"/>
        </w:rPr>
        <w:t xml:space="preserve">5.3 Proyeksi Dampak Agregat pada Level Industri</w:t>
      </w:r>
    </w:p>
    <w:p>
      <w:pPr>
        <w:spacing w:after="90" w:before="60"/>
      </w:pPr>
      <w:r>
        <w:rPr>
          <w:rFonts w:ascii="Arial" w:cs="Arial" w:eastAsia="Arial" w:hAnsi="Arial"/>
          <w:color w:val="2C3E50"/>
          <w:sz w:val="20"/>
          <w:szCs w:val="20"/>
        </w:rPr>
        <w:t xml:space="preserve">Berikut adalah ilustrasi matematis dampak biaya pada skala nasional. Angka-angka ini bersifat estimasi dan dimaksudkan untuk memberikan gambaran ordo besaran, bukan sebagai data keuangan yang presisi: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Skenario Agregat</w:t>
            </w:r>
          </w:p>
        </w:tc>
        <w:tc>
          <w:tcPr>
            <w:tcW w:type="dxa" w:w="40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Asumsi</w:t>
            </w:r>
          </w:p>
        </w:tc>
        <w:tc>
          <w:tcPr>
            <w:tcW w:type="dxa" w:w="25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Estimasi</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top-up mingguan seluruh pengguna aktif</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50 juta pengguna × 3 top-up/mgg × Rp 1.500</w:t>
            </w:r>
          </w:p>
        </w:tc>
        <w:tc>
          <w:tcPr>
            <w:tcW w:type="dxa" w:w="2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225 miliar / minggu (estimasi)</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Biaya top-up tahunan seluruh industri</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225 miliar × 52 minggu</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11,7 triliun / tahun (estimasi)</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Total pendapatan e-wallet (semua sumber)</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Termasuk MDR, float, Paylater, VAS</w:t>
            </w:r>
          </w:p>
        </w:tc>
        <w:tc>
          <w:tcPr>
            <w:tcW w:type="dxa" w:w="2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Puluhan triliun per tahun (estimasi)</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MDR QRIS — estimasi</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30 juta merchant × 100 tx/hari × Rp 50.000 × 0,5%</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Ratusan miliar per hari (estimasi kasar)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8"/>
              <w:left w:val="single" w:color="CA6F1E" w:sz="8"/>
              <w:bottom w:val="single" w:color="CA6F1E" w:sz="8"/>
              <w:right w:val="single" w:color="CA6F1E" w:sz="8"/>
            </w:tcBorders>
            <w:shd w:fill="FEF9E7" w:val="clear"/>
            <w:tcMar>
              <w:top w:type="dxa" w:w="120"/>
              <w:left w:type="dxa" w:w="180"/>
              <w:bottom w:type="dxa" w:w="120"/>
              <w:right w:type="dxa" w:w="180"/>
            </w:tcMar>
          </w:tcPr>
          <w:p>
            <w:r>
              <w:rPr>
                <w:rFonts w:ascii="Arial" w:cs="Arial" w:eastAsia="Arial" w:hAnsi="Arial"/>
                <w:color w:val="CA6F1E"/>
                <w:sz w:val="19"/>
                <w:szCs w:val="19"/>
              </w:rPr>
              <w:t xml:space="preserve">KONTEKS PENTING: Angka agregat di atas adalah estimasi ilustratif yang digunakan untuk menggambarkan skala bisnis, bukan data resmi perusahaan. Laporan keuangan aktual platform e-wallet tidak sepenuhnya dipublikasikan secara rinci. Investor dan analis industri menggunakan metode estimasi serupa untuk menilai potensi pasar.</w:t>
            </w:r>
          </w:p>
        </w:tc>
      </w:tr>
    </w:tbl>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6. Analisis QRIS dan Merchant Discount Rate (MDR)</w:t>
      </w:r>
    </w:p>
    <w:p>
      <w:pPr>
        <w:pStyle w:val="Heading2"/>
        <w:spacing w:after="80" w:before="300"/>
      </w:pPr>
      <w:r>
        <w:rPr>
          <w:rFonts w:ascii="Arial" w:cs="Arial" w:eastAsia="Arial" w:hAnsi="Arial"/>
          <w:b/>
          <w:bCs/>
          <w:color w:val="1B3A6B"/>
          <w:sz w:val="24"/>
          <w:szCs w:val="24"/>
        </w:rPr>
        <w:t xml:space="preserve">6.1 Sistem QRIS — Gambaran Umum</w:t>
      </w:r>
    </w:p>
    <w:p>
      <w:pPr>
        <w:spacing w:after="90" w:before="60"/>
      </w:pPr>
      <w:r>
        <w:rPr>
          <w:rFonts w:ascii="Arial" w:cs="Arial" w:eastAsia="Arial" w:hAnsi="Arial"/>
          <w:color w:val="2C3E50"/>
          <w:sz w:val="20"/>
          <w:szCs w:val="20"/>
        </w:rPr>
        <w:t xml:space="preserve">QRIS (Quick Response Code Indonesian Standard) adalah standar kode QR nasional yang ditetapkan Bank Indonesia dan berlaku sejak 1 Januari 2020. QRIS memungkinkan satu kode QR dapat digunakan untuk pembayaran dari berbagai platform e-wallet dan mobile banking, menyederhanakan ekosistem pembayaran digital Indonesia secara signifikan.</w:t>
      </w:r>
    </w:p>
    <w:p>
      <w:pPr>
        <w:pStyle w:val="ListParagraph"/>
        <w:numPr>
          <w:ilvl w:val="0"/>
          <w:numId w:val="2"/>
        </w:numPr>
        <w:spacing w:after="40" w:before="40"/>
      </w:pPr>
      <w:r>
        <w:rPr>
          <w:rFonts w:ascii="Arial" w:cs="Arial" w:eastAsia="Arial" w:hAnsi="Arial"/>
          <w:color w:val="2C3E50"/>
          <w:sz w:val="20"/>
          <w:szCs w:val="20"/>
        </w:rPr>
        <w:t xml:space="preserve">Tujuan QRIS</w:t>
      </w:r>
      <w:r>
        <w:rPr>
          <w:rFonts w:ascii="Arial" w:cs="Arial" w:eastAsia="Arial" w:hAnsi="Arial"/>
          <w:color w:val="5D6D7E"/>
          <w:sz w:val="18"/>
          <w:szCs w:val="18"/>
        </w:rPr>
        <w:t xml:space="preserve"> — Standarisasi, interoperabilitas, dan peningkatan inklusi keuangan digital</w:t>
      </w:r>
    </w:p>
    <w:p>
      <w:pPr>
        <w:pStyle w:val="ListParagraph"/>
        <w:numPr>
          <w:ilvl w:val="0"/>
          <w:numId w:val="2"/>
        </w:numPr>
        <w:spacing w:after="40" w:before="40"/>
      </w:pPr>
      <w:r>
        <w:rPr>
          <w:rFonts w:ascii="Arial" w:cs="Arial" w:eastAsia="Arial" w:hAnsi="Arial"/>
          <w:color w:val="2C3E50"/>
          <w:sz w:val="20"/>
          <w:szCs w:val="20"/>
        </w:rPr>
        <w:t xml:space="preserve">Cakupan</w:t>
      </w:r>
      <w:r>
        <w:rPr>
          <w:rFonts w:ascii="Arial" w:cs="Arial" w:eastAsia="Arial" w:hAnsi="Arial"/>
          <w:color w:val="5D6D7E"/>
          <w:sz w:val="18"/>
          <w:szCs w:val="18"/>
        </w:rPr>
        <w:t xml:space="preserve"> — Seluruh platform e-wallet berlisensi BI wajib mendukung QRIS</w:t>
      </w:r>
    </w:p>
    <w:p>
      <w:pPr>
        <w:pStyle w:val="ListParagraph"/>
        <w:numPr>
          <w:ilvl w:val="0"/>
          <w:numId w:val="2"/>
        </w:numPr>
        <w:spacing w:after="40" w:before="40"/>
      </w:pPr>
      <w:r>
        <w:rPr>
          <w:rFonts w:ascii="Arial" w:cs="Arial" w:eastAsia="Arial" w:hAnsi="Arial"/>
          <w:color w:val="2C3E50"/>
          <w:sz w:val="20"/>
          <w:szCs w:val="20"/>
        </w:rPr>
        <w:t xml:space="preserve">Manfaat konsumen</w:t>
      </w:r>
      <w:r>
        <w:rPr>
          <w:rFonts w:ascii="Arial" w:cs="Arial" w:eastAsia="Arial" w:hAnsi="Arial"/>
          <w:color w:val="5D6D7E"/>
          <w:sz w:val="18"/>
          <w:szCs w:val="18"/>
        </w:rPr>
        <w:t xml:space="preserve"> — Satu scan untuk semua — tidak perlu pilah pilih platform</w:t>
      </w:r>
    </w:p>
    <w:p>
      <w:pPr>
        <w:pStyle w:val="ListParagraph"/>
        <w:numPr>
          <w:ilvl w:val="0"/>
          <w:numId w:val="2"/>
        </w:numPr>
        <w:spacing w:after="40" w:before="40"/>
      </w:pPr>
      <w:r>
        <w:rPr>
          <w:rFonts w:ascii="Arial" w:cs="Arial" w:eastAsia="Arial" w:hAnsi="Arial"/>
          <w:color w:val="2C3E50"/>
          <w:sz w:val="20"/>
          <w:szCs w:val="20"/>
        </w:rPr>
        <w:t xml:space="preserve">Manfaat merchant</w:t>
      </w:r>
      <w:r>
        <w:rPr>
          <w:rFonts w:ascii="Arial" w:cs="Arial" w:eastAsia="Arial" w:hAnsi="Arial"/>
          <w:color w:val="5D6D7E"/>
          <w:sz w:val="18"/>
          <w:szCs w:val="18"/>
        </w:rPr>
        <w:t xml:space="preserve"> — Satu QR code untuk semua platform — tidak perlu multiple QR</w:t>
      </w:r>
    </w:p>
    <w:p>
      <w:pPr>
        <w:spacing w:after="60" w:before="0"/>
      </w:pPr>
      <w:r>
        <w:t xml:space="preserve"/>
      </w:r>
    </w:p>
    <w:p>
      <w:pPr>
        <w:pStyle w:val="Heading2"/>
        <w:spacing w:after="80" w:before="300"/>
      </w:pPr>
      <w:r>
        <w:rPr>
          <w:rFonts w:ascii="Arial" w:cs="Arial" w:eastAsia="Arial" w:hAnsi="Arial"/>
          <w:b/>
          <w:bCs/>
          <w:color w:val="1B3A6B"/>
          <w:sz w:val="24"/>
          <w:szCs w:val="24"/>
        </w:rPr>
        <w:t xml:space="preserve">6.2 Struktur Merchant Discount Rate (MDR)</w:t>
      </w:r>
    </w:p>
    <w:p>
      <w:pPr>
        <w:spacing w:after="90" w:before="60"/>
      </w:pPr>
      <w:r>
        <w:rPr>
          <w:rFonts w:ascii="Arial" w:cs="Arial" w:eastAsia="Arial" w:hAnsi="Arial"/>
          <w:color w:val="2C3E50"/>
          <w:sz w:val="20"/>
          <w:szCs w:val="20"/>
        </w:rPr>
        <w:t xml:space="preserve">MDR adalah biaya yang dikenakan kepada merchant (penjual) untuk setiap transaksi QRIS yang diterima. Biaya ini merupakan persentase dari nilai transaksi dan dibagi antara berbagai pihak dalam rantai pembayaran.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560"/>
      </w:tblGrid>
      <w:tr>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Kategori Merchant</w:t>
            </w:r>
          </w:p>
        </w:tc>
        <w:tc>
          <w:tcPr>
            <w:tcW w:type="dxa" w:w="12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MDR</w:t>
            </w:r>
          </w:p>
        </w:tc>
        <w:tc>
          <w:tcPr>
            <w:tcW w:type="dxa" w:w="1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Berlaku Sejak</w:t>
            </w:r>
          </w:p>
        </w:tc>
        <w:tc>
          <w:tcPr>
            <w:tcW w:type="dxa" w:w="35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Catatan</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Usaha Mikro</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0,3%</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1 Juli 2023</w:t>
            </w:r>
          </w:p>
        </w:tc>
        <w:tc>
          <w:tcPr>
            <w:tcW w:type="dxa" w:w="3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Turun dari 0,0% (sebelumnya gratis)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Usaha Kecil, Menengah, Besar</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0,7%</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Standar berlaku</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Sudah berlaku sejak QRIS diluncurkan</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Merchant Pendidikan</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0,6%</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Standar berlaku</w:t>
            </w:r>
          </w:p>
        </w:tc>
        <w:tc>
          <w:tcPr>
            <w:tcW w:type="dxa" w:w="3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Kategori khusus sektor pendidikan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Merchant SPBU</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0,4%</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Standar berlaku</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Kategori khusus bahan bakar</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Merchant Pemerintah</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0,0%</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Standar berlaku</w:t>
            </w:r>
          </w:p>
        </w:tc>
        <w:tc>
          <w:tcPr>
            <w:tcW w:type="dxa" w:w="3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Transaksi pemerintah bebas MDR</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Donasi / Sosial</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0,0%</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Standar berlaku</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Kegiatan sosial/nirlaba bebas MDR</w:t>
            </w:r>
          </w:p>
        </w:tc>
      </w:tr>
    </w:tbl>
    <w:p>
      <w:pPr>
        <w:spacing w:after="90" w:before="60"/>
      </w:pPr>
      <w:r>
        <w:rPr>
          <w:rFonts w:ascii="Arial" w:cs="Arial" w:eastAsia="Arial" w:hAnsi="Arial"/>
          <w:i/>
          <w:iCs/>
          <w:color w:val="5D6D7E"/>
          <w:sz w:val="19"/>
          <w:szCs w:val="19"/>
        </w:rPr>
        <w:t xml:space="preserve">Sumber: Ketentuan Bank Indonesia tentang QRIS.</w:t>
      </w:r>
    </w:p>
    <w:p>
      <w:pPr>
        <w:spacing w:after="60" w:before="0"/>
      </w:pPr>
      <w:r>
        <w:t xml:space="preserve"/>
      </w:r>
    </w:p>
    <w:p>
      <w:pPr>
        <w:pStyle w:val="Heading2"/>
        <w:spacing w:after="80" w:before="300"/>
      </w:pPr>
      <w:r>
        <w:rPr>
          <w:rFonts w:ascii="Arial" w:cs="Arial" w:eastAsia="Arial" w:hAnsi="Arial"/>
          <w:b/>
          <w:bCs/>
          <w:color w:val="1B3A6B"/>
          <w:sz w:val="24"/>
          <w:szCs w:val="24"/>
        </w:rPr>
        <w:t xml:space="preserve">6.3 Distribusi MDR dalam Ekosistem</w:t>
      </w:r>
    </w:p>
    <w:p>
      <w:pPr>
        <w:spacing w:after="90" w:before="60"/>
      </w:pPr>
      <w:r>
        <w:rPr>
          <w:rFonts w:ascii="Arial" w:cs="Arial" w:eastAsia="Arial" w:hAnsi="Arial"/>
          <w:color w:val="2C3E50"/>
          <w:sz w:val="20"/>
          <w:szCs w:val="20"/>
        </w:rPr>
        <w:t xml:space="preserve">MDR yang dibayarkan merchant tidak sepenuhnya masuk ke satu pihak — melainkan dibagi di antara berbagai pihak dalam ekosistem pembayaran: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Pihak Penerima MDR</w:t>
            </w:r>
          </w:p>
        </w:tc>
        <w:tc>
          <w:tcPr>
            <w:tcW w:type="dxa" w:w="24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Porsi Estimasi</w:t>
            </w:r>
          </w:p>
        </w:tc>
        <w:tc>
          <w:tcPr>
            <w:tcW w:type="dxa" w:w="39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Peran</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Acquirer (platform penerima/merchant)</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40-60% dari MDR</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Memproses transaksi di sisi merchant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Issuer (platform pengirim/konsumen)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30-50% dari MDR</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Menerbitkan e-wallet pengirim</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Switching / Jaringan (GPN, dll.)</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5-10% dari MDR</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Infrastruktur interkoneksi</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BI / Regulator</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 langsung</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Menerima manfaat tidak langsung via regulasi</w:t>
            </w:r>
          </w:p>
        </w:tc>
      </w:tr>
    </w:tbl>
    <w:p>
      <w:pPr>
        <w:spacing w:after="90" w:before="60"/>
      </w:pPr>
      <w:r>
        <w:rPr>
          <w:rFonts w:ascii="Arial" w:cs="Arial" w:eastAsia="Arial" w:hAnsi="Arial"/>
          <w:i/>
          <w:iCs/>
          <w:color w:val="5D6D7E"/>
          <w:sz w:val="19"/>
          <w:szCs w:val="19"/>
        </w:rPr>
        <w:t xml:space="preserve">Catatan: Distribusi MDR bersifat estimasi dan dapat bervariasi berdasarkan perjanjian bilateral antar platform.</w:t>
      </w:r>
    </w:p>
    <w:p>
      <w:pPr>
        <w:spacing w:after="60" w:before="0"/>
      </w:pPr>
      <w:r>
        <w:t xml:space="preserve"/>
      </w:r>
    </w:p>
    <w:p>
      <w:pPr>
        <w:pStyle w:val="Heading2"/>
        <w:spacing w:after="80" w:before="300"/>
      </w:pPr>
      <w:r>
        <w:rPr>
          <w:rFonts w:ascii="Arial" w:cs="Arial" w:eastAsia="Arial" w:hAnsi="Arial"/>
          <w:b/>
          <w:bCs/>
          <w:color w:val="1B3A6B"/>
          <w:sz w:val="24"/>
          <w:szCs w:val="24"/>
        </w:rPr>
        <w:t xml:space="preserve">6.4 Dampak MDR pada Merchant dan Harga Konsumen</w:t>
      </w:r>
    </w:p>
    <w:p>
      <w:pPr>
        <w:spacing w:after="90" w:before="60"/>
      </w:pPr>
      <w:r>
        <w:rPr>
          <w:rFonts w:ascii="Arial" w:cs="Arial" w:eastAsia="Arial" w:hAnsi="Arial"/>
          <w:color w:val="2C3E50"/>
          <w:sz w:val="20"/>
          <w:szCs w:val="20"/>
        </w:rPr>
        <w:t xml:space="preserve">Pembebanan MDR pada merchant menimbulkan pertanyaan tentang siapa yang sebenarnya menanggung biaya tersebut. Dari perspektif ekonomi, ada dua kemungkinan respons merchant: menyerap MDR sebagai biaya operasional, atau mentransfernya ke konsumen melalui penyesuaian harga.</w:t>
      </w:r>
    </w:p>
    <w:p>
      <w:pPr>
        <w:pStyle w:val="ListParagraph"/>
        <w:numPr>
          <w:ilvl w:val="0"/>
          <w:numId w:val="2"/>
        </w:numPr>
        <w:spacing w:after="40" w:before="40"/>
      </w:pPr>
      <w:r>
        <w:rPr>
          <w:rFonts w:ascii="Arial" w:cs="Arial" w:eastAsia="Arial" w:hAnsi="Arial"/>
          <w:color w:val="2C3E50"/>
          <w:sz w:val="20"/>
          <w:szCs w:val="20"/>
        </w:rPr>
        <w:t xml:space="preserve">Merchant besar (supermarket, ritel modern)</w:t>
      </w:r>
      <w:r>
        <w:rPr>
          <w:rFonts w:ascii="Arial" w:cs="Arial" w:eastAsia="Arial" w:hAnsi="Arial"/>
          <w:color w:val="5D6D7E"/>
          <w:sz w:val="18"/>
          <w:szCs w:val="18"/>
        </w:rPr>
        <w:t xml:space="preserve"> — Umumnya menyerap MDR sebagai bagian dari biaya operasional yang sudah diperhitungkan dalam margin keuntungan</w:t>
      </w:r>
    </w:p>
    <w:p>
      <w:pPr>
        <w:pStyle w:val="ListParagraph"/>
        <w:numPr>
          <w:ilvl w:val="0"/>
          <w:numId w:val="2"/>
        </w:numPr>
        <w:spacing w:after="40" w:before="40"/>
      </w:pPr>
      <w:r>
        <w:rPr>
          <w:rFonts w:ascii="Arial" w:cs="Arial" w:eastAsia="Arial" w:hAnsi="Arial"/>
          <w:color w:val="2C3E50"/>
          <w:sz w:val="20"/>
          <w:szCs w:val="20"/>
        </w:rPr>
        <w:t xml:space="preserve">Usaha Kecil Menengah (UKM)</w:t>
      </w:r>
      <w:r>
        <w:rPr>
          <w:rFonts w:ascii="Arial" w:cs="Arial" w:eastAsia="Arial" w:hAnsi="Arial"/>
          <w:color w:val="5D6D7E"/>
          <w:sz w:val="18"/>
          <w:szCs w:val="18"/>
        </w:rPr>
        <w:t xml:space="preserve"> — Lebih rentan terhadap dampak MDR — dengan margin tipis, sulit menyerap biaya tambahan tanpa menyesuaikan harga</w:t>
      </w:r>
    </w:p>
    <w:p>
      <w:pPr>
        <w:pStyle w:val="ListParagraph"/>
        <w:numPr>
          <w:ilvl w:val="0"/>
          <w:numId w:val="2"/>
        </w:numPr>
        <w:spacing w:after="40" w:before="40"/>
      </w:pPr>
      <w:r>
        <w:rPr>
          <w:rFonts w:ascii="Arial" w:cs="Arial" w:eastAsia="Arial" w:hAnsi="Arial"/>
          <w:color w:val="2C3E50"/>
          <w:sz w:val="20"/>
          <w:szCs w:val="20"/>
        </w:rPr>
        <w:t xml:space="preserve">Warung/UMKM</w:t>
      </w:r>
      <w:r>
        <w:rPr>
          <w:rFonts w:ascii="Arial" w:cs="Arial" w:eastAsia="Arial" w:hAnsi="Arial"/>
          <w:color w:val="5D6D7E"/>
          <w:sz w:val="18"/>
          <w:szCs w:val="18"/>
        </w:rPr>
        <w:t xml:space="preserve"> — MDR 0,3% untuk usaha mikro — pada transaksi Rp 50.000 berarti Rp 150 per transaksi, yang signifikan bagi pedagang kecil dengan laba bersih tipis</w:t>
      </w:r>
    </w:p>
    <w:p>
      <w:pPr>
        <w:pStyle w:val="ListParagraph"/>
        <w:numPr>
          <w:ilvl w:val="0"/>
          <w:numId w:val="2"/>
        </w:numPr>
        <w:spacing w:after="40" w:before="40"/>
      </w:pPr>
      <w:r>
        <w:rPr>
          <w:rFonts w:ascii="Arial" w:cs="Arial" w:eastAsia="Arial" w:hAnsi="Arial"/>
          <w:color w:val="2C3E50"/>
          <w:sz w:val="20"/>
          <w:szCs w:val="20"/>
        </w:rPr>
        <w:t xml:space="preserve">Implikasi harga</w:t>
      </w:r>
      <w:r>
        <w:rPr>
          <w:rFonts w:ascii="Arial" w:cs="Arial" w:eastAsia="Arial" w:hAnsi="Arial"/>
          <w:color w:val="5D6D7E"/>
          <w:sz w:val="18"/>
          <w:szCs w:val="18"/>
        </w:rPr>
        <w:t xml:space="preserve"> — Secara teori ekonomi, biaya transaksi akhirnya tercermin dalam harga jual — namun derajat pass-through bervariasi tergantung daya saing pasar</w:t>
      </w:r>
    </w:p>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7. Strategi Monetisasi: Dari Akuisisi ke Komersialisasi</w:t>
      </w:r>
    </w:p>
    <w:p>
      <w:pPr>
        <w:spacing w:after="90" w:before="60"/>
      </w:pPr>
      <w:r>
        <w:rPr>
          <w:rFonts w:ascii="Arial" w:cs="Arial" w:eastAsia="Arial" w:hAnsi="Arial"/>
          <w:color w:val="2C3E50"/>
          <w:sz w:val="20"/>
          <w:szCs w:val="20"/>
        </w:rPr>
        <w:t xml:space="preserve">Evolusi strategi bisnis e-wallet Indonesia mengikuti pola yang dapat diidentifikasi dengan jelas — pola yang umum dalam industri platform digital global. Pemahaman terhadap fase-fase ini penting bagi konsumen untuk memahami mengapa layanan yang dulunya 'gratis' kini memiliki biaya.</w:t>
      </w:r>
    </w:p>
    <w:p>
      <w:pPr>
        <w:pStyle w:val="Heading2"/>
        <w:spacing w:after="80" w:before="300"/>
      </w:pPr>
      <w:r>
        <w:rPr>
          <w:rFonts w:ascii="Arial" w:cs="Arial" w:eastAsia="Arial" w:hAnsi="Arial"/>
          <w:b/>
          <w:bCs/>
          <w:color w:val="1B3A6B"/>
          <w:sz w:val="24"/>
          <w:szCs w:val="24"/>
        </w:rPr>
        <w:t xml:space="preserve">7.1 Fase Akuisisi — 'Bakar Duit' untuk Market Share</w:t>
      </w:r>
    </w:p>
    <w:p>
      <w:pPr>
        <w:spacing w:after="90" w:before="60"/>
      </w:pPr>
      <w:r>
        <w:rPr>
          <w:rFonts w:ascii="Arial" w:cs="Arial" w:eastAsia="Arial" w:hAnsi="Arial"/>
          <w:color w:val="2C3E50"/>
          <w:sz w:val="20"/>
          <w:szCs w:val="20"/>
        </w:rPr>
        <w:t xml:space="preserve">Pada fase awal (2015-2018), seluruh platform e-wallet besar di Indonesia menjalankan strategi akuisisi agresif yang didanai dari modal investor: top-up gratis, cashback besar-besaran (terkadang hingga 40-50% nilai transaksi), dan promosi yang terkesan terlalu murah untuk menjadi kenyataan.</w:t>
      </w:r>
    </w:p>
    <w:p>
      <w:pPr>
        <w:pStyle w:val="ListParagraph"/>
        <w:numPr>
          <w:ilvl w:val="0"/>
          <w:numId w:val="2"/>
        </w:numPr>
        <w:spacing w:after="40" w:before="40"/>
      </w:pPr>
      <w:r>
        <w:rPr>
          <w:rFonts w:ascii="Arial" w:cs="Arial" w:eastAsia="Arial" w:hAnsi="Arial"/>
          <w:color w:val="2C3E50"/>
          <w:sz w:val="20"/>
          <w:szCs w:val="20"/>
        </w:rPr>
        <w:t xml:space="preserve">Tujuan strategis</w:t>
      </w:r>
      <w:r>
        <w:rPr>
          <w:rFonts w:ascii="Arial" w:cs="Arial" w:eastAsia="Arial" w:hAnsi="Arial"/>
          <w:color w:val="5D6D7E"/>
          <w:sz w:val="18"/>
          <w:szCs w:val="18"/>
        </w:rPr>
        <w:t xml:space="preserve"> — Membangun kebiasaan (habit formation) penggunaan e-wallet di masyarakat, merebut market share dari kompetitor, dan mencapai critical mass pengguna</w:t>
      </w:r>
    </w:p>
    <w:p>
      <w:pPr>
        <w:pStyle w:val="ListParagraph"/>
        <w:numPr>
          <w:ilvl w:val="0"/>
          <w:numId w:val="2"/>
        </w:numPr>
        <w:spacing w:after="40" w:before="40"/>
      </w:pPr>
      <w:r>
        <w:rPr>
          <w:rFonts w:ascii="Arial" w:cs="Arial" w:eastAsia="Arial" w:hAnsi="Arial"/>
          <w:color w:val="2C3E50"/>
          <w:sz w:val="20"/>
          <w:szCs w:val="20"/>
        </w:rPr>
        <w:t xml:space="preserve">Sumber pendanaan</w:t>
      </w:r>
      <w:r>
        <w:rPr>
          <w:rFonts w:ascii="Arial" w:cs="Arial" w:eastAsia="Arial" w:hAnsi="Arial"/>
          <w:color w:val="5D6D7E"/>
          <w:sz w:val="18"/>
          <w:szCs w:val="18"/>
        </w:rPr>
        <w:t xml:space="preserve"> — Modal ventura dan investor strategis — bukan pendapatan operasional. GoPay (Gojek), OVO (Grab/Lippo), DANA (Ant Group) semuanya menerima suntikan modal besar</w:t>
      </w:r>
    </w:p>
    <w:p>
      <w:pPr>
        <w:pStyle w:val="ListParagraph"/>
        <w:numPr>
          <w:ilvl w:val="0"/>
          <w:numId w:val="2"/>
        </w:numPr>
        <w:spacing w:after="40" w:before="40"/>
      </w:pPr>
      <w:r>
        <w:rPr>
          <w:rFonts w:ascii="Arial" w:cs="Arial" w:eastAsia="Arial" w:hAnsi="Arial"/>
          <w:color w:val="2C3E50"/>
          <w:sz w:val="20"/>
          <w:szCs w:val="20"/>
        </w:rPr>
        <w:t xml:space="preserve">Konsekuensi jangka panjang</w:t>
      </w:r>
      <w:r>
        <w:rPr>
          <w:rFonts w:ascii="Arial" w:cs="Arial" w:eastAsia="Arial" w:hAnsi="Arial"/>
          <w:color w:val="5D6D7E"/>
          <w:sz w:val="18"/>
          <w:szCs w:val="18"/>
        </w:rPr>
        <w:t xml:space="preserve"> — Ketergantungan pengguna (user stickiness) terbentuk — begitu terbiasa, sulit kembali ke sistem sebelumnya</w:t>
      </w:r>
    </w:p>
    <w:p>
      <w:pPr>
        <w:spacing w:after="60" w:before="0"/>
      </w:pPr>
      <w:r>
        <w:t xml:space="preserve"/>
      </w:r>
    </w:p>
    <w:p>
      <w:pPr>
        <w:pStyle w:val="Heading2"/>
        <w:spacing w:after="80" w:before="300"/>
      </w:pPr>
      <w:r>
        <w:rPr>
          <w:rFonts w:ascii="Arial" w:cs="Arial" w:eastAsia="Arial" w:hAnsi="Arial"/>
          <w:b/>
          <w:bCs/>
          <w:color w:val="1B3A6B"/>
          <w:sz w:val="24"/>
          <w:szCs w:val="24"/>
        </w:rPr>
        <w:t xml:space="preserve">7.2 Fase Monetisasi — Mengaktifkan Revenue Streams</w:t>
      </w:r>
    </w:p>
    <w:p>
      <w:pPr>
        <w:spacing w:after="90" w:before="60"/>
      </w:pPr>
      <w:r>
        <w:rPr>
          <w:rFonts w:ascii="Arial" w:cs="Arial" w:eastAsia="Arial" w:hAnsi="Arial"/>
          <w:color w:val="2C3E50"/>
          <w:sz w:val="20"/>
          <w:szCs w:val="20"/>
        </w:rPr>
        <w:t xml:space="preserve">Begitu basis pengguna sudah terbentuk dan kebiasaan digital sudah mengakar, platform secara bertahap mengaktifkan berbagai sumber pendapatan:</w:t>
      </w:r>
    </w:p>
    <w:p>
      <w:pPr>
        <w:pStyle w:val="ListParagraph"/>
        <w:numPr>
          <w:ilvl w:val="0"/>
          <w:numId w:val="3"/>
        </w:numPr>
        <w:spacing w:after="60" w:before="60"/>
      </w:pPr>
      <w:r>
        <w:rPr>
          <w:rFonts w:ascii="Arial" w:cs="Arial" w:eastAsia="Arial" w:hAnsi="Arial"/>
          <w:color w:val="2C3E50"/>
          <w:sz w:val="20"/>
          <w:szCs w:val="20"/>
        </w:rPr>
        <w:t xml:space="preserve">Penghapusan bertahap subsidi top-up dan cashback besar</w:t>
      </w:r>
    </w:p>
    <w:p>
      <w:pPr>
        <w:pStyle w:val="ListParagraph"/>
        <w:numPr>
          <w:ilvl w:val="0"/>
          <w:numId w:val="3"/>
        </w:numPr>
        <w:spacing w:after="60" w:before="60"/>
      </w:pPr>
      <w:r>
        <w:rPr>
          <w:rFonts w:ascii="Arial" w:cs="Arial" w:eastAsia="Arial" w:hAnsi="Arial"/>
          <w:color w:val="2C3E50"/>
          <w:sz w:val="20"/>
          <w:szCs w:val="20"/>
        </w:rPr>
        <w:t xml:space="preserve">Pengenalan biaya transaksi yang sebelumnya gratis</w:t>
      </w:r>
    </w:p>
    <w:p>
      <w:pPr>
        <w:pStyle w:val="ListParagraph"/>
        <w:numPr>
          <w:ilvl w:val="0"/>
          <w:numId w:val="3"/>
        </w:numPr>
        <w:spacing w:after="60" w:before="60"/>
      </w:pPr>
      <w:r>
        <w:rPr>
          <w:rFonts w:ascii="Arial" w:cs="Arial" w:eastAsia="Arial" w:hAnsi="Arial"/>
          <w:color w:val="2C3E50"/>
          <w:sz w:val="20"/>
          <w:szCs w:val="20"/>
        </w:rPr>
        <w:t xml:space="preserve">Peluncuran fitur premium berbayar</w:t>
      </w:r>
    </w:p>
    <w:p>
      <w:pPr>
        <w:pStyle w:val="ListParagraph"/>
        <w:numPr>
          <w:ilvl w:val="0"/>
          <w:numId w:val="3"/>
        </w:numPr>
        <w:spacing w:after="60" w:before="60"/>
      </w:pPr>
      <w:r>
        <w:rPr>
          <w:rFonts w:ascii="Arial" w:cs="Arial" w:eastAsia="Arial" w:hAnsi="Arial"/>
          <w:color w:val="2C3E50"/>
          <w:sz w:val="20"/>
          <w:szCs w:val="20"/>
        </w:rPr>
        <w:t xml:space="preserve">Pengembangan layanan finansial (Paylater, asuransi, investasi)</w:t>
      </w:r>
    </w:p>
    <w:p>
      <w:pPr>
        <w:pStyle w:val="ListParagraph"/>
        <w:numPr>
          <w:ilvl w:val="0"/>
          <w:numId w:val="3"/>
        </w:numPr>
        <w:spacing w:after="60" w:before="60"/>
      </w:pPr>
      <w:r>
        <w:rPr>
          <w:rFonts w:ascii="Arial" w:cs="Arial" w:eastAsia="Arial" w:hAnsi="Arial"/>
          <w:color w:val="2C3E50"/>
          <w:sz w:val="20"/>
          <w:szCs w:val="20"/>
        </w:rPr>
        <w:t xml:space="preserve">Monetisasi data pengguna melalui targeted advertising</w:t>
      </w:r>
    </w:p>
    <w:p>
      <w:pPr>
        <w:pStyle w:val="ListParagraph"/>
        <w:numPr>
          <w:ilvl w:val="0"/>
          <w:numId w:val="3"/>
        </w:numPr>
        <w:spacing w:after="60" w:before="60"/>
      </w:pPr>
      <w:r>
        <w:rPr>
          <w:rFonts w:ascii="Arial" w:cs="Arial" w:eastAsia="Arial" w:hAnsi="Arial"/>
          <w:color w:val="2C3E50"/>
          <w:sz w:val="20"/>
          <w:szCs w:val="20"/>
        </w:rPr>
        <w:t xml:space="preserve">Kemitraan komersial dengan merchant premium</w:t>
      </w:r>
    </w:p>
    <w:p>
      <w:pPr>
        <w:spacing w:after="60" w:before="0"/>
      </w:pPr>
      <w:r>
        <w:t xml:space="preserve"/>
      </w:r>
    </w:p>
    <w:p>
      <w:pPr>
        <w:pStyle w:val="Heading2"/>
        <w:spacing w:after="80" w:before="300"/>
      </w:pPr>
      <w:r>
        <w:rPr>
          <w:rFonts w:ascii="Arial" w:cs="Arial" w:eastAsia="Arial" w:hAnsi="Arial"/>
          <w:b/>
          <w:bCs/>
          <w:color w:val="1B3A6B"/>
          <w:sz w:val="24"/>
          <w:szCs w:val="24"/>
        </w:rPr>
        <w:t xml:space="preserve">7.3 Perspektif Akademis — 'Platform Economics'</w:t>
      </w:r>
    </w:p>
    <w:p>
      <w:pPr>
        <w:spacing w:after="90" w:before="60"/>
      </w:pPr>
      <w:r>
        <w:rPr>
          <w:rFonts w:ascii="Arial" w:cs="Arial" w:eastAsia="Arial" w:hAnsi="Arial"/>
          <w:color w:val="2C3E50"/>
          <w:sz w:val="20"/>
          <w:szCs w:val="20"/>
        </w:rPr>
        <w:t xml:space="preserve">Dari perspektif ekonomi bisnis, strategi ini dikenal sebagai two-sided market atau multi-sided platform. E-wallet melayani dua kelompok pengguna utama (konsumen dan merchant) dan memperoleh nilai dari interaksi di antara keduanya. Dalam model ini:</w:t>
      </w:r>
    </w:p>
    <w:p>
      <w:pPr>
        <w:pStyle w:val="ListParagraph"/>
        <w:numPr>
          <w:ilvl w:val="0"/>
          <w:numId w:val="2"/>
        </w:numPr>
        <w:spacing w:after="40" w:before="40"/>
      </w:pPr>
      <w:r>
        <w:rPr>
          <w:rFonts w:ascii="Arial" w:cs="Arial" w:eastAsia="Arial" w:hAnsi="Arial"/>
          <w:color w:val="2C3E50"/>
          <w:sz w:val="20"/>
          <w:szCs w:val="20"/>
        </w:rPr>
        <w:t xml:space="preserve">Network effects</w:t>
      </w:r>
      <w:r>
        <w:rPr>
          <w:rFonts w:ascii="Arial" w:cs="Arial" w:eastAsia="Arial" w:hAnsi="Arial"/>
          <w:color w:val="5D6D7E"/>
          <w:sz w:val="18"/>
          <w:szCs w:val="18"/>
        </w:rPr>
        <w:t xml:space="preserve"> — Nilai platform meningkat secara eksponensial seiring bertambahnya pengguna — mendorong strategi 'winner takes most'</w:t>
      </w:r>
    </w:p>
    <w:p>
      <w:pPr>
        <w:pStyle w:val="ListParagraph"/>
        <w:numPr>
          <w:ilvl w:val="0"/>
          <w:numId w:val="2"/>
        </w:numPr>
        <w:spacing w:after="40" w:before="40"/>
      </w:pPr>
      <w:r>
        <w:rPr>
          <w:rFonts w:ascii="Arial" w:cs="Arial" w:eastAsia="Arial" w:hAnsi="Arial"/>
          <w:color w:val="2C3E50"/>
          <w:sz w:val="20"/>
          <w:szCs w:val="20"/>
        </w:rPr>
        <w:t xml:space="preserve">Lock-in effect</w:t>
      </w:r>
      <w:r>
        <w:rPr>
          <w:rFonts w:ascii="Arial" w:cs="Arial" w:eastAsia="Arial" w:hAnsi="Arial"/>
          <w:color w:val="5D6D7E"/>
          <w:sz w:val="18"/>
          <w:szCs w:val="18"/>
        </w:rPr>
        <w:t xml:space="preserve"> — Setelah pengguna menyimpan saldo, mengintegrasikan dengan berbagai tagihan, dan terbiasa dengan antarmuka tertentu, biaya beralih platform (switching costs) menjadi tinggi</w:t>
      </w:r>
    </w:p>
    <w:p>
      <w:pPr>
        <w:pStyle w:val="ListParagraph"/>
        <w:numPr>
          <w:ilvl w:val="0"/>
          <w:numId w:val="2"/>
        </w:numPr>
        <w:spacing w:after="40" w:before="40"/>
      </w:pPr>
      <w:r>
        <w:rPr>
          <w:rFonts w:ascii="Arial" w:cs="Arial" w:eastAsia="Arial" w:hAnsi="Arial"/>
          <w:color w:val="2C3E50"/>
          <w:sz w:val="20"/>
          <w:szCs w:val="20"/>
        </w:rPr>
        <w:t xml:space="preserve">Subsidized entry</w:t>
      </w:r>
      <w:r>
        <w:rPr>
          <w:rFonts w:ascii="Arial" w:cs="Arial" w:eastAsia="Arial" w:hAnsi="Arial"/>
          <w:color w:val="5D6D7E"/>
          <w:sz w:val="18"/>
          <w:szCs w:val="18"/>
        </w:rPr>
        <w:t xml:space="preserve"> — Subsidi awal untuk konsumen dan merchant merupakan investasi untuk membangun ekosistem — bukan strategi yang dapat dipertahankan tanpa batas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EBF5FB" w:val="clear"/>
            <w:tcMar>
              <w:top w:type="dxa" w:w="120"/>
              <w:left w:type="dxa" w:w="180"/>
              <w:bottom w:type="dxa" w:w="120"/>
              <w:right w:type="dxa" w:w="180"/>
            </w:tcMar>
          </w:tcPr>
          <w:p>
            <w:r>
              <w:rPr>
                <w:rFonts w:ascii="Arial" w:cs="Arial" w:eastAsia="Arial" w:hAnsi="Arial"/>
                <w:color w:val="1A5276"/>
                <w:sz w:val="19"/>
                <w:szCs w:val="19"/>
              </w:rPr>
              <w:t xml:space="preserve">CATATAN ANALITIS: Strategi 'gratis dulu, bayar kemudian' yang diterapkan platform e-wallet sebenarnya bukan hal yang unik atau tersembunyi — ini adalah pola bisnis yang umum dan telah didokumentasikan secara luas dalam literatur ekonomi platform digital global. Yang menjadi perhatian adalah sejauh mana konsumen memiliki pemahaman yang memadai sebelum 'terikat' dalam ekosistem tersebut.</w:t>
            </w:r>
          </w:p>
        </w:tc>
      </w:tr>
    </w:tbl>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8. Perbandingan Biaya Antar Platform E-Wallet</w:t>
      </w:r>
    </w:p>
    <w:p>
      <w:pPr>
        <w:spacing w:after="90" w:before="60"/>
      </w:pPr>
      <w:r>
        <w:rPr>
          <w:rFonts w:ascii="Arial" w:cs="Arial" w:eastAsia="Arial" w:hAnsi="Arial"/>
          <w:color w:val="2C3E50"/>
          <w:sz w:val="20"/>
          <w:szCs w:val="20"/>
        </w:rPr>
        <w:t xml:space="preserve">Berikut adalah perbandingan struktur biaya antar platform berdasarkan informasi yang tersedia secara publik. Biaya dapat berubah sewaktu-waktu — selalu verifikasi langsung di aplikasi atau website resmi masing-masing platform sebelum bertransaksi.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Komponen Biaya</w:t>
            </w:r>
          </w:p>
        </w:tc>
        <w:tc>
          <w:tcPr>
            <w:tcW w:type="dxa" w:w="1352"/>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GoPay</w:t>
            </w:r>
          </w:p>
        </w:tc>
        <w:tc>
          <w:tcPr>
            <w:tcW w:type="dxa" w:w="1352"/>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OVO</w:t>
            </w:r>
          </w:p>
        </w:tc>
        <w:tc>
          <w:tcPr>
            <w:tcW w:type="dxa" w:w="1352"/>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ShopeePay</w:t>
            </w:r>
          </w:p>
        </w:tc>
        <w:tc>
          <w:tcPr>
            <w:tcW w:type="dxa" w:w="1352"/>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DANA</w:t>
            </w:r>
          </w:p>
        </w:tc>
        <w:tc>
          <w:tcPr>
            <w:tcW w:type="dxa" w:w="1352"/>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LinkAja</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Top-up — bank partner</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Top-up — bank non-partner</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1.000-2.500</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Top-up — minimarket</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1.500-2.500</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1.500-2.500</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1.500-2.500</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1.500-2.500</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1.500-2.500</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Transfer ke bank</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2.500</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Transfer sesama platform</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Gratis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Transfer antar platform</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1.000-2.500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1.000-2.500</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Bayar tagihan</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0-3.000</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0-3.000</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0-3.000</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0-3.000</w:t>
            </w:r>
          </w:p>
        </w:tc>
        <w:tc>
          <w:tcPr>
            <w:tcW w:type="dxa" w:w="1352"/>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0-3.000</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Tarik tunai ATM</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Tidak tersedia</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Tidak tersedia</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Tidak tersedia</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5.000-7.500</w:t>
            </w:r>
          </w:p>
        </w:tc>
        <w:tc>
          <w:tcPr>
            <w:tcW w:type="dxa" w:w="135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5.000-7.500</w:t>
            </w:r>
          </w:p>
        </w:tc>
      </w:tr>
    </w:tbl>
    <w:p>
      <w:pPr>
        <w:spacing w:after="90" w:before="60"/>
      </w:pPr>
      <w:r>
        <w:rPr>
          <w:rFonts w:ascii="Arial" w:cs="Arial" w:eastAsia="Arial" w:hAnsi="Arial"/>
          <w:i/>
          <w:iCs/>
          <w:color w:val="5D6D7E"/>
          <w:sz w:val="19"/>
          <w:szCs w:val="19"/>
        </w:rPr>
        <w:t xml:space="preserve">Penting: Data di atas merupakan gambaran umum berdasarkan informasi publik. Biaya aktual dapat berbeda dan berubah. Selalu cek aplikasi resmi untuk informasi terkini dan akurat.</w:t>
      </w:r>
    </w:p>
    <w:p>
      <w:pPr>
        <w:spacing w:after="60" w:before="0"/>
      </w:pPr>
      <w:r>
        <w:t xml:space="preserve"/>
      </w:r>
    </w:p>
    <w:p>
      <w:pPr>
        <w:pStyle w:val="Heading2"/>
        <w:spacing w:after="80" w:before="300"/>
      </w:pPr>
      <w:r>
        <w:rPr>
          <w:rFonts w:ascii="Arial" w:cs="Arial" w:eastAsia="Arial" w:hAnsi="Arial"/>
          <w:b/>
          <w:bCs/>
          <w:color w:val="1B3A6B"/>
          <w:sz w:val="24"/>
          <w:szCs w:val="24"/>
        </w:rPr>
        <w:t xml:space="preserve">8.1 Bank Partner Utama — Kunci Biaya Top-Up Gratis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40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Bank Partner Utama (Contoh)</w:t>
            </w:r>
          </w:p>
        </w:tc>
        <w:tc>
          <w:tcPr>
            <w:tcW w:type="dxa" w:w="37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Manfaat</w:t>
            </w:r>
          </w:p>
        </w:tc>
      </w:tr>
      <w:tr>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GoPay</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Bank Jago, Bank Mandiri (tertentu)</w:t>
            </w:r>
          </w:p>
        </w:tc>
        <w:tc>
          <w:tcPr>
            <w:tcW w:type="dxa" w:w="3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Top-up gratis dari aplikasi bank partner</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OVO</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Bank BRI, Bank CIMB Niaga</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Top-up gratis dari m-banking partner</w:t>
            </w:r>
          </w:p>
        </w:tc>
      </w:tr>
      <w:tr>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ShopeePay</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Bank BCA (tertentu), Seabank</w:t>
            </w:r>
          </w:p>
        </w:tc>
        <w:tc>
          <w:tcPr>
            <w:tcW w:type="dxa" w:w="3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Top-up gratis dari Seabank</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DANA</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BSI, Bank Permata (tertentu)</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Top-up gratis dari bank partner</w:t>
            </w:r>
          </w:p>
        </w:tc>
      </w:tr>
      <w:tr>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LinkAja</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Bank BRI, BNI, BTN, Mandiri (BUMN)</w:t>
            </w:r>
          </w:p>
        </w:tc>
        <w:tc>
          <w:tcPr>
            <w:tcW w:type="dxa" w:w="3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Top-up gratis dari bank BUMN pemegang saham</w:t>
            </w:r>
          </w:p>
        </w:tc>
      </w:tr>
    </w:tbl>
    <w:p>
      <w:pPr>
        <w:spacing w:after="90" w:before="60"/>
      </w:pPr>
      <w:r>
        <w:rPr>
          <w:rFonts w:ascii="Arial" w:cs="Arial" w:eastAsia="Arial" w:hAnsi="Arial"/>
          <w:i/>
          <w:iCs/>
          <w:color w:val="5D6D7E"/>
          <w:sz w:val="19"/>
          <w:szCs w:val="19"/>
        </w:rPr>
        <w:t xml:space="preserve">Informasi bank partner dapat berubah. Verifikasi di aplikasi resmi sebelum membuka rekening baru.</w:t>
      </w:r>
    </w:p>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9. Regulasi Bank Indonesia dan Hak Konsumen</w:t>
      </w:r>
    </w:p>
    <w:p>
      <w:pPr>
        <w:pStyle w:val="Heading2"/>
        <w:spacing w:after="80" w:before="300"/>
      </w:pPr>
      <w:r>
        <w:rPr>
          <w:rFonts w:ascii="Arial" w:cs="Arial" w:eastAsia="Arial" w:hAnsi="Arial"/>
          <w:b/>
          <w:bCs/>
          <w:color w:val="1B3A6B"/>
          <w:sz w:val="24"/>
          <w:szCs w:val="24"/>
        </w:rPr>
        <w:t xml:space="preserve">9.1 Kerangka Regulasi Utama</w:t>
      </w:r>
    </w:p>
    <w:p>
      <w:pPr>
        <w:spacing w:after="90" w:before="60"/>
      </w:pPr>
      <w:r>
        <w:rPr>
          <w:rFonts w:ascii="Arial" w:cs="Arial" w:eastAsia="Arial" w:hAnsi="Arial"/>
          <w:color w:val="2C3E50"/>
          <w:sz w:val="20"/>
          <w:szCs w:val="20"/>
        </w:rPr>
        <w:t xml:space="preserve">Bank Indonesia sebagai bank sentral Indonesia memiliki wewenang penuh dalam mengatur sistem pembayaran, termasuk e-wallet. Beberapa regulasi kunci yang relevan: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760"/>
      </w:tblGrid>
      <w:tr>
        <w:tc>
          <w:tcPr>
            <w:tcW w:type="dxa" w:w="24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Regulasi</w:t>
            </w:r>
          </w:p>
        </w:tc>
        <w:tc>
          <w:tcPr>
            <w:tcW w:type="dxa" w:w="22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Nomor</w:t>
            </w:r>
          </w:p>
        </w:tc>
        <w:tc>
          <w:tcPr>
            <w:tcW w:type="dxa" w:w="30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Pokok Pengaturan</w:t>
            </w:r>
          </w:p>
        </w:tc>
        <w:tc>
          <w:tcPr>
            <w:tcW w:type="dxa" w:w="17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Relevansi bagi Konsumen</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PBI — Penyedia Jasa Pembayaran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No. 23/6/PBI/2021</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Lisensi, kewajiban, dan standar PJP termasuk e-wallet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Dasar hak konsumen atas transparansi biaya</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PBI — Sistem Pembayaran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No. 22/23/PBI/2020</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Infrastruktur dan penyelenggaraan sistem pembayaran</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Standar keamanan dan keandalan sistem</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PBI — Uang Elektronik</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No. 20/6/PBI/2018</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Penyelenggaraan uang elektronik</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Batas saldo, perlindungan dana float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POJK — Layanan Keuangan Digital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No. 10/POJK.05/2022</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Inovasi keuangan digital dan sandbox</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Produk keuangan digital inovatif</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POJK — LPMUBTI (Paylater)</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No. 77/POJK.01/2016</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Pinjam meminjam berbasis teknologi</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Perlindungan terhadap bunga Paylater</w:t>
            </w:r>
          </w:p>
        </w:tc>
      </w:tr>
    </w:tbl>
    <w:p>
      <w:pPr>
        <w:spacing w:after="60" w:before="0"/>
      </w:pPr>
      <w:r>
        <w:t xml:space="preserve"/>
      </w:r>
    </w:p>
    <w:p>
      <w:pPr>
        <w:pStyle w:val="Heading2"/>
        <w:spacing w:after="80" w:before="300"/>
      </w:pPr>
      <w:r>
        <w:rPr>
          <w:rFonts w:ascii="Arial" w:cs="Arial" w:eastAsia="Arial" w:hAnsi="Arial"/>
          <w:b/>
          <w:bCs/>
          <w:color w:val="1B3A6B"/>
          <w:sz w:val="24"/>
          <w:szCs w:val="24"/>
        </w:rPr>
        <w:t xml:space="preserve">9.2 Kewajiban Transparansi Biaya — PBI No. 23/6/PBI/2021</w:t>
      </w:r>
    </w:p>
    <w:p>
      <w:pPr>
        <w:spacing w:after="90" w:before="60"/>
      </w:pPr>
      <w:r>
        <w:rPr>
          <w:rFonts w:ascii="Arial" w:cs="Arial" w:eastAsia="Arial" w:hAnsi="Arial"/>
          <w:color w:val="2C3E50"/>
          <w:sz w:val="20"/>
          <w:szCs w:val="20"/>
        </w:rPr>
        <w:t xml:space="preserve">Salah satu ketentuan terpenting bagi konsumen adalah kewajiban transparansi biaya yang diatur dalam PBI No. 23/6/PBI/2021 tentang Penyedia Jasa Pembayaran. Regulasi ini mengatur bahwa:</w:t>
      </w:r>
    </w:p>
    <w:p>
      <w:pPr>
        <w:pStyle w:val="ListParagraph"/>
        <w:numPr>
          <w:ilvl w:val="0"/>
          <w:numId w:val="3"/>
        </w:numPr>
        <w:spacing w:after="60" w:before="60"/>
      </w:pPr>
      <w:r>
        <w:rPr>
          <w:rFonts w:ascii="Arial" w:cs="Arial" w:eastAsia="Arial" w:hAnsi="Arial"/>
          <w:color w:val="2C3E50"/>
          <w:sz w:val="20"/>
          <w:szCs w:val="20"/>
        </w:rPr>
        <w:t xml:space="preserve">Platform e-wallet WAJIB menampilkan seluruh biaya yang akan dikenakan kepada pengguna secara jelas dan mudah dipahami SEBELUM transaksi dikonfirmasi oleh pengguna.</w:t>
      </w:r>
    </w:p>
    <w:p>
      <w:pPr>
        <w:pStyle w:val="ListParagraph"/>
        <w:numPr>
          <w:ilvl w:val="0"/>
          <w:numId w:val="3"/>
        </w:numPr>
        <w:spacing w:after="60" w:before="60"/>
      </w:pPr>
      <w:r>
        <w:rPr>
          <w:rFonts w:ascii="Arial" w:cs="Arial" w:eastAsia="Arial" w:hAnsi="Arial"/>
          <w:color w:val="2C3E50"/>
          <w:sz w:val="20"/>
          <w:szCs w:val="20"/>
        </w:rPr>
        <w:t xml:space="preserve">Biaya yang ditampilkan harus sesuai dengan yang sebenarnya dikenakan — tidak boleh ada biaya tersembunyi yang muncul setelah konfirmasi.</w:t>
      </w:r>
    </w:p>
    <w:p>
      <w:pPr>
        <w:pStyle w:val="ListParagraph"/>
        <w:numPr>
          <w:ilvl w:val="0"/>
          <w:numId w:val="3"/>
        </w:numPr>
        <w:spacing w:after="60" w:before="60"/>
      </w:pPr>
      <w:r>
        <w:rPr>
          <w:rFonts w:ascii="Arial" w:cs="Arial" w:eastAsia="Arial" w:hAnsi="Arial"/>
          <w:color w:val="2C3E50"/>
          <w:sz w:val="20"/>
          <w:szCs w:val="20"/>
        </w:rPr>
        <w:t xml:space="preserve">Perubahan tarif biaya harus diinformasikan kepada pengguna dengan jangka waktu yang memadai sebelum berlaku.</w:t>
      </w:r>
    </w:p>
    <w:p>
      <w:pPr>
        <w:pStyle w:val="ListParagraph"/>
        <w:numPr>
          <w:ilvl w:val="0"/>
          <w:numId w:val="3"/>
        </w:numPr>
        <w:spacing w:after="60" w:before="60"/>
      </w:pPr>
      <w:r>
        <w:rPr>
          <w:rFonts w:ascii="Arial" w:cs="Arial" w:eastAsia="Arial" w:hAnsi="Arial"/>
          <w:color w:val="2C3E50"/>
          <w:sz w:val="20"/>
          <w:szCs w:val="20"/>
        </w:rPr>
        <w:t xml:space="preserve">Pengguna berhak menolak transaksi jika biaya yang ditampilkan berbeda dari ekspektasi, tanpa dikenakan penalti.</w:t>
      </w:r>
    </w:p>
    <w:p>
      <w:pPr>
        <w:pStyle w:val="ListParagraph"/>
        <w:numPr>
          <w:ilvl w:val="0"/>
          <w:numId w:val="3"/>
        </w:numPr>
        <w:spacing w:after="60" w:before="60"/>
      </w:pPr>
      <w:r>
        <w:rPr>
          <w:rFonts w:ascii="Arial" w:cs="Arial" w:eastAsia="Arial" w:hAnsi="Arial"/>
          <w:color w:val="2C3E50"/>
          <w:sz w:val="20"/>
          <w:szCs w:val="20"/>
        </w:rPr>
        <w:t xml:space="preserve">Platform wajib menyediakan mekanisme pengaduan yang mudah diakses dan merespons keluhan dalam waktu yang ditetapkan.</w:t>
      </w:r>
    </w:p>
    <w:p>
      <w:pPr>
        <w:spacing w:after="60" w:before="0"/>
      </w:pPr>
      <w:r>
        <w:t xml:space="preserve"/>
      </w:r>
    </w:p>
    <w:p>
      <w:pPr>
        <w:pStyle w:val="Heading2"/>
        <w:spacing w:after="80" w:before="300"/>
      </w:pPr>
      <w:r>
        <w:rPr>
          <w:rFonts w:ascii="Arial" w:cs="Arial" w:eastAsia="Arial" w:hAnsi="Arial"/>
          <w:b/>
          <w:bCs/>
          <w:color w:val="1B3A6B"/>
          <w:sz w:val="24"/>
          <w:szCs w:val="24"/>
        </w:rPr>
        <w:t xml:space="preserve">9.3 Batas Saldo dan Perlindungan Dana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Kategori Akun</w:t>
            </w:r>
          </w:p>
        </w:tc>
        <w:tc>
          <w:tcPr>
            <w:tcW w:type="dxa" w:w="24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Batas Saldo Maksimum</w:t>
            </w:r>
          </w:p>
        </w:tc>
        <w:tc>
          <w:tcPr>
            <w:tcW w:type="dxa" w:w="24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Batas Transaksi Harian</w:t>
            </w:r>
          </w:p>
        </w:tc>
        <w:tc>
          <w:tcPr>
            <w:tcW w:type="dxa" w:w="17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Catatan</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Akun Dasar (KYC Minimal)</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2.000.000</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500.000 / hari</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Verifikasi KTP minimal</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Akun Premium (Full KYC)</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20.000.000</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20.000.000 / hari</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Verifikasi lengkap</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Uang Elektronik Registered</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10.000.000</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Sesuai ketentuan</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Sudah registrasi dengan NIK</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Uang Elektronik Unregistered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1.000.000</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500.000</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Tanpa registrasi</w:t>
            </w:r>
          </w:p>
        </w:tc>
      </w:tr>
    </w:tbl>
    <w:p>
      <w:pPr>
        <w:spacing w:after="90" w:before="60"/>
      </w:pPr>
      <w:r>
        <w:rPr>
          <w:rFonts w:ascii="Arial" w:cs="Arial" w:eastAsia="Arial" w:hAnsi="Arial"/>
          <w:i/>
          <w:iCs/>
          <w:color w:val="5D6D7E"/>
          <w:sz w:val="19"/>
          <w:szCs w:val="19"/>
        </w:rPr>
        <w:t xml:space="preserve">Sumber: PBI No. 20/6/PBI/2018 tentang Uang Elektronik. Ketentuan dapat diperbarui.</w:t>
      </w:r>
    </w:p>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10. Peran OJK dalam Pengawasan Fintech</w:t>
      </w:r>
    </w:p>
    <w:p>
      <w:pPr>
        <w:spacing w:after="90" w:before="60"/>
      </w:pPr>
      <w:r>
        <w:rPr>
          <w:rFonts w:ascii="Arial" w:cs="Arial" w:eastAsia="Arial" w:hAnsi="Arial"/>
          <w:color w:val="2C3E50"/>
          <w:sz w:val="20"/>
          <w:szCs w:val="20"/>
        </w:rPr>
        <w:t xml:space="preserve">Otoritas Jasa Keuangan (OJK) berperan mengawasi aspek produk keuangan yang ditawarkan melalui platform e-wallet — terutama produk seperti Paylater, asuransi mikro digital, dan produk investasi digital. Sementara Bank Indonesia mengawasi aspek sistem pembayaran, OJK mengawasi aspek layanan keuangan.</w:t>
      </w:r>
    </w:p>
    <w:p>
      <w:pPr>
        <w:pStyle w:val="Heading2"/>
        <w:spacing w:after="80" w:before="300"/>
      </w:pPr>
      <w:r>
        <w:rPr>
          <w:rFonts w:ascii="Arial" w:cs="Arial" w:eastAsia="Arial" w:hAnsi="Arial"/>
          <w:b/>
          <w:bCs/>
          <w:color w:val="1B3A6B"/>
          <w:sz w:val="24"/>
          <w:szCs w:val="24"/>
        </w:rPr>
        <w:t xml:space="preserve">10.1 Jurisdiksi Pengawasan BI vs OJK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Aspek</w:t>
            </w:r>
          </w:p>
        </w:tc>
        <w:tc>
          <w:tcPr>
            <w:tcW w:type="dxa" w:w="293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Diawasi BI</w:t>
            </w:r>
          </w:p>
        </w:tc>
        <w:tc>
          <w:tcPr>
            <w:tcW w:type="dxa" w:w="293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Diawasi OJK</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Sistem pembayaran &amp; infrastruktur</w:t>
            </w:r>
          </w:p>
        </w:tc>
        <w:tc>
          <w:tcPr>
            <w:tcW w:type="dxa" w:w="29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Ya</w:t>
            </w:r>
          </w:p>
        </w:tc>
        <w:tc>
          <w:tcPr>
            <w:tcW w:type="dxa" w:w="29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Tidak</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Uang elektronik &amp; e-wallet (aspek payment)</w:t>
            </w:r>
          </w:p>
        </w:tc>
        <w:tc>
          <w:tcPr>
            <w:tcW w:type="dxa" w:w="29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Ya</w:t>
            </w:r>
          </w:p>
        </w:tc>
        <w:tc>
          <w:tcPr>
            <w:tcW w:type="dxa" w:w="29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Tidak</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Paylater / kredit digital</w:t>
            </w:r>
          </w:p>
        </w:tc>
        <w:tc>
          <w:tcPr>
            <w:tcW w:type="dxa" w:w="29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Tidak</w:t>
            </w:r>
          </w:p>
        </w:tc>
        <w:tc>
          <w:tcPr>
            <w:tcW w:type="dxa" w:w="29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Ya</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Asuransi digital</w:t>
            </w:r>
          </w:p>
        </w:tc>
        <w:tc>
          <w:tcPr>
            <w:tcW w:type="dxa" w:w="29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Tidak</w:t>
            </w:r>
          </w:p>
        </w:tc>
        <w:tc>
          <w:tcPr>
            <w:tcW w:type="dxa" w:w="29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Ya</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Investasi digital (reksa dana, SBN)</w:t>
            </w:r>
          </w:p>
        </w:tc>
        <w:tc>
          <w:tcPr>
            <w:tcW w:type="dxa" w:w="29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Tidak</w:t>
            </w:r>
          </w:p>
        </w:tc>
        <w:tc>
          <w:tcPr>
            <w:tcW w:type="dxa" w:w="29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Ya</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Perlindungan konsumen keuangan digital</w:t>
            </w:r>
          </w:p>
        </w:tc>
        <w:tc>
          <w:tcPr>
            <w:tcW w:type="dxa" w:w="29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Bersama</w:t>
            </w:r>
          </w:p>
        </w:tc>
        <w:tc>
          <w:tcPr>
            <w:tcW w:type="dxa" w:w="29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Bersama</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Data privasi dalam konteks keuangan</w:t>
            </w:r>
          </w:p>
        </w:tc>
        <w:tc>
          <w:tcPr>
            <w:tcW w:type="dxa" w:w="29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Bersama</w:t>
            </w:r>
          </w:p>
        </w:tc>
        <w:tc>
          <w:tcPr>
            <w:tcW w:type="dxa" w:w="29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Bersama</w:t>
            </w:r>
          </w:p>
        </w:tc>
      </w:tr>
    </w:tbl>
    <w:p>
      <w:pPr>
        <w:spacing w:after="60" w:before="0"/>
      </w:pPr>
      <w:r>
        <w:t xml:space="preserve"/>
      </w:r>
    </w:p>
    <w:p>
      <w:pPr>
        <w:pStyle w:val="Heading2"/>
        <w:spacing w:after="80" w:before="300"/>
      </w:pPr>
      <w:r>
        <w:rPr>
          <w:rFonts w:ascii="Arial" w:cs="Arial" w:eastAsia="Arial" w:hAnsi="Arial"/>
          <w:b/>
          <w:bCs/>
          <w:color w:val="1B3A6B"/>
          <w:sz w:val="24"/>
          <w:szCs w:val="24"/>
        </w:rPr>
        <w:t xml:space="preserve">10.2 Saluran Pengaduan Resmi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Otoritas</w:t>
            </w:r>
          </w:p>
        </w:tc>
        <w:tc>
          <w:tcPr>
            <w:tcW w:type="dxa" w:w="34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Saluran Pengaduan</w:t>
            </w:r>
          </w:p>
        </w:tc>
        <w:tc>
          <w:tcPr>
            <w:tcW w:type="dxa" w:w="37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Untuk Masalah</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Bank Indonesia</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Telepon: 131 (gratis, 24 jam)</w:t>
            </w:r>
          </w:p>
        </w:tc>
        <w:tc>
          <w:tcPr>
            <w:tcW w:type="dxa" w:w="3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Biaya tersembunyi, ketidaksesuaian tarif, masalah sistem pembayaran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Bank Indonesia</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Email: bicara@bi.go.id</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Pengaduan tertulis terkait sistem pembayaran</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Bank Indonesia</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Website: www.bi.go.id — menu Pengaduan</w:t>
            </w:r>
          </w:p>
        </w:tc>
        <w:tc>
          <w:tcPr>
            <w:tcW w:type="dxa" w:w="3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Pengaduan online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OJK</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Telepon: 157 (gratis, jam kerja)</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Masalah Paylater, asuransi digital, investasi</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OJK</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Email: konsumen@ojk.go.id</w:t>
            </w:r>
          </w:p>
        </w:tc>
        <w:tc>
          <w:tcPr>
            <w:tcW w:type="dxa" w:w="3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Pengaduan tertulis layanan keuangan digital</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OJK</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Website: konsumen.ojk.go.id</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Portal pengaduan online OJK</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Internal Platform</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Menu 'Bantuan' / 'Help' di aplikasi</w:t>
            </w:r>
          </w:p>
        </w:tc>
        <w:tc>
          <w:tcPr>
            <w:tcW w:type="dxa" w:w="3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Pengaduan tahap pertama sebelum eskalasi</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BPKN</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bpkn.go.id</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Perlindungan konsumen umum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1E8449" w:sz="8"/>
              <w:right w:val="single" w:color="1E8449" w:sz="8"/>
            </w:tcBorders>
            <w:shd w:fill="EAFAF1" w:val="clear"/>
            <w:tcMar>
              <w:top w:type="dxa" w:w="120"/>
              <w:left w:type="dxa" w:w="180"/>
              <w:bottom w:type="dxa" w:w="120"/>
              <w:right w:type="dxa" w:w="180"/>
            </w:tcMar>
          </w:tcPr>
          <w:p>
            <w:r>
              <w:rPr>
                <w:rFonts w:ascii="Arial" w:cs="Arial" w:eastAsia="Arial" w:hAnsi="Arial"/>
                <w:color w:val="1E8449"/>
                <w:sz w:val="19"/>
                <w:szCs w:val="19"/>
              </w:rPr>
              <w:t xml:space="preserve">HAK KONSUMEN: Berdasarkan PBI No. 23/6/PBI/2021, konsumen BERHAK melaporkan platform e-wallet ke Bank Indonesia apabila: (1) dikenakan biaya yang tidak ditampilkan sebelum transaksi; (2) biaya yang dikenakan berbeda dari yang tertera; (3) terdapat perubahan tarif tanpa pemberitahuan yang memadai. Ini bukan hanya 'boleh melaporkan' — ini adalah hak yang dilindungi regulasi.</w:t>
            </w:r>
          </w:p>
        </w:tc>
      </w:tr>
    </w:tbl>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11. Transparansi Biaya: Kewajiban dan Praktik di Lapangan</w:t>
      </w:r>
    </w:p>
    <w:p>
      <w:pPr>
        <w:pStyle w:val="Heading2"/>
        <w:spacing w:after="80" w:before="300"/>
      </w:pPr>
      <w:r>
        <w:rPr>
          <w:rFonts w:ascii="Arial" w:cs="Arial" w:eastAsia="Arial" w:hAnsi="Arial"/>
          <w:b/>
          <w:bCs/>
          <w:color w:val="1B3A6B"/>
          <w:sz w:val="24"/>
          <w:szCs w:val="24"/>
        </w:rPr>
        <w:t xml:space="preserve">11.1 Standar Transparansi yang Diwajibkan Regulasi</w:t>
      </w:r>
    </w:p>
    <w:p>
      <w:pPr>
        <w:pStyle w:val="ListParagraph"/>
        <w:numPr>
          <w:ilvl w:val="0"/>
          <w:numId w:val="2"/>
        </w:numPr>
        <w:spacing w:after="40" w:before="40"/>
      </w:pPr>
      <w:r>
        <w:rPr>
          <w:rFonts w:ascii="Arial" w:cs="Arial" w:eastAsia="Arial" w:hAnsi="Arial"/>
          <w:color w:val="2C3E50"/>
          <w:sz w:val="20"/>
          <w:szCs w:val="20"/>
        </w:rPr>
        <w:t xml:space="preserve">Pra-konfirmasi transaksi</w:t>
      </w:r>
      <w:r>
        <w:rPr>
          <w:rFonts w:ascii="Arial" w:cs="Arial" w:eastAsia="Arial" w:hAnsi="Arial"/>
          <w:color w:val="5D6D7E"/>
          <w:sz w:val="18"/>
          <w:szCs w:val="18"/>
        </w:rPr>
        <w:t xml:space="preserve"> — Setiap biaya harus ditampilkan jelas di layar konfirmasi SEBELUM pengguna menekan tombol bayar/kirim</w:t>
      </w:r>
    </w:p>
    <w:p>
      <w:pPr>
        <w:pStyle w:val="ListParagraph"/>
        <w:numPr>
          <w:ilvl w:val="0"/>
          <w:numId w:val="2"/>
        </w:numPr>
        <w:spacing w:after="40" w:before="40"/>
      </w:pPr>
      <w:r>
        <w:rPr>
          <w:rFonts w:ascii="Arial" w:cs="Arial" w:eastAsia="Arial" w:hAnsi="Arial"/>
          <w:color w:val="2C3E50"/>
          <w:sz w:val="20"/>
          <w:szCs w:val="20"/>
        </w:rPr>
        <w:t xml:space="preserve">Rincian biaya</w:t>
      </w:r>
      <w:r>
        <w:rPr>
          <w:rFonts w:ascii="Arial" w:cs="Arial" w:eastAsia="Arial" w:hAnsi="Arial"/>
          <w:color w:val="5D6D7E"/>
          <w:sz w:val="18"/>
          <w:szCs w:val="18"/>
        </w:rPr>
        <w:t xml:space="preserve"> — Tidak cukup hanya menampilkan total — komponen biaya (biaya transaksi, biaya admin, dll.) harus dirinci</w:t>
      </w:r>
    </w:p>
    <w:p>
      <w:pPr>
        <w:pStyle w:val="ListParagraph"/>
        <w:numPr>
          <w:ilvl w:val="0"/>
          <w:numId w:val="2"/>
        </w:numPr>
        <w:spacing w:after="40" w:before="40"/>
      </w:pPr>
      <w:r>
        <w:rPr>
          <w:rFonts w:ascii="Arial" w:cs="Arial" w:eastAsia="Arial" w:hAnsi="Arial"/>
          <w:color w:val="2C3E50"/>
          <w:sz w:val="20"/>
          <w:szCs w:val="20"/>
        </w:rPr>
        <w:t xml:space="preserve">Format yang mudah dipahami</w:t>
      </w:r>
      <w:r>
        <w:rPr>
          <w:rFonts w:ascii="Arial" w:cs="Arial" w:eastAsia="Arial" w:hAnsi="Arial"/>
          <w:color w:val="5D6D7E"/>
          <w:sz w:val="18"/>
          <w:szCs w:val="18"/>
        </w:rPr>
        <w:t xml:space="preserve"> — Informasi biaya harus disajikan dalam Bahasa Indonesia yang jelas, bukan dalam bahasa teknis yang membingungkan</w:t>
      </w:r>
    </w:p>
    <w:p>
      <w:pPr>
        <w:pStyle w:val="ListParagraph"/>
        <w:numPr>
          <w:ilvl w:val="0"/>
          <w:numId w:val="2"/>
        </w:numPr>
        <w:spacing w:after="40" w:before="40"/>
      </w:pPr>
      <w:r>
        <w:rPr>
          <w:rFonts w:ascii="Arial" w:cs="Arial" w:eastAsia="Arial" w:hAnsi="Arial"/>
          <w:color w:val="2C3E50"/>
          <w:sz w:val="20"/>
          <w:szCs w:val="20"/>
        </w:rPr>
        <w:t xml:space="preserve">Pemberitahuan perubahan</w:t>
      </w:r>
      <w:r>
        <w:rPr>
          <w:rFonts w:ascii="Arial" w:cs="Arial" w:eastAsia="Arial" w:hAnsi="Arial"/>
          <w:color w:val="5D6D7E"/>
          <w:sz w:val="18"/>
          <w:szCs w:val="18"/>
        </w:rPr>
        <w:t xml:space="preserve"> — Setiap perubahan tarif harus dikomunikasikan minimal 30 hari sebelum berlaku melalui notifikasi yang dapat dilihat pengguna</w:t>
      </w:r>
    </w:p>
    <w:p>
      <w:pPr>
        <w:pStyle w:val="ListParagraph"/>
        <w:numPr>
          <w:ilvl w:val="0"/>
          <w:numId w:val="2"/>
        </w:numPr>
        <w:spacing w:after="40" w:before="40"/>
      </w:pPr>
      <w:r>
        <w:rPr>
          <w:rFonts w:ascii="Arial" w:cs="Arial" w:eastAsia="Arial" w:hAnsi="Arial"/>
          <w:color w:val="2C3E50"/>
          <w:sz w:val="20"/>
          <w:szCs w:val="20"/>
        </w:rPr>
        <w:t xml:space="preserve">Aksesibilitas informasi</w:t>
      </w:r>
      <w:r>
        <w:rPr>
          <w:rFonts w:ascii="Arial" w:cs="Arial" w:eastAsia="Arial" w:hAnsi="Arial"/>
          <w:color w:val="5D6D7E"/>
          <w:sz w:val="18"/>
          <w:szCs w:val="18"/>
        </w:rPr>
        <w:t xml:space="preserve"> — Daftar lengkap biaya layanan harus mudah ditemukan dalam aplikasi — tidak boleh tersembunyi dalam tumpukan menu</w:t>
      </w:r>
    </w:p>
    <w:p>
      <w:pPr>
        <w:spacing w:after="60" w:before="0"/>
      </w:pPr>
      <w:r>
        <w:t xml:space="preserve"/>
      </w:r>
    </w:p>
    <w:p>
      <w:pPr>
        <w:pStyle w:val="Heading2"/>
        <w:spacing w:after="80" w:before="300"/>
      </w:pPr>
      <w:r>
        <w:rPr>
          <w:rFonts w:ascii="Arial" w:cs="Arial" w:eastAsia="Arial" w:hAnsi="Arial"/>
          <w:b/>
          <w:bCs/>
          <w:color w:val="1B3A6B"/>
          <w:sz w:val="24"/>
          <w:szCs w:val="24"/>
        </w:rPr>
        <w:t xml:space="preserve">11.2 Langkah Pengguna Jika Menemukan Pelanggaran Transparansi</w:t>
      </w:r>
    </w:p>
    <w:p>
      <w:pPr>
        <w:pStyle w:val="ListParagraph"/>
        <w:numPr>
          <w:ilvl w:val="0"/>
          <w:numId w:val="3"/>
        </w:numPr>
        <w:spacing w:after="60" w:before="60"/>
      </w:pPr>
      <w:r>
        <w:rPr>
          <w:rFonts w:ascii="Arial" w:cs="Arial" w:eastAsia="Arial" w:hAnsi="Arial"/>
          <w:color w:val="2C3E50"/>
          <w:sz w:val="20"/>
          <w:szCs w:val="20"/>
        </w:rPr>
        <w:t xml:space="preserve">Dokumentasikan bukti: screenshot layar sebelum dan sesudah transaksi yang menunjukkan perbedaan biaya</w:t>
      </w:r>
    </w:p>
    <w:p>
      <w:pPr>
        <w:pStyle w:val="ListParagraph"/>
        <w:numPr>
          <w:ilvl w:val="0"/>
          <w:numId w:val="3"/>
        </w:numPr>
        <w:spacing w:after="60" w:before="60"/>
      </w:pPr>
      <w:r>
        <w:rPr>
          <w:rFonts w:ascii="Arial" w:cs="Arial" w:eastAsia="Arial" w:hAnsi="Arial"/>
          <w:color w:val="2C3E50"/>
          <w:sz w:val="20"/>
          <w:szCs w:val="20"/>
        </w:rPr>
        <w:t xml:space="preserve">Laporkan ke layanan pelanggan platform terlebih dahulu — catat nomor tiket pengaduan</w:t>
      </w:r>
    </w:p>
    <w:p>
      <w:pPr>
        <w:pStyle w:val="ListParagraph"/>
        <w:numPr>
          <w:ilvl w:val="0"/>
          <w:numId w:val="3"/>
        </w:numPr>
        <w:spacing w:after="60" w:before="60"/>
      </w:pPr>
      <w:r>
        <w:rPr>
          <w:rFonts w:ascii="Arial" w:cs="Arial" w:eastAsia="Arial" w:hAnsi="Arial"/>
          <w:color w:val="2C3E50"/>
          <w:sz w:val="20"/>
          <w:szCs w:val="20"/>
        </w:rPr>
        <w:t xml:space="preserve">Jika tidak ada respons memuaskan dalam 3-5 hari kerja, eskalasikan ke Bank Indonesia melalui 131</w:t>
      </w:r>
    </w:p>
    <w:p>
      <w:pPr>
        <w:pStyle w:val="ListParagraph"/>
        <w:numPr>
          <w:ilvl w:val="0"/>
          <w:numId w:val="3"/>
        </w:numPr>
        <w:spacing w:after="60" w:before="60"/>
      </w:pPr>
      <w:r>
        <w:rPr>
          <w:rFonts w:ascii="Arial" w:cs="Arial" w:eastAsia="Arial" w:hAnsi="Arial"/>
          <w:color w:val="2C3E50"/>
          <w:sz w:val="20"/>
          <w:szCs w:val="20"/>
        </w:rPr>
        <w:t xml:space="preserve">Simpan semua komunikasi sebagai bukti pengaduan lanjutan</w:t>
      </w:r>
    </w:p>
    <w:p>
      <w:pPr>
        <w:pStyle w:val="ListParagraph"/>
        <w:numPr>
          <w:ilvl w:val="0"/>
          <w:numId w:val="3"/>
        </w:numPr>
        <w:spacing w:after="60" w:before="60"/>
      </w:pPr>
      <w:r>
        <w:rPr>
          <w:rFonts w:ascii="Arial" w:cs="Arial" w:eastAsia="Arial" w:hAnsi="Arial"/>
          <w:color w:val="2C3E50"/>
          <w:sz w:val="20"/>
          <w:szCs w:val="20"/>
        </w:rPr>
        <w:t xml:space="preserve">Jika terkait produk keuangan (Paylater, dll.), paralel laporkan ke OJK melalui 157</w:t>
      </w:r>
    </w:p>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12. Ekosistem Bisnis dan Interkoneksi E-Wallet</w:t>
      </w:r>
    </w:p>
    <w:p>
      <w:pPr>
        <w:pStyle w:val="Heading2"/>
        <w:spacing w:after="80" w:before="300"/>
      </w:pPr>
      <w:r>
        <w:rPr>
          <w:rFonts w:ascii="Arial" w:cs="Arial" w:eastAsia="Arial" w:hAnsi="Arial"/>
          <w:b/>
          <w:bCs/>
          <w:color w:val="1B3A6B"/>
          <w:sz w:val="24"/>
          <w:szCs w:val="24"/>
        </w:rPr>
        <w:t xml:space="preserve">12.1 Interoperabilitas — BI-FAST dan QRIS sebagai Fondasi</w:t>
      </w:r>
    </w:p>
    <w:p>
      <w:pPr>
        <w:spacing w:after="90" w:before="60"/>
      </w:pPr>
      <w:r>
        <w:rPr>
          <w:rFonts w:ascii="Arial" w:cs="Arial" w:eastAsia="Arial" w:hAnsi="Arial"/>
          <w:color w:val="2C3E50"/>
          <w:sz w:val="20"/>
          <w:szCs w:val="20"/>
        </w:rPr>
        <w:t xml:space="preserve">Salah satu terobosan terpenting dalam sistem pembayaran Indonesia adalah implementasi interoperabilitas — kemampuan berbagai platform untuk saling terhubung dan bertukar nilai. Dua infrastruktur kunci yang mendukung ini adalah BI-FAST (untuk transfer uang antar bank) dan QRIS (untuk pembayaran QR code).</w:t>
      </w:r>
    </w:p>
    <w:p>
      <w:pPr>
        <w:pStyle w:val="ListParagraph"/>
        <w:numPr>
          <w:ilvl w:val="0"/>
          <w:numId w:val="2"/>
        </w:numPr>
        <w:spacing w:after="40" w:before="40"/>
      </w:pPr>
      <w:r>
        <w:rPr>
          <w:rFonts w:ascii="Arial" w:cs="Arial" w:eastAsia="Arial" w:hAnsi="Arial"/>
          <w:color w:val="2C3E50"/>
          <w:sz w:val="20"/>
          <w:szCs w:val="20"/>
        </w:rPr>
        <w:t xml:space="preserve">BI-FAST</w:t>
      </w:r>
      <w:r>
        <w:rPr>
          <w:rFonts w:ascii="Arial" w:cs="Arial" w:eastAsia="Arial" w:hAnsi="Arial"/>
          <w:color w:val="5D6D7E"/>
          <w:sz w:val="18"/>
          <w:szCs w:val="18"/>
        </w:rPr>
        <w:t xml:space="preserve"> — Diluncurkan Desember 2021, memungkinkan transfer antar bank secara real-time 24/7 dengan biaya maksimal Rp 2.500 dari sisi bank. Sejak implementasi BI-FAST, biaya transfer antar bank turun drastis namun e-wallet belum sepenuhnya meneruskan efisiensi ini ke pengguna.</w:t>
      </w:r>
    </w:p>
    <w:p>
      <w:pPr>
        <w:pStyle w:val="ListParagraph"/>
        <w:numPr>
          <w:ilvl w:val="0"/>
          <w:numId w:val="2"/>
        </w:numPr>
        <w:spacing w:after="40" w:before="40"/>
      </w:pPr>
      <w:r>
        <w:rPr>
          <w:rFonts w:ascii="Arial" w:cs="Arial" w:eastAsia="Arial" w:hAnsi="Arial"/>
          <w:color w:val="2C3E50"/>
          <w:sz w:val="20"/>
          <w:szCs w:val="20"/>
        </w:rPr>
        <w:t xml:space="preserve">QRIS</w:t>
      </w:r>
      <w:r>
        <w:rPr>
          <w:rFonts w:ascii="Arial" w:cs="Arial" w:eastAsia="Arial" w:hAnsi="Arial"/>
          <w:color w:val="5D6D7E"/>
          <w:sz w:val="18"/>
          <w:szCs w:val="18"/>
        </w:rPr>
        <w:t xml:space="preserve"> — Satu kode QR untuk semua platform — meningkatkan efisiensi merchant dan konsumen sekaligus. BI mewajibkan semua e-wallet berlisensi mendukung QRIS.</w:t>
      </w:r>
    </w:p>
    <w:p>
      <w:pPr>
        <w:pStyle w:val="ListParagraph"/>
        <w:numPr>
          <w:ilvl w:val="0"/>
          <w:numId w:val="2"/>
        </w:numPr>
        <w:spacing w:after="40" w:before="40"/>
      </w:pPr>
      <w:r>
        <w:rPr>
          <w:rFonts w:ascii="Arial" w:cs="Arial" w:eastAsia="Arial" w:hAnsi="Arial"/>
          <w:color w:val="2C3E50"/>
          <w:sz w:val="20"/>
          <w:szCs w:val="20"/>
        </w:rPr>
        <w:t xml:space="preserve">Interkoneksi e-wallet</w:t>
      </w:r>
      <w:r>
        <w:rPr>
          <w:rFonts w:ascii="Arial" w:cs="Arial" w:eastAsia="Arial" w:hAnsi="Arial"/>
          <w:color w:val="5D6D7E"/>
          <w:sz w:val="18"/>
          <w:szCs w:val="18"/>
        </w:rPr>
        <w:t xml:space="preserve"> — BI mendorong interoperabilitas penuh antar e-wallet — pengguna GoPay dapat transfer ke pengguna OVO dan sebaliknya, dengan biaya yang sudah ditetapkan.</w:t>
      </w:r>
    </w:p>
    <w:p>
      <w:pPr>
        <w:spacing w:after="60" w:before="0"/>
      </w:pPr>
      <w:r>
        <w:t xml:space="preserve"/>
      </w:r>
    </w:p>
    <w:p>
      <w:pPr>
        <w:pStyle w:val="Heading2"/>
        <w:spacing w:after="80" w:before="300"/>
      </w:pPr>
      <w:r>
        <w:rPr>
          <w:rFonts w:ascii="Arial" w:cs="Arial" w:eastAsia="Arial" w:hAnsi="Arial"/>
          <w:b/>
          <w:bCs/>
          <w:color w:val="1B3A6B"/>
          <w:sz w:val="24"/>
          <w:szCs w:val="24"/>
        </w:rPr>
        <w:t xml:space="preserve">12.2 Konsolidasi Industri — Tren Merger dan Akuisisi</w:t>
      </w:r>
    </w:p>
    <w:p>
      <w:pPr>
        <w:spacing w:after="90" w:before="60"/>
      </w:pPr>
      <w:r>
        <w:rPr>
          <w:rFonts w:ascii="Arial" w:cs="Arial" w:eastAsia="Arial" w:hAnsi="Arial"/>
          <w:color w:val="2C3E50"/>
          <w:sz w:val="20"/>
          <w:szCs w:val="20"/>
        </w:rPr>
        <w:t xml:space="preserve">Industri e-wallet Indonesia sedang memasuki fase konsolidasi, di mana pemain-pemain dengan basis pengguna lebih kecil menghadapi tekanan untuk bergabung atau diakuisisi oleh pemain lebih besar. Merger GoTo (Gojek + Tokopedia) adalah contoh paling nyata dari tren ini.</w:t>
      </w:r>
    </w:p>
    <w:p>
      <w:pPr>
        <w:pStyle w:val="ListParagraph"/>
        <w:numPr>
          <w:ilvl w:val="0"/>
          <w:numId w:val="2"/>
        </w:numPr>
        <w:spacing w:after="40" w:before="40"/>
      </w:pPr>
      <w:r>
        <w:rPr>
          <w:rFonts w:ascii="Arial" w:cs="Arial" w:eastAsia="Arial" w:hAnsi="Arial"/>
          <w:color w:val="2C3E50"/>
          <w:sz w:val="20"/>
          <w:szCs w:val="20"/>
        </w:rPr>
        <w:t xml:space="preserve">Implikasi bagi konsumen</w:t>
      </w:r>
      <w:r>
        <w:rPr>
          <w:rFonts w:ascii="Arial" w:cs="Arial" w:eastAsia="Arial" w:hAnsi="Arial"/>
          <w:color w:val="5D6D7E"/>
          <w:sz w:val="18"/>
          <w:szCs w:val="18"/>
        </w:rPr>
        <w:t xml:space="preserve"> — Konsolidasi dapat mengurangi persaingan dan mengurangi tekanan downward terhadap biaya. Di sisi lain, ekosistem yang lebih terintegrasi dapat memberikan layanan lebih seamless.</w:t>
      </w:r>
    </w:p>
    <w:p>
      <w:pPr>
        <w:pStyle w:val="ListParagraph"/>
        <w:numPr>
          <w:ilvl w:val="0"/>
          <w:numId w:val="2"/>
        </w:numPr>
        <w:spacing w:after="40" w:before="40"/>
      </w:pPr>
      <w:r>
        <w:rPr>
          <w:rFonts w:ascii="Arial" w:cs="Arial" w:eastAsia="Arial" w:hAnsi="Arial"/>
          <w:color w:val="2C3E50"/>
          <w:sz w:val="20"/>
          <w:szCs w:val="20"/>
        </w:rPr>
        <w:t xml:space="preserve">Pemain baru</w:t>
      </w:r>
      <w:r>
        <w:rPr>
          <w:rFonts w:ascii="Arial" w:cs="Arial" w:eastAsia="Arial" w:hAnsi="Arial"/>
          <w:color w:val="5D6D7E"/>
          <w:sz w:val="18"/>
          <w:szCs w:val="18"/>
        </w:rPr>
        <w:t xml:space="preserve"> — Masuknya bank digital (seperti Bank Jago, SeaBank, Blu BCA) yang menawarkan fitur mirip e-wallet dengan regulasi perbankan yang lebih ketat menambah dinamika persaingan.</w:t>
      </w:r>
    </w:p>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13. Analisis Risiko Konsumen</w:t>
      </w:r>
    </w:p>
    <w:p>
      <w:pPr>
        <w:pStyle w:val="Heading2"/>
        <w:spacing w:after="80" w:before="300"/>
      </w:pPr>
      <w:r>
        <w:rPr>
          <w:rFonts w:ascii="Arial" w:cs="Arial" w:eastAsia="Arial" w:hAnsi="Arial"/>
          <w:b/>
          <w:bCs/>
          <w:color w:val="1B3A6B"/>
          <w:sz w:val="24"/>
          <w:szCs w:val="24"/>
        </w:rPr>
        <w:t xml:space="preserve">13.1 Risiko Finansial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Risiko</w:t>
            </w:r>
          </w:p>
        </w:tc>
        <w:tc>
          <w:tcPr>
            <w:tcW w:type="dxa" w:w="3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c>
          <w:tcPr>
            <w:tcW w:type="dxa" w:w="32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Mitigasi</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Akumulasi biaya tidak disadari</w:t>
            </w:r>
          </w:p>
        </w:tc>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Total biaya tahunan Rp 300-500 ribu+ tidak terasa tapi signifikan</w:t>
            </w:r>
          </w:p>
        </w:tc>
        <w:tc>
          <w:tcPr>
            <w:tcW w:type="dxa" w:w="3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Audit biaya berkala via mutasi rekening</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Bunga Paylater tinggi</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Bunga efektif tahunan sangat tinggi dibanding kartu kredit bank</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Hanya gunakan Paylater jika benar-benar diperlukan</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Dana mengendap tidak berbunga</w:t>
            </w:r>
          </w:p>
        </w:tc>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Saldo besar di e-wallet tidak menghasilkan imbal hasil</w:t>
            </w:r>
          </w:p>
        </w:tc>
        <w:tc>
          <w:tcPr>
            <w:tcW w:type="dxa" w:w="3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Jaga saldo sesuai kebutuhan, sisanya di tabungan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Lock-in ekosistem</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Sulit beralih platform setelah terintegrasi dengan banyak layanan</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Batasi ketergantungan pada satu ekosistem</w:t>
            </w:r>
          </w:p>
        </w:tc>
      </w:tr>
      <w:tr>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Perubahan kebijakan tarif</w:t>
            </w:r>
          </w:p>
        </w:tc>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Platform dapat menaikkan tarif sesuai kebijakan bisnis</w:t>
            </w:r>
          </w:p>
        </w:tc>
        <w:tc>
          <w:tcPr>
            <w:tcW w:type="dxa" w:w="3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Monitor notifikasi perubahan kebijakan</w:t>
            </w:r>
          </w:p>
        </w:tc>
      </w:tr>
    </w:tbl>
    <w:p>
      <w:pPr>
        <w:spacing w:after="60" w:before="0"/>
      </w:pPr>
      <w:r>
        <w:t xml:space="preserve"/>
      </w:r>
    </w:p>
    <w:p>
      <w:pPr>
        <w:pStyle w:val="Heading2"/>
        <w:spacing w:after="80" w:before="300"/>
      </w:pPr>
      <w:r>
        <w:rPr>
          <w:rFonts w:ascii="Arial" w:cs="Arial" w:eastAsia="Arial" w:hAnsi="Arial"/>
          <w:b/>
          <w:bCs/>
          <w:color w:val="1B3A6B"/>
          <w:sz w:val="24"/>
          <w:szCs w:val="24"/>
        </w:rPr>
        <w:t xml:space="preserve">13.2 Risiko Keamanan dan Privasi</w:t>
      </w:r>
    </w:p>
    <w:p>
      <w:pPr>
        <w:pStyle w:val="ListParagraph"/>
        <w:numPr>
          <w:ilvl w:val="0"/>
          <w:numId w:val="2"/>
        </w:numPr>
        <w:spacing w:after="40" w:before="40"/>
      </w:pPr>
      <w:r>
        <w:rPr>
          <w:rFonts w:ascii="Arial" w:cs="Arial" w:eastAsia="Arial" w:hAnsi="Arial"/>
          <w:color w:val="2C3E50"/>
          <w:sz w:val="20"/>
          <w:szCs w:val="20"/>
        </w:rPr>
        <w:t xml:space="preserve">Pencurian akun</w:t>
      </w:r>
      <w:r>
        <w:rPr>
          <w:rFonts w:ascii="Arial" w:cs="Arial" w:eastAsia="Arial" w:hAnsi="Arial"/>
          <w:color w:val="5D6D7E"/>
          <w:sz w:val="18"/>
          <w:szCs w:val="18"/>
        </w:rPr>
        <w:t xml:space="preserve"> — Akun e-wallet dengan saldo besar menjadi target phishing dan social engineering</w:t>
      </w:r>
    </w:p>
    <w:p>
      <w:pPr>
        <w:pStyle w:val="ListParagraph"/>
        <w:numPr>
          <w:ilvl w:val="0"/>
          <w:numId w:val="2"/>
        </w:numPr>
        <w:spacing w:after="40" w:before="40"/>
      </w:pPr>
      <w:r>
        <w:rPr>
          <w:rFonts w:ascii="Arial" w:cs="Arial" w:eastAsia="Arial" w:hAnsi="Arial"/>
          <w:color w:val="2C3E50"/>
          <w:sz w:val="20"/>
          <w:szCs w:val="20"/>
        </w:rPr>
        <w:t xml:space="preserve">Data pribadi</w:t>
      </w:r>
      <w:r>
        <w:rPr>
          <w:rFonts w:ascii="Arial" w:cs="Arial" w:eastAsia="Arial" w:hAnsi="Arial"/>
          <w:color w:val="5D6D7E"/>
          <w:sz w:val="18"/>
          <w:szCs w:val="18"/>
        </w:rPr>
        <w:t xml:space="preserve"> — Transaksi e-wallet merekam pola perilaku konsumsi yang sangat detail — data ini bernilai tinggi bagi industri advertising</w:t>
      </w:r>
    </w:p>
    <w:p>
      <w:pPr>
        <w:pStyle w:val="ListParagraph"/>
        <w:numPr>
          <w:ilvl w:val="0"/>
          <w:numId w:val="2"/>
        </w:numPr>
        <w:spacing w:after="40" w:before="40"/>
      </w:pPr>
      <w:r>
        <w:rPr>
          <w:rFonts w:ascii="Arial" w:cs="Arial" w:eastAsia="Arial" w:hAnsi="Arial"/>
          <w:color w:val="2C3E50"/>
          <w:sz w:val="20"/>
          <w:szCs w:val="20"/>
        </w:rPr>
        <w:t xml:space="preserve">Penipuan QRIS palsu</w:t>
      </w:r>
      <w:r>
        <w:rPr>
          <w:rFonts w:ascii="Arial" w:cs="Arial" w:eastAsia="Arial" w:hAnsi="Arial"/>
          <w:color w:val="5D6D7E"/>
          <w:sz w:val="18"/>
          <w:szCs w:val="18"/>
        </w:rPr>
        <w:t xml:space="preserve"> — Kode QR di merchant dapat diganti dengan QR palsu oleh penipu — selalu verifikasi nama merchant sebelum bayar</w:t>
      </w:r>
    </w:p>
    <w:p>
      <w:pPr>
        <w:pStyle w:val="ListParagraph"/>
        <w:numPr>
          <w:ilvl w:val="0"/>
          <w:numId w:val="2"/>
        </w:numPr>
        <w:spacing w:after="40" w:before="40"/>
      </w:pPr>
      <w:r>
        <w:rPr>
          <w:rFonts w:ascii="Arial" w:cs="Arial" w:eastAsia="Arial" w:hAnsi="Arial"/>
          <w:color w:val="2C3E50"/>
          <w:sz w:val="20"/>
          <w:szCs w:val="20"/>
        </w:rPr>
        <w:t xml:space="preserve">Paylater fraud</w:t>
      </w:r>
      <w:r>
        <w:rPr>
          <w:rFonts w:ascii="Arial" w:cs="Arial" w:eastAsia="Arial" w:hAnsi="Arial"/>
          <w:color w:val="5D6D7E"/>
          <w:sz w:val="18"/>
          <w:szCs w:val="18"/>
        </w:rPr>
        <w:t xml:space="preserve"> — Jika akun e-wallet diambil alih, fitur Paylater dapat disalahgunakan untuk transaksi tidak sah atas nama korban</w:t>
      </w:r>
    </w:p>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14. Strategi Mitigasi Biaya bagi Konsumen</w:t>
      </w:r>
    </w:p>
    <w:p>
      <w:pPr>
        <w:spacing w:after="90" w:before="60"/>
      </w:pPr>
      <w:r>
        <w:rPr>
          <w:rFonts w:ascii="Arial" w:cs="Arial" w:eastAsia="Arial" w:hAnsi="Arial"/>
          <w:color w:val="2C3E50"/>
          <w:sz w:val="20"/>
          <w:szCs w:val="20"/>
        </w:rPr>
        <w:t xml:space="preserve">Berdasarkan analisis struktur biaya dan ekosistem e-wallet yang telah diuraikan, berikut adalah panduan praktis yang dapat diterapkan konsumen untuk mengoptimalkan penggunaan e-wallet dan meminimalkan biaya yang tidak perlu.</w:t>
      </w:r>
    </w:p>
    <w:p>
      <w:pPr>
        <w:pStyle w:val="Heading2"/>
        <w:spacing w:after="80" w:before="300"/>
      </w:pPr>
      <w:r>
        <w:rPr>
          <w:rFonts w:ascii="Arial" w:cs="Arial" w:eastAsia="Arial" w:hAnsi="Arial"/>
          <w:b/>
          <w:bCs/>
          <w:color w:val="1B3A6B"/>
          <w:sz w:val="24"/>
          <w:szCs w:val="24"/>
        </w:rPr>
        <w:t xml:space="preserve">14.1 Strategi Jangka Pendek — Dapat Diterapkan Segera</w:t>
      </w:r>
    </w:p>
    <w:p>
      <w:pPr>
        <w:pStyle w:val="ListParagraph"/>
        <w:numPr>
          <w:ilvl w:val="0"/>
          <w:numId w:val="3"/>
        </w:numPr>
        <w:spacing w:after="60" w:before="60"/>
      </w:pPr>
      <w:r>
        <w:rPr>
          <w:rFonts w:ascii="Arial" w:cs="Arial" w:eastAsia="Arial" w:hAnsi="Arial"/>
          <w:color w:val="2C3E50"/>
          <w:sz w:val="20"/>
          <w:szCs w:val="20"/>
        </w:rPr>
        <w:t xml:space="preserve">Identifikasi bank partner e-wallet Anda: Cek di aplikasi e-wallet, bagian 'Top Up' atau 'Isi Saldo' — bank partner biasanya tertera dengan label 'Gratis' atau tanpa biaya. Buka rekening di bank partner tersebut untuk mendapatkan top-up gratis.</w:t>
      </w:r>
    </w:p>
    <w:p>
      <w:pPr>
        <w:pStyle w:val="ListParagraph"/>
        <w:numPr>
          <w:ilvl w:val="0"/>
          <w:numId w:val="3"/>
        </w:numPr>
        <w:spacing w:after="60" w:before="60"/>
      </w:pPr>
      <w:r>
        <w:rPr>
          <w:rFonts w:ascii="Arial" w:cs="Arial" w:eastAsia="Arial" w:hAnsi="Arial"/>
          <w:color w:val="2C3E50"/>
          <w:sz w:val="20"/>
          <w:szCs w:val="20"/>
        </w:rPr>
        <w:t xml:space="preserve">Gunakan BI-FAST untuk transfer antar bank: Banyak mobile banking sekarang menawarkan transfer via BI-FAST dengan biaya jauh lebih rendah dibanding transfer konvensional. Bandingkan opsi transfer sebelum eksekusi.</w:t>
      </w:r>
    </w:p>
    <w:p>
      <w:pPr>
        <w:pStyle w:val="ListParagraph"/>
        <w:numPr>
          <w:ilvl w:val="0"/>
          <w:numId w:val="3"/>
        </w:numPr>
        <w:spacing w:after="60" w:before="60"/>
      </w:pPr>
      <w:r>
        <w:rPr>
          <w:rFonts w:ascii="Arial" w:cs="Arial" w:eastAsia="Arial" w:hAnsi="Arial"/>
          <w:color w:val="2C3E50"/>
          <w:sz w:val="20"/>
          <w:szCs w:val="20"/>
        </w:rPr>
        <w:t xml:space="preserve">Bayar langsung dari mobile banking via QRIS: Jika mobile banking Anda mendukung scan QRIS langsung, gunakan ini untuk menghindari biaya top-up e-wallet — dana langsung dari rekening ke merchant.</w:t>
      </w:r>
    </w:p>
    <w:p>
      <w:pPr>
        <w:pStyle w:val="ListParagraph"/>
        <w:numPr>
          <w:ilvl w:val="0"/>
          <w:numId w:val="3"/>
        </w:numPr>
        <w:spacing w:after="60" w:before="60"/>
      </w:pPr>
      <w:r>
        <w:rPr>
          <w:rFonts w:ascii="Arial" w:cs="Arial" w:eastAsia="Arial" w:hAnsi="Arial"/>
          <w:color w:val="2C3E50"/>
          <w:sz w:val="20"/>
          <w:szCs w:val="20"/>
        </w:rPr>
        <w:t xml:space="preserve">Minimalisasi penarikan saldo ke bank: Jika saldo ada di e-wallet, habiskan di sana. Setiap transfer ke bank kena Rp 2.500 — rencanakan pengeluaran agar tidak perlu sering menarik saldo.</w:t>
      </w:r>
    </w:p>
    <w:p>
      <w:pPr>
        <w:pStyle w:val="ListParagraph"/>
        <w:numPr>
          <w:ilvl w:val="0"/>
          <w:numId w:val="3"/>
        </w:numPr>
        <w:spacing w:after="60" w:before="60"/>
      </w:pPr>
      <w:r>
        <w:rPr>
          <w:rFonts w:ascii="Arial" w:cs="Arial" w:eastAsia="Arial" w:hAnsi="Arial"/>
          <w:color w:val="2C3E50"/>
          <w:sz w:val="20"/>
          <w:szCs w:val="20"/>
        </w:rPr>
        <w:t xml:space="preserve">Kelola saldo dengan bijak: Jaga saldo e-wallet sesuai kebutuhan transaksi reguler — tidak terlalu besar (tidak produktif/tidak berbunga) dan tidak terlalu kecil (tidak sering top-up kena biaya).</w:t>
      </w:r>
    </w:p>
    <w:p>
      <w:pPr>
        <w:spacing w:after="60" w:before="0"/>
      </w:pPr>
      <w:r>
        <w:t xml:space="preserve"/>
      </w:r>
    </w:p>
    <w:p>
      <w:pPr>
        <w:pStyle w:val="Heading2"/>
        <w:spacing w:after="80" w:before="300"/>
      </w:pPr>
      <w:r>
        <w:rPr>
          <w:rFonts w:ascii="Arial" w:cs="Arial" w:eastAsia="Arial" w:hAnsi="Arial"/>
          <w:b/>
          <w:bCs/>
          <w:color w:val="1B3A6B"/>
          <w:sz w:val="24"/>
          <w:szCs w:val="24"/>
        </w:rPr>
        <w:t xml:space="preserve">14.2 Strategi Jangka Menengah</w:t>
      </w:r>
    </w:p>
    <w:p>
      <w:pPr>
        <w:pStyle w:val="ListParagraph"/>
        <w:numPr>
          <w:ilvl w:val="0"/>
          <w:numId w:val="3"/>
        </w:numPr>
        <w:spacing w:after="60" w:before="60"/>
      </w:pPr>
      <w:r>
        <w:rPr>
          <w:rFonts w:ascii="Arial" w:cs="Arial" w:eastAsia="Arial" w:hAnsi="Arial"/>
          <w:color w:val="2C3E50"/>
          <w:sz w:val="20"/>
          <w:szCs w:val="20"/>
        </w:rPr>
        <w:t xml:space="preserve">Konsolidasikan penggunaan ke satu ekosistem: Memiliki lebih sedikit e-wallet aktif berarti lebih sedikit biaya transfer antar platform. Pilih satu ekosistem utama yang paling sesuai kebutuhan.</w:t>
      </w:r>
    </w:p>
    <w:p>
      <w:pPr>
        <w:pStyle w:val="ListParagraph"/>
        <w:numPr>
          <w:ilvl w:val="0"/>
          <w:numId w:val="3"/>
        </w:numPr>
        <w:spacing w:after="60" w:before="60"/>
      </w:pPr>
      <w:r>
        <w:rPr>
          <w:rFonts w:ascii="Arial" w:cs="Arial" w:eastAsia="Arial" w:hAnsi="Arial"/>
          <w:color w:val="2C3E50"/>
          <w:sz w:val="20"/>
          <w:szCs w:val="20"/>
        </w:rPr>
        <w:t xml:space="preserve">Audit biaya e-wallet tahunan: Minimal setahun sekali, periksa mutasi rekening/e-wallet untuk menghitung total biaya admin yang telah dibayarkan. Ini membantu keputusan apakah perlu berganti platform atau strategi.</w:t>
      </w:r>
    </w:p>
    <w:p>
      <w:pPr>
        <w:pStyle w:val="ListParagraph"/>
        <w:numPr>
          <w:ilvl w:val="0"/>
          <w:numId w:val="3"/>
        </w:numPr>
        <w:spacing w:after="60" w:before="60"/>
      </w:pPr>
      <w:r>
        <w:rPr>
          <w:rFonts w:ascii="Arial" w:cs="Arial" w:eastAsia="Arial" w:hAnsi="Arial"/>
          <w:color w:val="2C3E50"/>
          <w:sz w:val="20"/>
          <w:szCs w:val="20"/>
        </w:rPr>
        <w:t xml:space="preserve">Manfaatkan program loyalitas secara optimal: Cashback dan poin yang ditawarkan platform dapat mengimbangi biaya transaksi jika digunakan strategis. Pahami syarat dan ketentuan program loyalitas.</w:t>
      </w:r>
    </w:p>
    <w:p>
      <w:pPr>
        <w:pStyle w:val="ListParagraph"/>
        <w:numPr>
          <w:ilvl w:val="0"/>
          <w:numId w:val="3"/>
        </w:numPr>
        <w:spacing w:after="60" w:before="60"/>
      </w:pPr>
      <w:r>
        <w:rPr>
          <w:rFonts w:ascii="Arial" w:cs="Arial" w:eastAsia="Arial" w:hAnsi="Arial"/>
          <w:color w:val="2C3E50"/>
          <w:sz w:val="20"/>
          <w:szCs w:val="20"/>
        </w:rPr>
        <w:t xml:space="preserve">Evaluasi kebutuhan Paylater: Hitung bunga efektif Paylater yang Anda gunakan dan bandingkan dengan alternatif lain. Paylater sebaiknya digunakan hanya untuk kebutuhan mendesak dengan kemampuan pelunasan yang terencana.</w:t>
      </w:r>
    </w:p>
    <w:p>
      <w:pPr>
        <w:spacing w:after="60" w:before="0"/>
      </w:pPr>
      <w:r>
        <w:t xml:space="preserve"/>
      </w:r>
    </w:p>
    <w:p>
      <w:pPr>
        <w:pStyle w:val="Heading2"/>
        <w:spacing w:after="80" w:before="300"/>
      </w:pPr>
      <w:r>
        <w:rPr>
          <w:rFonts w:ascii="Arial" w:cs="Arial" w:eastAsia="Arial" w:hAnsi="Arial"/>
          <w:b/>
          <w:bCs/>
          <w:color w:val="1B3A6B"/>
          <w:sz w:val="24"/>
          <w:szCs w:val="24"/>
        </w:rPr>
        <w:t xml:space="preserve">14.3 Perbandingan Biaya — Metode Pembayaran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400"/>
        <w:gridCol w:w="1760"/>
      </w:tblGrid>
      <w:tr>
        <w:tc>
          <w:tcPr>
            <w:tcW w:type="dxa" w:w="24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Metode Pembayaran</w:t>
            </w:r>
          </w:p>
        </w:tc>
        <w:tc>
          <w:tcPr>
            <w:tcW w:type="dxa" w:w="1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Biaya ke Konsumen</w:t>
            </w:r>
          </w:p>
        </w:tc>
        <w:tc>
          <w:tcPr>
            <w:tcW w:type="dxa" w:w="20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Biaya ke Merchant</w:t>
            </w:r>
          </w:p>
        </w:tc>
        <w:tc>
          <w:tcPr>
            <w:tcW w:type="dxa" w:w="14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Kemudahan</w:t>
            </w:r>
          </w:p>
        </w:tc>
        <w:tc>
          <w:tcPr>
            <w:tcW w:type="dxa" w:w="17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Rekomendasi Skenario</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Tunai (cash)</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0</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0</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Sedang</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Nilai kecil, warung tradisional</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Transfer bank langsung (BI-FAST)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2.500</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0</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Tinggi</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Transfer ke individu/bisnis</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QRIS dari e-wallet (saldo)</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0 saat bayar (sudah kena fee top-up)</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0,3-0,7% MDR</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Sangat Tinggi</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Pembayaran merchant QRIS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QRIS dari mobile banking langsung</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0 (tanpa top-up)</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0,3-0,7% MDR</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Tinggi</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Optimal — bypass e-wallet</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Kartu debit/ATM</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Rp 0-2.000 per transaksi</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0,1-0,2% MDR</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Sedang</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Pembelian ritel besar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Kartu kredit bank</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Rp 0 (ada cicilan/bunga)</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1,5-3% MDR</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Tinggi</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Pembelian besar, ada promo</w:t>
            </w:r>
          </w:p>
        </w:tc>
      </w:tr>
    </w:tbl>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15. Rekomendasi Kebijakan</w:t>
      </w:r>
    </w:p>
    <w:p>
      <w:pPr>
        <w:spacing w:after="90" w:before="60"/>
      </w:pPr>
      <w:r>
        <w:rPr>
          <w:rFonts w:ascii="Arial" w:cs="Arial" w:eastAsia="Arial" w:hAnsi="Arial"/>
          <w:color w:val="2C3E50"/>
          <w:sz w:val="20"/>
          <w:szCs w:val="20"/>
        </w:rPr>
        <w:t xml:space="preserve">Berdasarkan analisis komprehensif yang telah dilakukan, berikut adalah rekomendasi kebijakan yang dapat dipertimbangkan oleh regulator, pemerintah, dan industri untuk meningkatkan ekosistem pembayaran digital yang lebih adil dan efisien bagi seluruh pemangku kepentingan.</w:t>
      </w:r>
    </w:p>
    <w:p>
      <w:pPr>
        <w:pStyle w:val="Heading2"/>
        <w:spacing w:after="80" w:before="300"/>
      </w:pPr>
      <w:r>
        <w:rPr>
          <w:rFonts w:ascii="Arial" w:cs="Arial" w:eastAsia="Arial" w:hAnsi="Arial"/>
          <w:b/>
          <w:bCs/>
          <w:color w:val="1B3A6B"/>
          <w:sz w:val="24"/>
          <w:szCs w:val="24"/>
        </w:rPr>
        <w:t xml:space="preserve">15.1 Untuk Bank Indonesia</w:t>
      </w:r>
    </w:p>
    <w:p>
      <w:pPr>
        <w:pStyle w:val="ListParagraph"/>
        <w:numPr>
          <w:ilvl w:val="0"/>
          <w:numId w:val="3"/>
        </w:numPr>
        <w:spacing w:after="60" w:before="60"/>
      </w:pPr>
      <w:r>
        <w:rPr>
          <w:rFonts w:ascii="Arial" w:cs="Arial" w:eastAsia="Arial" w:hAnsi="Arial"/>
          <w:color w:val="2C3E50"/>
          <w:sz w:val="20"/>
          <w:szCs w:val="20"/>
        </w:rPr>
        <w:t xml:space="preserve">Penguatan mandatori transparansi biaya: Terapkan standar tampilan biaya yang seragam dan terstandarisasi di semua platform — termasuk biaya yang dinyatakan dalam persentase tahunan (Annual Percentage Rate) untuk produk kredit digital.</w:t>
      </w:r>
    </w:p>
    <w:p>
      <w:pPr>
        <w:pStyle w:val="ListParagraph"/>
        <w:numPr>
          <w:ilvl w:val="0"/>
          <w:numId w:val="3"/>
        </w:numPr>
        <w:spacing w:after="60" w:before="60"/>
      </w:pPr>
      <w:r>
        <w:rPr>
          <w:rFonts w:ascii="Arial" w:cs="Arial" w:eastAsia="Arial" w:hAnsi="Arial"/>
          <w:color w:val="2C3E50"/>
          <w:sz w:val="20"/>
          <w:szCs w:val="20"/>
        </w:rPr>
        <w:t xml:space="preserve">Percepatan interoperabilitas penuh: Dorong implementasi interoperabilitas yang lebih sempurna sehingga pengguna dapat dengan mudah berpindah antara e-wallet tanpa kehilangan manfaat ekosistem.</w:t>
      </w:r>
    </w:p>
    <w:p>
      <w:pPr>
        <w:pStyle w:val="ListParagraph"/>
        <w:numPr>
          <w:ilvl w:val="0"/>
          <w:numId w:val="3"/>
        </w:numPr>
        <w:spacing w:after="60" w:before="60"/>
      </w:pPr>
      <w:r>
        <w:rPr>
          <w:rFonts w:ascii="Arial" w:cs="Arial" w:eastAsia="Arial" w:hAnsi="Arial"/>
          <w:color w:val="2C3E50"/>
          <w:sz w:val="20"/>
          <w:szCs w:val="20"/>
        </w:rPr>
        <w:t xml:space="preserve">Kajian batas biaya transaksi: Pertimbangkan penetapan batas atas (cap) biaya transfer e-wallet ke bank, terutama mengingat biaya riil infrastruktur BI-FAST yang sudah sangat rendah.</w:t>
      </w:r>
    </w:p>
    <w:p>
      <w:pPr>
        <w:pStyle w:val="ListParagraph"/>
        <w:numPr>
          <w:ilvl w:val="0"/>
          <w:numId w:val="3"/>
        </w:numPr>
        <w:spacing w:after="60" w:before="60"/>
      </w:pPr>
      <w:r>
        <w:rPr>
          <w:rFonts w:ascii="Arial" w:cs="Arial" w:eastAsia="Arial" w:hAnsi="Arial"/>
          <w:color w:val="2C3E50"/>
          <w:sz w:val="20"/>
          <w:szCs w:val="20"/>
        </w:rPr>
        <w:t xml:space="preserve">Edukasi keuangan digital massal: Perkuat program edukasi keuangan digital yang khusus membahas struktur biaya, hak konsumen, dan penggunaan e-wallet secara cerdas.</w:t>
      </w:r>
    </w:p>
    <w:p>
      <w:pPr>
        <w:spacing w:after="60" w:before="0"/>
      </w:pPr>
      <w:r>
        <w:t xml:space="preserve"/>
      </w:r>
    </w:p>
    <w:p>
      <w:pPr>
        <w:pStyle w:val="Heading2"/>
        <w:spacing w:after="80" w:before="300"/>
      </w:pPr>
      <w:r>
        <w:rPr>
          <w:rFonts w:ascii="Arial" w:cs="Arial" w:eastAsia="Arial" w:hAnsi="Arial"/>
          <w:b/>
          <w:bCs/>
          <w:color w:val="1B3A6B"/>
          <w:sz w:val="24"/>
          <w:szCs w:val="24"/>
        </w:rPr>
        <w:t xml:space="preserve">15.2 Untuk OJK</w:t>
      </w:r>
    </w:p>
    <w:p>
      <w:pPr>
        <w:pStyle w:val="ListParagraph"/>
        <w:numPr>
          <w:ilvl w:val="0"/>
          <w:numId w:val="3"/>
        </w:numPr>
        <w:spacing w:after="60" w:before="60"/>
      </w:pPr>
      <w:r>
        <w:rPr>
          <w:rFonts w:ascii="Arial" w:cs="Arial" w:eastAsia="Arial" w:hAnsi="Arial"/>
          <w:color w:val="2C3E50"/>
          <w:sz w:val="20"/>
          <w:szCs w:val="20"/>
        </w:rPr>
        <w:t xml:space="preserve">Pengawasan ketat Paylater: Standardisasi cara presentasi APR (Annual Percentage Rate) produk Paylater agar konsumen dapat membandingkan dengan mudah antar platform.</w:t>
      </w:r>
    </w:p>
    <w:p>
      <w:pPr>
        <w:pStyle w:val="ListParagraph"/>
        <w:numPr>
          <w:ilvl w:val="0"/>
          <w:numId w:val="3"/>
        </w:numPr>
        <w:spacing w:after="60" w:before="60"/>
      </w:pPr>
      <w:r>
        <w:rPr>
          <w:rFonts w:ascii="Arial" w:cs="Arial" w:eastAsia="Arial" w:hAnsi="Arial"/>
          <w:color w:val="2C3E50"/>
          <w:sz w:val="20"/>
          <w:szCs w:val="20"/>
        </w:rPr>
        <w:t xml:space="preserve">Perlindungan data konsumen: Perkuat regulasi tentang penggunaan data transaksi pengguna — batasi monetisasi data tanpa persetujuan eksplisit yang dipahami pengguna.</w:t>
      </w:r>
    </w:p>
    <w:p>
      <w:pPr>
        <w:pStyle w:val="ListParagraph"/>
        <w:numPr>
          <w:ilvl w:val="0"/>
          <w:numId w:val="3"/>
        </w:numPr>
        <w:spacing w:after="60" w:before="60"/>
      </w:pPr>
      <w:r>
        <w:rPr>
          <w:rFonts w:ascii="Arial" w:cs="Arial" w:eastAsia="Arial" w:hAnsi="Arial"/>
          <w:color w:val="2C3E50"/>
          <w:sz w:val="20"/>
          <w:szCs w:val="20"/>
        </w:rPr>
        <w:t xml:space="preserve">Mekanisme pengaduan yang lebih responsif: Tetapkan standar waktu respons pengaduan yang lebih ketat dan sistem pelacakan status pengaduan yang transparan bagi pelapor.</w:t>
      </w:r>
    </w:p>
    <w:p>
      <w:pPr>
        <w:spacing w:after="60" w:before="0"/>
      </w:pPr>
      <w:r>
        <w:t xml:space="preserve"/>
      </w:r>
    </w:p>
    <w:p>
      <w:pPr>
        <w:pStyle w:val="Heading2"/>
        <w:spacing w:after="80" w:before="300"/>
      </w:pPr>
      <w:r>
        <w:rPr>
          <w:rFonts w:ascii="Arial" w:cs="Arial" w:eastAsia="Arial" w:hAnsi="Arial"/>
          <w:b/>
          <w:bCs/>
          <w:color w:val="1B3A6B"/>
          <w:sz w:val="24"/>
          <w:szCs w:val="24"/>
        </w:rPr>
        <w:t xml:space="preserve">15.3 Untuk Platform E-Wallet</w:t>
      </w:r>
    </w:p>
    <w:p>
      <w:pPr>
        <w:pStyle w:val="ListParagraph"/>
        <w:numPr>
          <w:ilvl w:val="0"/>
          <w:numId w:val="3"/>
        </w:numPr>
        <w:spacing w:after="60" w:before="60"/>
      </w:pPr>
      <w:r>
        <w:rPr>
          <w:rFonts w:ascii="Arial" w:cs="Arial" w:eastAsia="Arial" w:hAnsi="Arial"/>
          <w:color w:val="2C3E50"/>
          <w:sz w:val="20"/>
          <w:szCs w:val="20"/>
        </w:rPr>
        <w:t xml:space="preserve">Proaktif dalam transparansi: Tampilkan total biaya kumulatif yang telah dibayarkan pengguna dalam fitur riwayat atau ringkasan tahunan — ini membangun kepercayaan jangka panjang.</w:t>
      </w:r>
    </w:p>
    <w:p>
      <w:pPr>
        <w:pStyle w:val="ListParagraph"/>
        <w:numPr>
          <w:ilvl w:val="0"/>
          <w:numId w:val="3"/>
        </w:numPr>
        <w:spacing w:after="60" w:before="60"/>
      </w:pPr>
      <w:r>
        <w:rPr>
          <w:rFonts w:ascii="Arial" w:cs="Arial" w:eastAsia="Arial" w:hAnsi="Arial"/>
          <w:color w:val="2C3E50"/>
          <w:sz w:val="20"/>
          <w:szCs w:val="20"/>
        </w:rPr>
        <w:t xml:space="preserve">Sederhanakan struktur biaya: Struktur biaya yang terlalu kompleks menciptakan kebingungan dan potensi pelanggaran regulasi tanpa sengaja. Penyederhanaan menguntungkan semua pihak.</w:t>
      </w:r>
    </w:p>
    <w:p>
      <w:pPr>
        <w:pStyle w:val="ListParagraph"/>
        <w:numPr>
          <w:ilvl w:val="0"/>
          <w:numId w:val="3"/>
        </w:numPr>
        <w:spacing w:after="60" w:before="60"/>
      </w:pPr>
      <w:r>
        <w:rPr>
          <w:rFonts w:ascii="Arial" w:cs="Arial" w:eastAsia="Arial" w:hAnsi="Arial"/>
          <w:color w:val="2C3E50"/>
          <w:sz w:val="20"/>
          <w:szCs w:val="20"/>
        </w:rPr>
        <w:t xml:space="preserve">Edukasi pengguna aktif: Investasikan dalam konten edukatif yang membantu pengguna memahami cara menggunakan layanan secara optimal — termasuk cara meminimalkan biaya.</w:t>
      </w:r>
    </w:p>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16. Kesimpulan</w:t>
      </w:r>
    </w:p>
    <w:p>
      <w:pPr>
        <w:spacing w:after="90" w:before="60"/>
      </w:pPr>
      <w:r>
        <w:rPr>
          <w:rFonts w:ascii="Arial" w:cs="Arial" w:eastAsia="Arial" w:hAnsi="Arial"/>
          <w:color w:val="2C3E50"/>
          <w:sz w:val="20"/>
          <w:szCs w:val="20"/>
        </w:rPr>
        <w:t xml:space="preserve">Industri e-wallet Indonesia telah mencapai kematangan yang signifikan dalam waktu kurang dari satu dekade. Dari platform yang sepenuhnya disubsidi untuk membangun kebiasaan digital, kini menjadi entitas bisnis yang mengoperasikan revenue stream yang kompleks dan beragam.</w:t>
      </w:r>
    </w:p>
    <w:p>
      <w:pPr>
        <w:spacing w:after="90" w:before="60"/>
      </w:pPr>
      <w:r>
        <w:rPr>
          <w:rFonts w:ascii="Arial" w:cs="Arial" w:eastAsia="Arial" w:hAnsi="Arial"/>
          <w:color w:val="2C3E50"/>
          <w:sz w:val="20"/>
          <w:szCs w:val="20"/>
        </w:rPr>
        <w:t xml:space="preserve">Biaya transaksi yang dikenakan kepada pengguna — meskipun terlihat kecil secara individual — membentuk kontribusi pendapatan yang sangat signifikan ketika dihitung pada skala puluhan juta pengguna aktif. Kombinasi biaya top-up, transfer, pembayaran tagihan, dan MDR dari merchant menciptakan ekosistem monetisasi yang menguntungkan platform namun seringkali tidak sepenuhnya dipahami oleh konsumen.</w:t>
      </w:r>
    </w:p>
    <w:p>
      <w:pPr>
        <w:spacing w:after="90" w:before="60"/>
      </w:pPr>
      <w:r>
        <w:rPr>
          <w:rFonts w:ascii="Arial" w:cs="Arial" w:eastAsia="Arial" w:hAnsi="Arial"/>
          <w:color w:val="2C3E50"/>
          <w:sz w:val="20"/>
          <w:szCs w:val="20"/>
        </w:rPr>
        <w:t xml:space="preserve">Namun penting untuk menekankan: penggunaan e-wallet, jika dilakukan secara cerdas, tetap memberikan nilai nyata kepada konsumen melalui kemudahan, keamanan, dan berbagai cashback/promo yang masih ditawarkan. Kunci adalah kesadaran — pemahaman yang baik tentang struktur biaya memungkinkan konsumen membuat keputusan yang lebih informed dan mengoptimalkan penggunaan layanan.</w:t>
      </w:r>
    </w:p>
    <w:p>
      <w:pPr>
        <w:spacing w:after="90" w:before="60"/>
      </w:pPr>
      <w:r>
        <w:rPr>
          <w:rFonts w:ascii="Arial" w:cs="Arial" w:eastAsia="Arial" w:hAnsi="Arial"/>
          <w:color w:val="2C3E50"/>
          <w:sz w:val="20"/>
          <w:szCs w:val="20"/>
        </w:rPr>
        <w:t xml:space="preserve">Regulasi Bank Indonesia dan OJK yang sudah ada memberikan fondasi perlindungan konsumen yang cukup komprehensif. Yang dibutuhkan adalah peningkatan implementasi, penegakan yang lebih konsisten, dan — yang paling penting — tingkat literasi keuangan digital masyarakat yang lebih tinggi.</w:t>
      </w:r>
    </w:p>
    <w:p>
      <w:pPr>
        <w:spacing w:after="60" w:before="0"/>
      </w:pPr>
      <w:r>
        <w:t xml:space="preserve"/>
      </w:r>
    </w:p>
    <w:p>
      <w:pPr>
        <w:pStyle w:val="Heading2"/>
        <w:spacing w:after="80" w:before="300"/>
      </w:pPr>
      <w:r>
        <w:rPr>
          <w:rFonts w:ascii="Arial" w:cs="Arial" w:eastAsia="Arial" w:hAnsi="Arial"/>
          <w:b/>
          <w:bCs/>
          <w:color w:val="1B3A6B"/>
          <w:sz w:val="24"/>
          <w:szCs w:val="24"/>
        </w:rPr>
        <w:t xml:space="preserve">16.1 Ringkasan Poin-Poin Kunci</w:t>
      </w:r>
    </w:p>
    <w:p>
      <w:pPr>
        <w:pStyle w:val="ListParagraph"/>
        <w:numPr>
          <w:ilvl w:val="0"/>
          <w:numId w:val="2"/>
        </w:numPr>
        <w:spacing w:after="40" w:before="40"/>
      </w:pPr>
      <w:r>
        <w:rPr>
          <w:rFonts w:ascii="Arial" w:cs="Arial" w:eastAsia="Arial" w:hAnsi="Arial"/>
          <w:color w:val="2C3E50"/>
          <w:sz w:val="20"/>
          <w:szCs w:val="20"/>
        </w:rPr>
        <w:t xml:space="preserve">Struktur biaya e-wallet mencakup 8 komponen utama</w:t>
      </w:r>
      <w:r>
        <w:rPr>
          <w:rFonts w:ascii="Arial" w:cs="Arial" w:eastAsia="Arial" w:hAnsi="Arial"/>
          <w:color w:val="5D6D7E"/>
          <w:sz w:val="18"/>
          <w:szCs w:val="18"/>
        </w:rPr>
        <w:t xml:space="preserve"> — dari top-up, transfer, penarikan, hingga MDR merchant</w:t>
      </w:r>
    </w:p>
    <w:p>
      <w:pPr>
        <w:pStyle w:val="ListParagraph"/>
        <w:numPr>
          <w:ilvl w:val="0"/>
          <w:numId w:val="2"/>
        </w:numPr>
        <w:spacing w:after="40" w:before="40"/>
      </w:pPr>
      <w:r>
        <w:rPr>
          <w:rFonts w:ascii="Arial" w:cs="Arial" w:eastAsia="Arial" w:hAnsi="Arial"/>
          <w:color w:val="2C3E50"/>
          <w:sz w:val="20"/>
          <w:szCs w:val="20"/>
        </w:rPr>
        <w:t xml:space="preserve">Total biaya tahunan seorang pengguna aktif</w:t>
      </w:r>
      <w:r>
        <w:rPr>
          <w:rFonts w:ascii="Arial" w:cs="Arial" w:eastAsia="Arial" w:hAnsi="Arial"/>
          <w:color w:val="5D6D7E"/>
          <w:sz w:val="18"/>
          <w:szCs w:val="18"/>
        </w:rPr>
        <w:t xml:space="preserve"> — dapat mencapai Rp 300.000-500.000+ berdasarkan frekuensi transaksi</w:t>
      </w:r>
    </w:p>
    <w:p>
      <w:pPr>
        <w:pStyle w:val="ListParagraph"/>
        <w:numPr>
          <w:ilvl w:val="0"/>
          <w:numId w:val="2"/>
        </w:numPr>
        <w:spacing w:after="40" w:before="40"/>
      </w:pPr>
      <w:r>
        <w:rPr>
          <w:rFonts w:ascii="Arial" w:cs="Arial" w:eastAsia="Arial" w:hAnsi="Arial"/>
          <w:color w:val="2C3E50"/>
          <w:sz w:val="20"/>
          <w:szCs w:val="20"/>
        </w:rPr>
        <w:t xml:space="preserve">Float income dan Paylater</w:t>
      </w:r>
      <w:r>
        <w:rPr>
          <w:rFonts w:ascii="Arial" w:cs="Arial" w:eastAsia="Arial" w:hAnsi="Arial"/>
          <w:color w:val="5D6D7E"/>
          <w:sz w:val="18"/>
          <w:szCs w:val="18"/>
        </w:rPr>
        <w:t xml:space="preserve"> — merupakan sumber pendapatan e-wallet yang sering tidak disadari konsumen</w:t>
      </w:r>
    </w:p>
    <w:p>
      <w:pPr>
        <w:pStyle w:val="ListParagraph"/>
        <w:numPr>
          <w:ilvl w:val="0"/>
          <w:numId w:val="2"/>
        </w:numPr>
        <w:spacing w:after="40" w:before="40"/>
      </w:pPr>
      <w:r>
        <w:rPr>
          <w:rFonts w:ascii="Arial" w:cs="Arial" w:eastAsia="Arial" w:hAnsi="Arial"/>
          <w:color w:val="2C3E50"/>
          <w:sz w:val="20"/>
          <w:szCs w:val="20"/>
        </w:rPr>
        <w:t xml:space="preserve">MDR QRIS 0,3-0,7% dibayar merchant</w:t>
      </w:r>
      <w:r>
        <w:rPr>
          <w:rFonts w:ascii="Arial" w:cs="Arial" w:eastAsia="Arial" w:hAnsi="Arial"/>
          <w:color w:val="5D6D7E"/>
          <w:sz w:val="18"/>
          <w:szCs w:val="18"/>
        </w:rPr>
        <w:t xml:space="preserve"> — berpotensi dibebankan kembali ke konsumen melalui harga jual</w:t>
      </w:r>
    </w:p>
    <w:p>
      <w:pPr>
        <w:pStyle w:val="ListParagraph"/>
        <w:numPr>
          <w:ilvl w:val="0"/>
          <w:numId w:val="2"/>
        </w:numPr>
        <w:spacing w:after="40" w:before="40"/>
      </w:pPr>
      <w:r>
        <w:rPr>
          <w:rFonts w:ascii="Arial" w:cs="Arial" w:eastAsia="Arial" w:hAnsi="Arial"/>
          <w:color w:val="2C3E50"/>
          <w:sz w:val="20"/>
          <w:szCs w:val="20"/>
        </w:rPr>
        <w:t xml:space="preserve">Strategi top-up dari bank partner</w:t>
      </w:r>
      <w:r>
        <w:rPr>
          <w:rFonts w:ascii="Arial" w:cs="Arial" w:eastAsia="Arial" w:hAnsi="Arial"/>
          <w:color w:val="5D6D7E"/>
          <w:sz w:val="18"/>
          <w:szCs w:val="18"/>
        </w:rPr>
        <w:t xml:space="preserve"> — adalah cara termudah menghilangkan biaya top-up</w:t>
      </w:r>
    </w:p>
    <w:p>
      <w:pPr>
        <w:pStyle w:val="ListParagraph"/>
        <w:numPr>
          <w:ilvl w:val="0"/>
          <w:numId w:val="2"/>
        </w:numPr>
        <w:spacing w:after="40" w:before="40"/>
      </w:pPr>
      <w:r>
        <w:rPr>
          <w:rFonts w:ascii="Arial" w:cs="Arial" w:eastAsia="Arial" w:hAnsi="Arial"/>
          <w:color w:val="2C3E50"/>
          <w:sz w:val="20"/>
          <w:szCs w:val="20"/>
        </w:rPr>
        <w:t xml:space="preserve">PBI No. 23/6/PBI/2021</w:t>
      </w:r>
      <w:r>
        <w:rPr>
          <w:rFonts w:ascii="Arial" w:cs="Arial" w:eastAsia="Arial" w:hAnsi="Arial"/>
          <w:color w:val="5D6D7E"/>
          <w:sz w:val="18"/>
          <w:szCs w:val="18"/>
        </w:rPr>
        <w:t xml:space="preserve"> — mewajibkan transparansi biaya penuh sebelum konfirmasi transaksi</w:t>
      </w:r>
    </w:p>
    <w:p>
      <w:pPr>
        <w:pStyle w:val="ListParagraph"/>
        <w:numPr>
          <w:ilvl w:val="0"/>
          <w:numId w:val="2"/>
        </w:numPr>
        <w:spacing w:after="40" w:before="40"/>
      </w:pPr>
      <w:r>
        <w:rPr>
          <w:rFonts w:ascii="Arial" w:cs="Arial" w:eastAsia="Arial" w:hAnsi="Arial"/>
          <w:color w:val="2C3E50"/>
          <w:sz w:val="20"/>
          <w:szCs w:val="20"/>
        </w:rPr>
        <w:t xml:space="preserve">Bank Indonesia (131) dan OJK (157)</w:t>
      </w:r>
      <w:r>
        <w:rPr>
          <w:rFonts w:ascii="Arial" w:cs="Arial" w:eastAsia="Arial" w:hAnsi="Arial"/>
          <w:color w:val="5D6D7E"/>
          <w:sz w:val="18"/>
          <w:szCs w:val="18"/>
        </w:rPr>
        <w:t xml:space="preserve"> — adalah saluran pengaduan resmi jika ada pelanggaran transparansi</w:t>
      </w:r>
    </w:p>
    <w:p>
      <w:pPr>
        <w:pStyle w:val="ListParagraph"/>
        <w:numPr>
          <w:ilvl w:val="0"/>
          <w:numId w:val="2"/>
        </w:numPr>
        <w:spacing w:after="40" w:before="40"/>
      </w:pPr>
      <w:r>
        <w:rPr>
          <w:rFonts w:ascii="Arial" w:cs="Arial" w:eastAsia="Arial" w:hAnsi="Arial"/>
          <w:color w:val="2C3E50"/>
          <w:sz w:val="20"/>
          <w:szCs w:val="20"/>
        </w:rPr>
        <w:t xml:space="preserve">Scan QRIS dari mobile banking langsung</w:t>
      </w:r>
      <w:r>
        <w:rPr>
          <w:rFonts w:ascii="Arial" w:cs="Arial" w:eastAsia="Arial" w:hAnsi="Arial"/>
          <w:color w:val="5D6D7E"/>
          <w:sz w:val="18"/>
          <w:szCs w:val="18"/>
        </w:rPr>
        <w:t xml:space="preserve"> — adalah cara optimal menghindari biaya top-up e-wallet</w:t>
      </w:r>
    </w:p>
    <w:p>
      <w:pPr>
        <w:spacing w:after="60" w:before="0"/>
      </w:pPr>
      <w:r>
        <w:t xml:space="preserve"/>
      </w:r>
    </w:p>
    <w:p>
      <w:pPr>
        <w:pStyle w:val="Heading1"/>
        <w:pBdr>
          <w:bottom w:val="single" w:color="0E6655" w:sz="6" w:space="4"/>
        </w:pBdr>
        <w:spacing w:after="140" w:before="480"/>
      </w:pPr>
      <w:r>
        <w:rPr>
          <w:rFonts w:ascii="Arial" w:cs="Arial" w:eastAsia="Arial" w:hAnsi="Arial"/>
          <w:b/>
          <w:bCs/>
          <w:color w:val="1B3A6B"/>
          <w:sz w:val="30"/>
          <w:szCs w:val="30"/>
        </w:rPr>
        <w:t xml:space="preserve">17. Referensi &amp; Dasar Hukum</w:t>
      </w:r>
    </w:p>
    <w:p>
      <w:pPr>
        <w:pStyle w:val="Heading2"/>
        <w:spacing w:after="80" w:before="300"/>
      </w:pPr>
      <w:r>
        <w:rPr>
          <w:rFonts w:ascii="Arial" w:cs="Arial" w:eastAsia="Arial" w:hAnsi="Arial"/>
          <w:b/>
          <w:bCs/>
          <w:color w:val="1B3A6B"/>
          <w:sz w:val="24"/>
          <w:szCs w:val="24"/>
        </w:rPr>
        <w:t xml:space="preserve">17.1 Regulasi dan Peraturan</w:t>
      </w:r>
    </w:p>
    <w:p>
      <w:pPr>
        <w:pStyle w:val="ListParagraph"/>
        <w:numPr>
          <w:ilvl w:val="0"/>
          <w:numId w:val="2"/>
        </w:numPr>
        <w:spacing w:after="40" w:before="40"/>
      </w:pPr>
      <w:r>
        <w:rPr>
          <w:rFonts w:ascii="Arial" w:cs="Arial" w:eastAsia="Arial" w:hAnsi="Arial"/>
          <w:color w:val="2C3E50"/>
          <w:sz w:val="20"/>
          <w:szCs w:val="20"/>
        </w:rPr>
        <w:t xml:space="preserve">PBI No. 23/6/PBI/2021</w:t>
      </w:r>
      <w:r>
        <w:rPr>
          <w:rFonts w:ascii="Arial" w:cs="Arial" w:eastAsia="Arial" w:hAnsi="Arial"/>
          <w:color w:val="5D6D7E"/>
          <w:sz w:val="18"/>
          <w:szCs w:val="18"/>
        </w:rPr>
        <w:t xml:space="preserve"> — Peraturan Bank Indonesia tentang Penyedia Jasa Pembayaran — bi.go.id</w:t>
      </w:r>
    </w:p>
    <w:p>
      <w:pPr>
        <w:pStyle w:val="ListParagraph"/>
        <w:numPr>
          <w:ilvl w:val="0"/>
          <w:numId w:val="2"/>
        </w:numPr>
        <w:spacing w:after="40" w:before="40"/>
      </w:pPr>
      <w:r>
        <w:rPr>
          <w:rFonts w:ascii="Arial" w:cs="Arial" w:eastAsia="Arial" w:hAnsi="Arial"/>
          <w:color w:val="2C3E50"/>
          <w:sz w:val="20"/>
          <w:szCs w:val="20"/>
        </w:rPr>
        <w:t xml:space="preserve">PBI No. 22/23/PBI/2020</w:t>
      </w:r>
      <w:r>
        <w:rPr>
          <w:rFonts w:ascii="Arial" w:cs="Arial" w:eastAsia="Arial" w:hAnsi="Arial"/>
          <w:color w:val="5D6D7E"/>
          <w:sz w:val="18"/>
          <w:szCs w:val="18"/>
        </w:rPr>
        <w:t xml:space="preserve"> — Peraturan Bank Indonesia tentang Sistem Pembayaran — bi.go.id</w:t>
      </w:r>
    </w:p>
    <w:p>
      <w:pPr>
        <w:pStyle w:val="ListParagraph"/>
        <w:numPr>
          <w:ilvl w:val="0"/>
          <w:numId w:val="2"/>
        </w:numPr>
        <w:spacing w:after="40" w:before="40"/>
      </w:pPr>
      <w:r>
        <w:rPr>
          <w:rFonts w:ascii="Arial" w:cs="Arial" w:eastAsia="Arial" w:hAnsi="Arial"/>
          <w:color w:val="2C3E50"/>
          <w:sz w:val="20"/>
          <w:szCs w:val="20"/>
        </w:rPr>
        <w:t xml:space="preserve">PBI No. 20/6/PBI/2018</w:t>
      </w:r>
      <w:r>
        <w:rPr>
          <w:rFonts w:ascii="Arial" w:cs="Arial" w:eastAsia="Arial" w:hAnsi="Arial"/>
          <w:color w:val="5D6D7E"/>
          <w:sz w:val="18"/>
          <w:szCs w:val="18"/>
        </w:rPr>
        <w:t xml:space="preserve"> — Peraturan Bank Indonesia tentang Uang Elektronik — bi.go.id</w:t>
      </w:r>
    </w:p>
    <w:p>
      <w:pPr>
        <w:pStyle w:val="ListParagraph"/>
        <w:numPr>
          <w:ilvl w:val="0"/>
          <w:numId w:val="2"/>
        </w:numPr>
        <w:spacing w:after="40" w:before="40"/>
      </w:pPr>
      <w:r>
        <w:rPr>
          <w:rFonts w:ascii="Arial" w:cs="Arial" w:eastAsia="Arial" w:hAnsi="Arial"/>
          <w:color w:val="2C3E50"/>
          <w:sz w:val="20"/>
          <w:szCs w:val="20"/>
        </w:rPr>
        <w:t xml:space="preserve">SE BI No. 18/41/DKSP</w:t>
      </w:r>
      <w:r>
        <w:rPr>
          <w:rFonts w:ascii="Arial" w:cs="Arial" w:eastAsia="Arial" w:hAnsi="Arial"/>
          <w:color w:val="5D6D7E"/>
          <w:sz w:val="18"/>
          <w:szCs w:val="18"/>
        </w:rPr>
        <w:t xml:space="preserve"> — Surat Edaran BI tentang Penyelenggaraan Pemrosesan Transaksi Pembayaran</w:t>
      </w:r>
    </w:p>
    <w:p>
      <w:pPr>
        <w:pStyle w:val="ListParagraph"/>
        <w:numPr>
          <w:ilvl w:val="0"/>
          <w:numId w:val="2"/>
        </w:numPr>
        <w:spacing w:after="40" w:before="40"/>
      </w:pPr>
      <w:r>
        <w:rPr>
          <w:rFonts w:ascii="Arial" w:cs="Arial" w:eastAsia="Arial" w:hAnsi="Arial"/>
          <w:color w:val="2C3E50"/>
          <w:sz w:val="20"/>
          <w:szCs w:val="20"/>
        </w:rPr>
        <w:t xml:space="preserve">POJK No. 10/POJK.05/2022</w:t>
      </w:r>
      <w:r>
        <w:rPr>
          <w:rFonts w:ascii="Arial" w:cs="Arial" w:eastAsia="Arial" w:hAnsi="Arial"/>
          <w:color w:val="5D6D7E"/>
          <w:sz w:val="18"/>
          <w:szCs w:val="18"/>
        </w:rPr>
        <w:t xml:space="preserve"> — POJK tentang Layanan Pendanaan Bersama Berbasis Teknologi Informasi</w:t>
      </w:r>
    </w:p>
    <w:p>
      <w:pPr>
        <w:pStyle w:val="ListParagraph"/>
        <w:numPr>
          <w:ilvl w:val="0"/>
          <w:numId w:val="2"/>
        </w:numPr>
        <w:spacing w:after="40" w:before="40"/>
      </w:pPr>
      <w:r>
        <w:rPr>
          <w:rFonts w:ascii="Arial" w:cs="Arial" w:eastAsia="Arial" w:hAnsi="Arial"/>
          <w:color w:val="2C3E50"/>
          <w:sz w:val="20"/>
          <w:szCs w:val="20"/>
        </w:rPr>
        <w:t xml:space="preserve">POJK No. 77/POJK.01/2016</w:t>
      </w:r>
      <w:r>
        <w:rPr>
          <w:rFonts w:ascii="Arial" w:cs="Arial" w:eastAsia="Arial" w:hAnsi="Arial"/>
          <w:color w:val="5D6D7E"/>
          <w:sz w:val="18"/>
          <w:szCs w:val="18"/>
        </w:rPr>
        <w:t xml:space="preserve"> — POJK tentang Layanan Pinjam Meminjam Uang Berbasis Teknologi Informasi</w:t>
      </w:r>
    </w:p>
    <w:p>
      <w:pPr>
        <w:spacing w:after="60" w:before="0"/>
      </w:pPr>
      <w:r>
        <w:t xml:space="preserve"/>
      </w:r>
    </w:p>
    <w:p>
      <w:pPr>
        <w:pStyle w:val="Heading2"/>
        <w:spacing w:after="80" w:before="300"/>
      </w:pPr>
      <w:r>
        <w:rPr>
          <w:rFonts w:ascii="Arial" w:cs="Arial" w:eastAsia="Arial" w:hAnsi="Arial"/>
          <w:b/>
          <w:bCs/>
          <w:color w:val="1B3A6B"/>
          <w:sz w:val="24"/>
          <w:szCs w:val="24"/>
        </w:rPr>
        <w:t xml:space="preserve">17.2 Sumber Data dan Referensi Industri</w:t>
      </w:r>
    </w:p>
    <w:p>
      <w:pPr>
        <w:pStyle w:val="ListParagraph"/>
        <w:numPr>
          <w:ilvl w:val="0"/>
          <w:numId w:val="2"/>
        </w:numPr>
        <w:spacing w:after="40" w:before="40"/>
      </w:pPr>
      <w:r>
        <w:rPr>
          <w:rFonts w:ascii="Arial" w:cs="Arial" w:eastAsia="Arial" w:hAnsi="Arial"/>
          <w:color w:val="2C3E50"/>
          <w:sz w:val="20"/>
          <w:szCs w:val="20"/>
        </w:rPr>
        <w:t xml:space="preserve">Statistik Sistem Pembayaran BI</w:t>
      </w:r>
      <w:r>
        <w:rPr>
          <w:rFonts w:ascii="Arial" w:cs="Arial" w:eastAsia="Arial" w:hAnsi="Arial"/>
          <w:color w:val="5D6D7E"/>
          <w:sz w:val="18"/>
          <w:szCs w:val="18"/>
        </w:rPr>
        <w:t xml:space="preserve"> — Publikasi bulanan Bank Indonesia — bi.go.id/id/statistik/sistem-pembayaran</w:t>
      </w:r>
    </w:p>
    <w:p>
      <w:pPr>
        <w:pStyle w:val="ListParagraph"/>
        <w:numPr>
          <w:ilvl w:val="0"/>
          <w:numId w:val="2"/>
        </w:numPr>
        <w:spacing w:after="40" w:before="40"/>
      </w:pPr>
      <w:r>
        <w:rPr>
          <w:rFonts w:ascii="Arial" w:cs="Arial" w:eastAsia="Arial" w:hAnsi="Arial"/>
          <w:color w:val="2C3E50"/>
          <w:sz w:val="20"/>
          <w:szCs w:val="20"/>
        </w:rPr>
        <w:t xml:space="preserve">Laporan Tahunan Bank Indonesia</w:t>
      </w:r>
      <w:r>
        <w:rPr>
          <w:rFonts w:ascii="Arial" w:cs="Arial" w:eastAsia="Arial" w:hAnsi="Arial"/>
          <w:color w:val="5D6D7E"/>
          <w:sz w:val="18"/>
          <w:szCs w:val="18"/>
        </w:rPr>
        <w:t xml:space="preserve"> — Laporan tahunan BI 2022-2023 — analisis industri pembayaran digital</w:t>
      </w:r>
    </w:p>
    <w:p>
      <w:pPr>
        <w:pStyle w:val="ListParagraph"/>
        <w:numPr>
          <w:ilvl w:val="0"/>
          <w:numId w:val="2"/>
        </w:numPr>
        <w:spacing w:after="40" w:before="40"/>
      </w:pPr>
      <w:r>
        <w:rPr>
          <w:rFonts w:ascii="Arial" w:cs="Arial" w:eastAsia="Arial" w:hAnsi="Arial"/>
          <w:color w:val="2C3E50"/>
          <w:sz w:val="20"/>
          <w:szCs w:val="20"/>
        </w:rPr>
        <w:t xml:space="preserve">QRIS — Informasi Resmi Bank Indonesia</w:t>
      </w:r>
      <w:r>
        <w:rPr>
          <w:rFonts w:ascii="Arial" w:cs="Arial" w:eastAsia="Arial" w:hAnsi="Arial"/>
          <w:color w:val="5D6D7E"/>
          <w:sz w:val="18"/>
          <w:szCs w:val="18"/>
        </w:rPr>
        <w:t xml:space="preserve"> — bi.go.id/qris — ketentuan dan MDR terkini</w:t>
      </w:r>
    </w:p>
    <w:p>
      <w:pPr>
        <w:pStyle w:val="ListParagraph"/>
        <w:numPr>
          <w:ilvl w:val="0"/>
          <w:numId w:val="2"/>
        </w:numPr>
        <w:spacing w:after="40" w:before="40"/>
      </w:pPr>
      <w:r>
        <w:rPr>
          <w:rFonts w:ascii="Arial" w:cs="Arial" w:eastAsia="Arial" w:hAnsi="Arial"/>
          <w:color w:val="2C3E50"/>
          <w:sz w:val="20"/>
          <w:szCs w:val="20"/>
        </w:rPr>
        <w:t xml:space="preserve">OJK — Edukasi Keuangan Digital</w:t>
      </w:r>
      <w:r>
        <w:rPr>
          <w:rFonts w:ascii="Arial" w:cs="Arial" w:eastAsia="Arial" w:hAnsi="Arial"/>
          <w:color w:val="5D6D7E"/>
          <w:sz w:val="18"/>
          <w:szCs w:val="18"/>
        </w:rPr>
        <w:t xml:space="preserve"> — sikapiuangmu.ojk.go.id — portal literasi keuangan OJK</w:t>
      </w:r>
    </w:p>
    <w:p>
      <w:pPr>
        <w:pStyle w:val="ListParagraph"/>
        <w:numPr>
          <w:ilvl w:val="0"/>
          <w:numId w:val="2"/>
        </w:numPr>
        <w:spacing w:after="40" w:before="40"/>
      </w:pPr>
      <w:r>
        <w:rPr>
          <w:rFonts w:ascii="Arial" w:cs="Arial" w:eastAsia="Arial" w:hAnsi="Arial"/>
          <w:color w:val="2C3E50"/>
          <w:sz w:val="20"/>
          <w:szCs w:val="20"/>
        </w:rPr>
        <w:t xml:space="preserve">AFTECH</w:t>
      </w:r>
      <w:r>
        <w:rPr>
          <w:rFonts w:ascii="Arial" w:cs="Arial" w:eastAsia="Arial" w:hAnsi="Arial"/>
          <w:color w:val="5D6D7E"/>
          <w:sz w:val="18"/>
          <w:szCs w:val="18"/>
        </w:rPr>
        <w:t xml:space="preserve"> — Asosiasi FinTech Indonesia — aftech.or.id — laporan industri fintech</w:t>
      </w:r>
    </w:p>
    <w:p>
      <w:pPr>
        <w:pStyle w:val="ListParagraph"/>
        <w:numPr>
          <w:ilvl w:val="0"/>
          <w:numId w:val="2"/>
        </w:numPr>
        <w:spacing w:after="40" w:before="40"/>
      </w:pPr>
      <w:r>
        <w:rPr>
          <w:rFonts w:ascii="Arial" w:cs="Arial" w:eastAsia="Arial" w:hAnsi="Arial"/>
          <w:color w:val="2C3E50"/>
          <w:sz w:val="20"/>
          <w:szCs w:val="20"/>
        </w:rPr>
        <w:t xml:space="preserve">ASPI</w:t>
      </w:r>
      <w:r>
        <w:rPr>
          <w:rFonts w:ascii="Arial" w:cs="Arial" w:eastAsia="Arial" w:hAnsi="Arial"/>
          <w:color w:val="5D6D7E"/>
          <w:sz w:val="18"/>
          <w:szCs w:val="18"/>
        </w:rPr>
        <w:t xml:space="preserve"> — Asosiasi Sistem Pembayaran Indonesia — data industri sistem pembayaran</w:t>
      </w:r>
    </w:p>
    <w:p>
      <w:pPr>
        <w:spacing w:after="60" w:before="0"/>
      </w:pPr>
      <w:r>
        <w:t xml:space="preserve"/>
      </w:r>
    </w:p>
    <w:p>
      <w:pPr>
        <w:spacing w:after="60" w:before="0"/>
      </w:pPr>
      <w:r>
        <w:t xml:space="preserve"/>
      </w:r>
    </w:p>
    <w:p>
      <w:pPr>
        <w:pBdr>
          <w:top w:val="single" w:color="D5D8DC" w:sz="4" w:space="8"/>
        </w:pBdr>
        <w:spacing w:after="60" w:before="200"/>
      </w:pPr>
      <w:r>
        <w:rPr>
          <w:rFonts w:ascii="Arial" w:cs="Arial" w:eastAsia="Arial" w:hAnsi="Arial"/>
          <w:b/>
          <w:bCs/>
          <w:color w:val="5D6D7E"/>
          <w:sz w:val="19"/>
          <w:szCs w:val="19"/>
        </w:rPr>
        <w:t xml:space="preserve">CATATAN AKHIR &amp; DISCLAIMER</w:t>
      </w:r>
    </w:p>
    <w:p>
      <w:pPr>
        <w:spacing w:after="90" w:before="60"/>
      </w:pPr>
      <w:r>
        <w:rPr>
          <w:rFonts w:ascii="Arial" w:cs="Arial" w:eastAsia="Arial" w:hAnsi="Arial"/>
          <w:color w:val="2C3E50"/>
          <w:sz w:val="20"/>
          <w:szCs w:val="20"/>
        </w:rPr>
        <w:t xml:space="preserve">Laporan ini disusun berdasarkan informasi yang tersedia secara publik, regulasi Bank Indonesia dan OJK yang dapat diakses melalui situs resmi, serta analisis independen terhadap struktur industri pembayaran digital Indonesia. Laporan ini bukan merupakan dokumen resmi pemerintah, Bank Indonesia, OJK, atau perwakilan dari perusahaan e-wallet manapun yang disebutkan.</w:t>
      </w:r>
    </w:p>
    <w:p>
      <w:pPr>
        <w:spacing w:after="90" w:before="60"/>
      </w:pPr>
      <w:r>
        <w:rPr>
          <w:rFonts w:ascii="Arial" w:cs="Arial" w:eastAsia="Arial" w:hAnsi="Arial"/>
          <w:color w:val="2C3E50"/>
          <w:sz w:val="20"/>
          <w:szCs w:val="20"/>
        </w:rPr>
        <w:t xml:space="preserve">Seluruh estimasi kalkulasi yang disajikan dalam laporan ini bersifat ilustratif berdasarkan asumsi yang disebutkan secara eksplisit — bukan data keuangan audited dari perusahaan-perusahaan terkait. Biaya layanan e-wallet dapat berubah sewaktu-waktu; konsumen dianjurkan untuk selalu memverifikasi biaya terkini langsung di aplikasi resmi masing-masing platform sebelum bertransaksi.</w:t>
      </w:r>
    </w:p>
    <w:p>
      <w:pPr>
        <w:spacing w:after="90" w:before="60"/>
      </w:pPr>
      <w:r>
        <w:rPr>
          <w:rFonts w:ascii="Arial" w:cs="Arial" w:eastAsia="Arial" w:hAnsi="Arial"/>
          <w:color w:val="2C3E50"/>
          <w:sz w:val="20"/>
          <w:szCs w:val="20"/>
        </w:rPr>
        <w:t xml:space="preserve">Tujuan laporan ini adalah semata-mata edukasi dan peningkatan literasi keuangan digital — mendorong konsumen untuk menjadi pengguna layanan pembayaran digital yang lebih cerdas, sadar akan hak-haknya, dan mampu mengambil keputusan finansial yang lebih optimal.</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pPr>
    <w:r>
      <w:rPr>
        <w:rFonts w:ascii="Arial" w:cs="Arial" w:eastAsia="Arial" w:hAnsi="Arial"/>
        <w:color w:val="5D6D7E"/>
        <w:sz w:val="16"/>
        <w:szCs w:val="16"/>
      </w:rPr>
      <w:t xml:space="preserve">Laporan Analisis Independen  |  Referensi: PBI No. 23/6/PBI/2021  |  OJK  |  Bank Indonesia  |  Edukasi Keuangan Digital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655" w:sz="4" w:space="4"/>
      </w:pBdr>
    </w:pPr>
    <w:r>
      <w:rPr>
        <w:rFonts w:ascii="Arial" w:cs="Arial" w:eastAsia="Arial" w:hAnsi="Arial"/>
        <w:color w:val="5D6D7E"/>
        <w:sz w:val="17"/>
        <w:szCs w:val="17"/>
      </w:rPr>
      <w:t xml:space="preserve">LAPORAN ANALISIS BISNIS &amp; FINTECH  |  Struktur Biaya E-Wallet Indonesia  |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30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2026-04-12T12:03:01.594Z</dcterms:created>
  <dcterms:modified xsi:type="dcterms:W3CDTF">2026-04-12T12:03:01.595Z</dcterms:modified>
</cp:coreProperties>
</file>

<file path=docProps/custom.xml><?xml version="1.0" encoding="utf-8"?>
<Properties xmlns="http://schemas.openxmlformats.org/officeDocument/2006/custom-properties" xmlns:vt="http://schemas.openxmlformats.org/officeDocument/2006/docPropsVTypes"/>
</file>