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  </w:t>
      </w:r>
      <w:bookmarkStart w:id="0" w:name="_GoBack"/>
      <w:bookmarkEnd w:id="0"/>
      <w:r>
        <w:rPr>
          <w:rFonts w:hint="eastAsia"/>
        </w:rPr>
        <w:t xml:space="preserve">     门诊一卡通患者就诊常规流程图谱以及涉及的业务表(不包括反向流程 退费退药)</w:t>
      </w:r>
    </w:p>
    <w:p>
      <w:r>
        <w:pict>
          <v:rect id="_x0000_s2105" o:spid="_x0000_s2105" o:spt="1" style="position:absolute;left:0pt;margin-left:272.5pt;margin-top:307.9pt;height:71.5pt;width:72.5pt;z-index:2517135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DHCRB_RegInfo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ris登记表 DHCRB_Report ris报告表</w:t>
                  </w:r>
                </w:p>
              </w:txbxContent>
            </v:textbox>
          </v:rect>
        </w:pict>
      </w:r>
      <w:r>
        <w:pict>
          <v:rect id="_x0000_s2104" o:spid="_x0000_s2104" o:spt="1" style="position:absolute;left:0pt;margin-left:76.5pt;margin-top:288.4pt;height:48pt;width:72.5pt;z-index:2517125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OE_OrdExec</w:t>
                  </w:r>
                  <w:r>
                    <w:rPr>
                      <w:rFonts w:hint="eastAsia"/>
                      <w:sz w:val="18"/>
                      <w:szCs w:val="18"/>
                    </w:rPr>
                    <w:t>护士执行表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pict>
          <v:roundrect id="_x0000_s2069" o:spid="_x0000_s2069" o:spt="2" style="position:absolute;left:0pt;margin-left:-20pt;margin-top:318.4pt;height:26.5pt;width:93pt;z-index:25167769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输液室收费执行</w:t>
                  </w:r>
                </w:p>
              </w:txbxContent>
            </v:textbox>
          </v:roundrect>
        </w:pict>
      </w:r>
      <w:r>
        <w:pict>
          <v:shape id="_x0000_s2129" o:spid="_x0000_s2129" o:spt="32" type="#_x0000_t32" style="position:absolute;left:0pt;margin-left:86pt;margin-top:266.4pt;height:18.05pt;width:0pt;z-index:25173401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28" o:spid="_x0000_s2128" o:spt="32" type="#_x0000_t32" style="position:absolute;left:0pt;margin-left:73pt;margin-top:284.4pt;height:0pt;width:93.5pt;z-index:251732992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27" o:spid="_x0000_s2127" o:spt="32" type="#_x0000_t32" style="position:absolute;left:0pt;flip:y;margin-left:60pt;margin-top:282.45pt;height:35.95pt;width:13pt;z-index:251731968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rect id="_x0000_s2106" o:spid="_x0000_s2106" o:spt="1" style="position:absolute;left:0pt;margin-left:39pt;margin-top:412.4pt;height:59pt;width:238.5pt;z-index:2517145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DHC_AccPayINV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集中打印发票表 </w:t>
                  </w:r>
                  <w:r>
                    <w:rPr>
                      <w:sz w:val="18"/>
                      <w:szCs w:val="18"/>
                    </w:rPr>
                    <w:t>DHC_AccPayINVMode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如果是医保则涉及医保拆解结算表 </w:t>
                  </w:r>
                  <w:r>
                    <w:rPr>
                      <w:sz w:val="18"/>
                      <w:szCs w:val="18"/>
                    </w:rPr>
                    <w:t>INSU_Divide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还有收费员的票据表。</w:t>
                  </w:r>
                </w:p>
              </w:txbxContent>
            </v:textbox>
          </v:rect>
        </w:pict>
      </w:r>
      <w:r>
        <w:rPr>
          <w:color w:val="FF0000"/>
        </w:rPr>
        <w:pict>
          <v:shape id="_x0000_s2125" o:spid="_x0000_s2125" o:spt="32" type="#_x0000_t32" style="position:absolute;left:0pt;margin-left:306.5pt;margin-top:278.4pt;height:30pt;width:0.05pt;z-index:251730944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rPr>
          <w:color w:val="FF0000"/>
        </w:rPr>
        <w:pict>
          <v:shape id="_x0000_s2124" o:spid="_x0000_s2124" o:spt="32" type="#_x0000_t32" style="position:absolute;left:0pt;margin-left:118pt;margin-top:393.4pt;height:19pt;width:0pt;z-index:251729920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rPr>
          <w:color w:val="FF0000"/>
        </w:rPr>
        <w:pict>
          <v:shape id="_x0000_s2122" o:spid="_x0000_s2122" o:spt="32" type="#_x0000_t32" style="position:absolute;left:0pt;flip:x;margin-left:149.05pt;margin-top:263.4pt;height:40.5pt;width:61.95pt;z-index:251727872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rPr>
          <w:color w:val="FF0000"/>
        </w:rPr>
        <w:pict>
          <v:shape id="_x0000_s2123" o:spid="_x0000_s2123" o:spt="32" type="#_x0000_t32" style="position:absolute;left:0pt;margin-left:68.5pt;margin-top:329.4pt;height:0pt;width:8pt;z-index:25172889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rPr>
          <w:color w:val="FF0000"/>
        </w:rPr>
        <w:pict>
          <v:shape id="_x0000_s2121" o:spid="_x0000_s2121" o:spt="32" type="#_x0000_t32" style="position:absolute;left:0pt;margin-left:166.5pt;margin-top:284.45pt;height:0pt;width:182pt;z-index:251726848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rPr>
          <w:color w:val="FF0000"/>
        </w:rPr>
        <w:pict>
          <v:shape id="_x0000_s2119" o:spid="_x0000_s2119" o:spt="32" type="#_x0000_t32" style="position:absolute;left:0pt;margin-left:166.5pt;margin-top:275.4pt;height:9pt;width:0pt;z-index:251724800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rPr>
          <w:color w:val="FF0000"/>
        </w:rPr>
        <w:pict>
          <v:shape id="_x0000_s2120" o:spid="_x0000_s2120" o:spt="32" type="#_x0000_t32" style="position:absolute;left:0pt;margin-left:245.5pt;margin-top:263.9pt;height:20.55pt;width:0.05pt;z-index:251725824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087" o:spid="_x0000_s2087" o:spt="32" type="#_x0000_t32" style="position:absolute;left:0pt;margin-left:225.5pt;margin-top:263.9pt;height:24.5pt;width:0pt;z-index:2516961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2064" o:spid="_x0000_s2064" o:spt="2" style="position:absolute;left:0pt;margin-left:195.5pt;margin-top:239.9pt;height:23.5pt;width:64.5pt;z-index:25167257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门诊采血扣费</w:t>
                  </w:r>
                </w:p>
              </w:txbxContent>
            </v:textbox>
          </v:roundrect>
        </w:pict>
      </w:r>
      <w:r>
        <w:rPr>
          <w:color w:val="FF0000"/>
        </w:rPr>
        <w:pict>
          <v:shape id="_x0000_s2118" o:spid="_x0000_s2118" o:spt="32" type="#_x0000_t32" style="position:absolute;left:0pt;margin-left:339.5pt;margin-top:260.4pt;height:0pt;width:9pt;z-index:25172377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roundrect id="_x0000_s2063" o:spid="_x0000_s2063" o:spt="2" style="position:absolute;left:0pt;margin-left:260pt;margin-top:240.4pt;height:38pt;width:79pt;z-index:25167155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医技科室扣费、预约执行</w:t>
                  </w:r>
                </w:p>
              </w:txbxContent>
            </v:textbox>
          </v:roundrect>
        </w:pict>
      </w:r>
      <w:r>
        <w:rPr>
          <w:color w:val="FF0000"/>
        </w:rPr>
        <w:pict>
          <v:shape id="_x0000_s2114" o:spid="_x0000_s2114" o:spt="32" type="#_x0000_t32" style="position:absolute;left:0pt;margin-left:-14.5pt;margin-top:263.4pt;height:86pt;width:0pt;z-index:251722752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13" o:spid="_x0000_s2113" o:spt="32" type="#_x0000_t32" style="position:absolute;left:0pt;margin-left:226pt;margin-top:173.4pt;height:0pt;width:15pt;z-index:251721728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12" o:spid="_x0000_s2112" o:spt="32" type="#_x0000_t32" style="position:absolute;left:0pt;margin-left:140pt;margin-top:102.4pt;height:0pt;width:36.5pt;z-index:251720704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11" o:spid="_x0000_s2111" o:spt="32" type="#_x0000_t32" style="position:absolute;left:0pt;margin-left:154.5pt;margin-top:61.4pt;height:0pt;width:22pt;z-index:251719680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10" o:spid="_x0000_s2110" o:spt="32" type="#_x0000_t32" style="position:absolute;left:0pt;flip:x;margin-left:-14.5pt;margin-top:101.4pt;height:0pt;width:8pt;z-index:25171865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109" o:spid="_x0000_s2109" o:spt="32" type="#_x0000_t32" style="position:absolute;left:0pt;flip:x;margin-left:25.5pt;margin-top:61.4pt;height:0pt;width:18pt;z-index:251717632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roundrect id="_x0000_s2051" o:spid="_x0000_s2051" o:spt="2" style="position:absolute;left:0pt;margin-left:43.5pt;margin-top:50.9pt;height:26.5pt;width:111pt;z-index:25165926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建卡、充值预交金</w:t>
                  </w:r>
                </w:p>
              </w:txbxContent>
            </v:textbox>
          </v:roundrect>
        </w:pict>
      </w:r>
      <w:r>
        <w:pict>
          <v:shape id="_x0000_s2108" o:spid="_x0000_s2108" o:spt="32" type="#_x0000_t32" style="position:absolute;left:0pt;margin-left:55.5pt;margin-top:102.4pt;height:0pt;width:13pt;z-index:2517166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2" o:spid="_x0000_s2072" o:spt="32" type="#_x0000_t32" style="position:absolute;left:0pt;margin-left:93.5pt;margin-top:113.9pt;height:11.5pt;width:0.5pt;z-index:2516807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7" o:spid="_x0000_s2107" o:spt="32" type="#_x0000_t32" style="position:absolute;left:0pt;flip:x;margin-left:55.5pt;margin-top:77.4pt;height:24pt;width:13pt;z-index:2517155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01" o:spid="_x0000_s2101" o:spt="1" style="position:absolute;left:0pt;margin-left:241pt;margin-top:143.9pt;height:46.5pt;width:235pt;z-index:2517094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MR_Adm MR_Diagnos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MR_DiagType</w:t>
                  </w:r>
                  <w:r>
                    <w:rPr>
                      <w:rFonts w:hint="eastAsia"/>
                      <w:sz w:val="15"/>
                      <w:szCs w:val="15"/>
                    </w:rPr>
                    <w:t>诊断三表，OE_Order OE_Orditem医嘱表</w:t>
                  </w:r>
                  <w:r>
                    <w:rPr>
                      <w:sz w:val="15"/>
                      <w:szCs w:val="15"/>
                    </w:rPr>
                    <w:t>OE_OrdStatus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医嘱状态表 </w:t>
                  </w:r>
                  <w:r>
                    <w:rPr>
                      <w:sz w:val="15"/>
                      <w:szCs w:val="15"/>
                    </w:rPr>
                    <w:t>OE_OrdExec</w:t>
                  </w:r>
                  <w:r>
                    <w:rPr>
                      <w:rFonts w:hint="eastAsia"/>
                      <w:sz w:val="15"/>
                      <w:szCs w:val="15"/>
                    </w:rPr>
                    <w:t xml:space="preserve"> 医嘱执行记录表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pict>
          <v:rect id="_x0000_s2103" o:spid="_x0000_s2103" o:spt="1" style="position:absolute;left:0pt;margin-left:-82pt;margin-top:349.4pt;height:253.5pt;width:116pt;z-index:2517114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扣费同时生成</w:t>
                  </w:r>
                  <w:r>
                    <w:rPr>
                      <w:sz w:val="18"/>
                      <w:szCs w:val="18"/>
                    </w:rPr>
                    <w:t>DHC_PHARWIN</w:t>
                  </w:r>
                  <w:r>
                    <w:rPr>
                      <w:rFonts w:hint="eastAsia"/>
                      <w:sz w:val="18"/>
                      <w:szCs w:val="18"/>
                    </w:rPr>
                    <w:t>表取药窗口,门诊发药表为:</w:t>
                  </w:r>
                  <w:r>
                    <w:rPr>
                      <w:sz w:val="18"/>
                      <w:szCs w:val="18"/>
                    </w:rPr>
                    <w:t xml:space="preserve"> DHC_PHDISPEN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DHC_PHDISITEM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DHC_PHDISITMCLB</w:t>
                  </w:r>
                  <w:r>
                    <w:rPr>
                      <w:rFonts w:hint="eastAsia"/>
                      <w:sz w:val="18"/>
                      <w:szCs w:val="18"/>
                    </w:rPr>
                    <w:t>,涉及的库存表为</w:t>
                  </w:r>
                  <w:r>
                    <w:rPr>
                      <w:sz w:val="18"/>
                      <w:szCs w:val="18"/>
                    </w:rPr>
                    <w:t>DHC_INTRANS</w:t>
                  </w:r>
                  <w:r>
                    <w:rPr>
                      <w:rFonts w:hint="eastAsia"/>
                      <w:sz w:val="18"/>
                      <w:szCs w:val="18"/>
                    </w:rPr>
                    <w:t>台帐表,</w:t>
                  </w:r>
                  <w:r>
                    <w:rPr>
                      <w:sz w:val="18"/>
                      <w:szCs w:val="18"/>
                    </w:rPr>
                    <w:t xml:space="preserve"> DHC_OEDispensing</w:t>
                  </w:r>
                  <w:r>
                    <w:rPr>
                      <w:rFonts w:hint="eastAsia"/>
                      <w:sz w:val="18"/>
                      <w:szCs w:val="18"/>
                    </w:rPr>
                    <w:t>打包表,</w:t>
                  </w: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>INC_ItmLoc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INC_ItmBat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INC_ItmLcBt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科室库存表 批次库存表 科室批次库存表 </w:t>
                  </w:r>
                  <w:r>
                    <w:rPr>
                      <w:sz w:val="18"/>
                      <w:szCs w:val="18"/>
                    </w:rPr>
                    <w:t>DHC_LocDailyTotal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DHC_LocBTDailyTotal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科室库存 批次库存日变动表</w:t>
                  </w:r>
                </w:p>
              </w:txbxContent>
            </v:textbox>
          </v:rect>
        </w:pict>
      </w:r>
      <w:r>
        <w:pict>
          <v:rect id="_x0000_s2097" o:spid="_x0000_s2097" o:spt="1" style="position:absolute;left:0pt;margin-left:176.5pt;margin-top:19.4pt;height:58pt;width:224.5pt;z-index:2517053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DHC_AccManager账户管理表、DHC_AccPreDeposit </w:t>
                  </w:r>
                  <w:r>
                    <w:rPr>
                      <w:sz w:val="18"/>
                      <w:szCs w:val="18"/>
                    </w:rPr>
                    <w:t>DHC_AccPrePayMode</w:t>
                  </w:r>
                  <w:r>
                    <w:rPr>
                      <w:rFonts w:hint="eastAsia"/>
                      <w:sz w:val="18"/>
                      <w:szCs w:val="18"/>
                    </w:rPr>
                    <w:t>预交金表、系统原押金计费三表:</w:t>
                  </w: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>AR_Receipts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t>AR_RcptAlloc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</w:rPr>
                    <w:t>AR_RcptPayMode</w:t>
                  </w:r>
                </w:p>
              </w:txbxContent>
            </v:textbox>
          </v:rect>
        </w:pict>
      </w:r>
      <w:r>
        <w:pict>
          <v:rect id="_x0000_s2102" o:spid="_x0000_s2102" o:spt="1" style="position:absolute;left:0pt;margin-left:348.5pt;margin-top:198.9pt;height:146pt;width:139.5pt;z-index:2517104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任何一个点的扣费都涉及账单计费三表:DHC_PatientBill、DHC_PatBillOrder、DHC_PatBillDetails，以及门诊一卡通业务表:DHC_AccPayList、DHC_InvPrt(门诊发票)</w:t>
                  </w:r>
                  <w:r>
                    <w:t xml:space="preserve"> </w:t>
                  </w:r>
                  <w:r>
                    <w:rPr>
                      <w:sz w:val="18"/>
                      <w:szCs w:val="18"/>
                    </w:rPr>
                    <w:t>DHC_INVPayMode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>
                    <w:rPr>
                      <w:sz w:val="18"/>
                      <w:szCs w:val="18"/>
                    </w:rPr>
                    <w:t>DHCBillConINV</w:t>
                  </w:r>
                  <w:r>
                    <w:rPr>
                      <w:rFonts w:hint="eastAsia"/>
                      <w:sz w:val="18"/>
                      <w:szCs w:val="18"/>
                    </w:rPr>
                    <w:t>(门诊发票与账单表关联表)</w:t>
                  </w:r>
                </w:p>
              </w:txbxContent>
            </v:textbox>
          </v:rect>
        </w:pict>
      </w:r>
      <w:r>
        <w:pict>
          <v:shape id="_x0000_s2073" o:spid="_x0000_s2073" o:spt="32" type="#_x0000_t32" style="position:absolute;left:0pt;margin-left:93pt;margin-top:151.9pt;height:11.5pt;width:0pt;z-index:2516817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98" o:spid="_x0000_s2098" o:spt="1" style="position:absolute;left:0pt;margin-left:176.5pt;margin-top:81.4pt;height:56.5pt;width:287pt;z-index:25170636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PA_Adm就诊记录表,OE_Order OE_Orditem </w:t>
                  </w:r>
                  <w:r>
                    <w:rPr>
                      <w:sz w:val="18"/>
                      <w:szCs w:val="18"/>
                    </w:rPr>
                    <w:t>OE_OrdStatus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医嘱表,DHC_ACCPayList消费记录表,DHCQueue分诊叫号表,</w:t>
                  </w:r>
                  <w:r>
                    <w:rPr>
                      <w:sz w:val="15"/>
                      <w:szCs w:val="15"/>
                    </w:rPr>
                    <w:t xml:space="preserve"> MR_Adm</w:t>
                  </w:r>
                  <w:r>
                    <w:rPr>
                      <w:rFonts w:hint="eastAsia"/>
                      <w:sz w:val="15"/>
                      <w:szCs w:val="15"/>
                    </w:rPr>
                    <w:t>,诊断主表，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如果是医保患者则还有INSU_Adminfo医保就诊登记表 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</w:p>
                <w:p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pict>
          <v:roundrect id="_x0000_s2099" o:spid="_x0000_s2099" o:spt="2" style="position:absolute;left:0pt;margin-left:-6.5pt;margin-top:86.9pt;height:26.5pt;width:61pt;z-index:25170739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预约挂号</w:t>
                  </w:r>
                </w:p>
              </w:txbxContent>
            </v:textbox>
          </v:roundrect>
        </w:pict>
      </w:r>
      <w:r>
        <w:pict>
          <v:rect id="_x0000_s2100" o:spid="_x0000_s2100" o:spt="1" style="position:absolute;left:0pt;margin-left:-87pt;margin-top:81.4pt;height:46.5pt;width:72.5pt;z-index:25170841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DHCBeforeReg</w:t>
                  </w:r>
                  <w:r>
                    <w:rPr>
                      <w:rFonts w:hint="eastAsia"/>
                      <w:sz w:val="18"/>
                      <w:szCs w:val="18"/>
                    </w:rPr>
                    <w:t>预约表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pict>
          <v:roundrect id="_x0000_s2052" o:spid="_x0000_s2052" o:spt="2" style="position:absolute;left:0pt;margin-left:68.5pt;margin-top:86.9pt;height:26.5pt;width:71.5pt;z-index:25166028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挂号 取号</w:t>
                  </w:r>
                </w:p>
              </w:txbxContent>
            </v:textbox>
          </v:roundrect>
        </w:pict>
      </w:r>
      <w:r>
        <w:pict>
          <v:rect id="_x0000_s2096" o:spid="_x0000_s2096" o:spt="1" style="position:absolute;left:0pt;margin-left:-82pt;margin-top:14.9pt;height:58pt;width:107pt;z-index:2517043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DHC_CARDREF卡表,</w:t>
                  </w:r>
                </w:p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PA_PerSon Pa_PatMas患者基本信息表</w:t>
                  </w:r>
                </w:p>
              </w:txbxContent>
            </v:textbox>
          </v:rect>
        </w:pict>
      </w:r>
      <w:r>
        <w:pict>
          <v:rect id="_x0000_s2094" o:spid="_x0000_s2094" o:spt="1" style="position:absolute;left:0pt;margin-left:39pt;margin-top:367.9pt;height:25.5pt;width:163.5pt;z-index:2517032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收费处集中打印发票、报销医保</w:t>
                  </w:r>
                </w:p>
                <w:p/>
              </w:txbxContent>
            </v:textbox>
          </v:rect>
        </w:pict>
      </w:r>
      <w:r>
        <w:pict>
          <v:shape id="_x0000_s2092" o:spid="_x0000_s2092" o:spt="32" type="#_x0000_t32" style="position:absolute;left:0pt;margin-left:-60.5pt;margin-top:304.4pt;height:66.5pt;width:99.5pt;z-index:2517012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3" o:spid="_x0000_s2093" o:spt="32" type="#_x0000_t32" style="position:absolute;left:0pt;flip:x;margin-left:211pt;margin-top:278.4pt;height:92.5pt;width:89.5pt;z-index:2517022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0" o:spid="_x0000_s2090" o:spt="32" type="#_x0000_t32" style="position:absolute;left:0pt;margin-left:155.5pt;margin-top:275.4pt;height:89pt;width:0.5pt;z-index:2516992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1" o:spid="_x0000_s2091" o:spt="32" type="#_x0000_t32" style="position:absolute;left:0pt;flip:x;margin-left:188pt;margin-top:329.4pt;height:35pt;width:23pt;z-index:25170022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9" o:spid="_x0000_s2089" o:spt="32" type="#_x0000_t32" style="position:absolute;left:0pt;margin-left:55pt;margin-top:344.9pt;height:19.5pt;width:0.5pt;z-index:2516981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8" o:spid="_x0000_s2088" o:spt="32" type="#_x0000_t32" style="position:absolute;left:0pt;margin-left:25pt;margin-top:303.9pt;height:14.5pt;width:0.5pt;z-index:2516971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6" o:spid="_x0000_s2086" o:spt="32" type="#_x0000_t32" style="position:absolute;left:0pt;margin-left:54.5pt;margin-top:263.9pt;height:14.5pt;width:0.5pt;z-index:2516951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5" o:spid="_x0000_s2085" o:spt="32" type="#_x0000_t32" style="position:absolute;left:0pt;margin-left:-38pt;margin-top:263.4pt;height:14.5pt;width:0.5pt;z-index:2516940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4" o:spid="_x0000_s2084" o:spt="32" type="#_x0000_t32" style="position:absolute;left:0pt;flip:x;margin-left:11pt;margin-top:249.4pt;height:0pt;width:13.5pt;z-index:2516930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3" o:spid="_x0000_s2083" o:spt="32" type="#_x0000_t32" style="position:absolute;left:0pt;margin-left:-33.5pt;margin-top:225.4pt;height:14.5pt;width:0.5pt;z-index:2516920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2" o:spid="_x0000_s2082" o:spt="32" type="#_x0000_t32" style="position:absolute;left:0pt;margin-left:72.5pt;margin-top:225.4pt;height:14.5pt;width:0.5pt;z-index:2516910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9" o:spid="_x0000_s2079" o:spt="32" type="#_x0000_t32" style="position:absolute;left:0pt;margin-left:219.5pt;margin-top:225.4pt;height:14.5pt;width:0.5pt;z-index:2516879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8" o:spid="_x0000_s2078" o:spt="32" type="#_x0000_t32" style="position:absolute;left:0pt;margin-left:154.5pt;margin-top:225.4pt;height:11.5pt;width:0pt;z-index:2516869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0" o:spid="_x0000_s2080" o:spt="32" type="#_x0000_t32" style="position:absolute;left:0pt;margin-left:301pt;margin-top:225.4pt;height:14.5pt;width:0pt;z-index:2516889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1" o:spid="_x0000_s2081" o:spt="32" type="#_x0000_t32" style="position:absolute;left:0pt;margin-left:225.5pt;margin-top:187.4pt;height:11.5pt;width:52pt;z-index:2516899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7" o:spid="_x0000_s2077" o:spt="32" type="#_x0000_t32" style="position:absolute;left:0pt;margin-left:216.5pt;margin-top:187.4pt;height:11.5pt;width:0.5pt;z-index:2516858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6" o:spid="_x0000_s2076" o:spt="32" type="#_x0000_t32" style="position:absolute;left:0pt;margin-left:155pt;margin-top:187.4pt;height:11.5pt;width:0.5pt;z-index:2516848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5" o:spid="_x0000_s2075" o:spt="32" type="#_x0000_t32" style="position:absolute;left:0pt;margin-left:72.5pt;margin-top:187.4pt;height:11.5pt;width:0.5pt;z-index:2516838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4" o:spid="_x0000_s2074" o:spt="32" type="#_x0000_t32" style="position:absolute;left:0pt;margin-left:2pt;margin-top:187.4pt;height:11.5pt;width:0.5pt;z-index:2516828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1" o:spid="_x0000_s2071" o:spt="32" type="#_x0000_t32" style="position:absolute;left:0pt;margin-left:93.5pt;margin-top:77.4pt;height:11.5pt;width:0.5pt;z-index:25167974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0" o:spid="_x0000_s2070" o:spt="32" type="#_x0000_t32" style="position:absolute;left:0pt;margin-left:93.5pt;margin-top:39.4pt;height:11.5pt;width:0.5pt;z-index:2516787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oundrect id="_x0000_s2067" o:spid="_x0000_s2067" o:spt="2" style="position:absolute;left:0pt;margin-left:198pt;margin-top:288.4pt;height:41pt;width:66pt;z-index:25167564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检验科室执行</w:t>
                  </w:r>
                </w:p>
              </w:txbxContent>
            </v:textbox>
          </v:roundrect>
        </w:pict>
      </w:r>
      <w:r>
        <w:pict>
          <v:roundrect id="_x0000_s2062" o:spid="_x0000_s2062" o:spt="2" style="position:absolute;left:0pt;margin-left:25pt;margin-top:239.9pt;height:26.5pt;width:77.5pt;z-index:25167052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输注室皮试</w:t>
                  </w:r>
                </w:p>
              </w:txbxContent>
            </v:textbox>
          </v:roundrect>
        </w:pict>
      </w:r>
      <w:r>
        <w:pict>
          <v:roundrect id="_x0000_s2060" o:spid="_x0000_s2060" o:spt="2" style="position:absolute;left:0pt;margin-left:-11pt;margin-top:277.9pt;height:26.5pt;width:71pt;z-index:25166848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注射输液类</w:t>
                  </w:r>
                </w:p>
              </w:txbxContent>
            </v:textbox>
          </v:roundrect>
        </w:pict>
      </w:r>
      <w:r>
        <w:pict>
          <v:roundrect id="_x0000_s2059" o:spid="_x0000_s2059" o:spt="2" style="position:absolute;left:0pt;margin-left:-82pt;margin-top:277.9pt;height:26.5pt;width:62pt;z-index:25166745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口服类</w:t>
                  </w:r>
                </w:p>
              </w:txbxContent>
            </v:textbox>
          </v:roundrect>
        </w:pict>
      </w:r>
      <w:r>
        <w:pict>
          <v:roundrect id="_x0000_s2061" o:spid="_x0000_s2061" o:spt="2" style="position:absolute;left:0pt;margin-left:-82pt;margin-top:237.4pt;height:26.5pt;width:93pt;z-index:25166950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药房扣费取药</w:t>
                  </w:r>
                </w:p>
              </w:txbxContent>
            </v:textbox>
          </v:roundrect>
        </w:pict>
      </w:r>
      <w:r>
        <w:pict>
          <v:roundrect id="_x0000_s2065" o:spid="_x0000_s2065" o:spt="2" style="position:absolute;left:0pt;margin-left:126pt;margin-top:237.4pt;height:38pt;width:62pt;z-index:25167360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治疗科室扣费执行</w:t>
                  </w:r>
                </w:p>
              </w:txbxContent>
            </v:textbox>
          </v:roundrect>
        </w:pict>
      </w:r>
      <w:r>
        <w:pict>
          <v:roundrect id="_x0000_s2068" o:spid="_x0000_s2068" o:spt="2" style="position:absolute;left:0pt;margin-left:25pt;margin-top:198.9pt;height:26.5pt;width:95.5pt;z-index:25167667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药物医嘱(皮试类)</w:t>
                  </w:r>
                </w:p>
              </w:txbxContent>
            </v:textbox>
          </v:roundrect>
        </w:pict>
      </w:r>
      <w:r>
        <w:pict>
          <v:roundrect id="_x0000_s2058" o:spid="_x0000_s2058" o:spt="2" style="position:absolute;left:0pt;margin-left:126pt;margin-top:198.9pt;height:26.5pt;width:62pt;z-index:25166643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治疗医嘱</w:t>
                  </w:r>
                </w:p>
              </w:txbxContent>
            </v:textbox>
          </v:roundrect>
        </w:pict>
      </w:r>
      <w:r>
        <w:pict>
          <v:roundrect id="_x0000_s2057" o:spid="_x0000_s2057" o:spt="2" style="position:absolute;left:0pt;margin-left:198pt;margin-top:198.9pt;height:26.5pt;width:62pt;z-index:25166540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检验医嘱</w:t>
                  </w:r>
                </w:p>
              </w:txbxContent>
            </v:textbox>
          </v:roundrect>
        </w:pict>
      </w:r>
      <w:r>
        <w:pict>
          <v:roundrect id="_x0000_s2055" o:spid="_x0000_s2055" o:spt="2" style="position:absolute;left:0pt;margin-left:-82pt;margin-top:198.9pt;height:26.5pt;width:95.5pt;z-index:251663360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药物医嘱(非皮试类)</w:t>
                  </w:r>
                </w:p>
              </w:txbxContent>
            </v:textbox>
          </v:roundrect>
        </w:pict>
      </w:r>
      <w:r>
        <w:pict>
          <v:roundrect id="_x0000_s2056" o:spid="_x0000_s2056" o:spt="2" style="position:absolute;left:0pt;margin-left:272.5pt;margin-top:198.9pt;height:26.5pt;width:62pt;z-index:251664384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检查医嘱</w:t>
                  </w:r>
                </w:p>
              </w:txbxContent>
            </v:textbox>
          </v:roundrect>
        </w:pict>
      </w:r>
      <w:r>
        <w:pict>
          <v:roundrect id="_x0000_s2054" o:spid="_x0000_s2054" o:spt="2" style="position:absolute;left:0pt;margin-left:-3pt;margin-top:160.9pt;height:26.5pt;width:228.5pt;z-index:251662336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医生就诊、下诊断、下医嘱(多种医嘱类型)</w:t>
                  </w:r>
                </w:p>
              </w:txbxContent>
            </v:textbox>
          </v:roundrect>
        </w:pict>
      </w:r>
      <w:r>
        <w:pict>
          <v:roundrect id="_x0000_s2053" o:spid="_x0000_s2053" o:spt="2" style="position:absolute;left:0pt;margin-left:60pt;margin-top:125.4pt;height:26.5pt;width:77pt;z-index:251661312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分诊、叫号</w:t>
                  </w:r>
                </w:p>
              </w:txbxContent>
            </v:textbox>
          </v:roundrect>
        </w:pict>
      </w:r>
      <w:r>
        <w:pict>
          <v:shape id="_x0000_s2050" o:spid="_x0000_s2050" o:spt="3" type="#_x0000_t3" style="position:absolute;left:0pt;margin-left:44pt;margin-top:12.4pt;height:27pt;width:109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新患者来就诊</w:t>
                  </w:r>
                </w:p>
              </w:txbxContent>
            </v:textbox>
          </v:shape>
        </w:pic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(W1)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Arial, Helvetic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9525</wp:posOffset>
          </wp:positionV>
          <wp:extent cx="1400175" cy="371475"/>
          <wp:effectExtent l="0" t="0" r="952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AA8"/>
    <w:rsid w:val="000847FA"/>
    <w:rsid w:val="00151134"/>
    <w:rsid w:val="003147BB"/>
    <w:rsid w:val="006D2D13"/>
    <w:rsid w:val="007445FA"/>
    <w:rsid w:val="00784C09"/>
    <w:rsid w:val="00817A5F"/>
    <w:rsid w:val="00BB5F34"/>
    <w:rsid w:val="00CA4040"/>
    <w:rsid w:val="00DE0B01"/>
    <w:rsid w:val="00E36E28"/>
    <w:rsid w:val="00E8242D"/>
    <w:rsid w:val="00E85CBF"/>
    <w:rsid w:val="00F42A19"/>
    <w:rsid w:val="00FA3AA8"/>
    <w:rsid w:val="30514F80"/>
    <w:rsid w:val="5C1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 endarrow="block"/>
    </o:shapedefaults>
    <o:shapelayout v:ext="edit">
      <o:idmap v:ext="edit" data="2"/>
      <o:rules v:ext="edit">
        <o:r id="V:Rule1" type="connector" idref="#_x0000_s2070"/>
        <o:r id="V:Rule2" type="connector" idref="#_x0000_s2071"/>
        <o:r id="V:Rule3" type="connector" idref="#_x0000_s2072"/>
        <o:r id="V:Rule4" type="connector" idref="#_x0000_s2073"/>
        <o:r id="V:Rule5" type="connector" idref="#_x0000_s2074"/>
        <o:r id="V:Rule6" type="connector" idref="#_x0000_s2075"/>
        <o:r id="V:Rule7" type="connector" idref="#_x0000_s2076"/>
        <o:r id="V:Rule8" type="connector" idref="#_x0000_s2077"/>
        <o:r id="V:Rule9" type="connector" idref="#_x0000_s2078"/>
        <o:r id="V:Rule10" type="connector" idref="#_x0000_s2079"/>
        <o:r id="V:Rule11" type="connector" idref="#_x0000_s2080"/>
        <o:r id="V:Rule12" type="connector" idref="#_x0000_s2081"/>
        <o:r id="V:Rule13" type="connector" idref="#_x0000_s2082"/>
        <o:r id="V:Rule14" type="connector" idref="#_x0000_s2083"/>
        <o:r id="V:Rule15" type="connector" idref="#_x0000_s2084"/>
        <o:r id="V:Rule16" type="connector" idref="#_x0000_s2085"/>
        <o:r id="V:Rule17" type="connector" idref="#_x0000_s2086"/>
        <o:r id="V:Rule18" type="connector" idref="#_x0000_s2087"/>
        <o:r id="V:Rule19" type="connector" idref="#_x0000_s2088"/>
        <o:r id="V:Rule20" type="connector" idref="#_x0000_s2089"/>
        <o:r id="V:Rule21" type="connector" idref="#_x0000_s2090"/>
        <o:r id="V:Rule22" type="connector" idref="#_x0000_s2091"/>
        <o:r id="V:Rule23" type="connector" idref="#_x0000_s2092"/>
        <o:r id="V:Rule24" type="connector" idref="#_x0000_s2093"/>
        <o:r id="V:Rule25" type="connector" idref="#_x0000_s2107"/>
        <o:r id="V:Rule26" type="connector" idref="#_x0000_s2108"/>
        <o:r id="V:Rule27" type="connector" idref="#_x0000_s2109"/>
        <o:r id="V:Rule28" type="connector" idref="#_x0000_s2110"/>
        <o:r id="V:Rule29" type="connector" idref="#_x0000_s2111"/>
        <o:r id="V:Rule30" type="connector" idref="#_x0000_s2112"/>
        <o:r id="V:Rule31" type="connector" idref="#_x0000_s2113"/>
        <o:r id="V:Rule32" type="connector" idref="#_x0000_s2114"/>
        <o:r id="V:Rule33" type="connector" idref="#_x0000_s2118"/>
        <o:r id="V:Rule34" type="connector" idref="#_x0000_s2119"/>
        <o:r id="V:Rule35" type="connector" idref="#_x0000_s2120"/>
        <o:r id="V:Rule36" type="connector" idref="#_x0000_s2121"/>
        <o:r id="V:Rule37" type="connector" idref="#_x0000_s2122"/>
        <o:r id="V:Rule38" type="connector" idref="#_x0000_s2123"/>
        <o:r id="V:Rule39" type="connector" idref="#_x0000_s2124"/>
        <o:r id="V:Rule40" type="connector" idref="#_x0000_s2125"/>
        <o:r id="V:Rule41" type="connector" idref="#_x0000_s2127"/>
        <o:r id="V:Rule42" type="connector" idref="#_x0000_s2128"/>
        <o:r id="V:Rule43" type="connector" idref="#_x0000_s212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05"/>
    <customShpInfo spid="_x0000_s2104"/>
    <customShpInfo spid="_x0000_s2069"/>
    <customShpInfo spid="_x0000_s2129"/>
    <customShpInfo spid="_x0000_s2128"/>
    <customShpInfo spid="_x0000_s2127"/>
    <customShpInfo spid="_x0000_s2106"/>
    <customShpInfo spid="_x0000_s2125"/>
    <customShpInfo spid="_x0000_s2124"/>
    <customShpInfo spid="_x0000_s2122"/>
    <customShpInfo spid="_x0000_s2123"/>
    <customShpInfo spid="_x0000_s2121"/>
    <customShpInfo spid="_x0000_s2119"/>
    <customShpInfo spid="_x0000_s2120"/>
    <customShpInfo spid="_x0000_s2087"/>
    <customShpInfo spid="_x0000_s2064"/>
    <customShpInfo spid="_x0000_s2118"/>
    <customShpInfo spid="_x0000_s2063"/>
    <customShpInfo spid="_x0000_s2114"/>
    <customShpInfo spid="_x0000_s2113"/>
    <customShpInfo spid="_x0000_s2112"/>
    <customShpInfo spid="_x0000_s2111"/>
    <customShpInfo spid="_x0000_s2110"/>
    <customShpInfo spid="_x0000_s2109"/>
    <customShpInfo spid="_x0000_s2051"/>
    <customShpInfo spid="_x0000_s2108"/>
    <customShpInfo spid="_x0000_s2072"/>
    <customShpInfo spid="_x0000_s2107"/>
    <customShpInfo spid="_x0000_s2101"/>
    <customShpInfo spid="_x0000_s2103"/>
    <customShpInfo spid="_x0000_s2097"/>
    <customShpInfo spid="_x0000_s2102"/>
    <customShpInfo spid="_x0000_s2073"/>
    <customShpInfo spid="_x0000_s2098"/>
    <customShpInfo spid="_x0000_s2099"/>
    <customShpInfo spid="_x0000_s2100"/>
    <customShpInfo spid="_x0000_s2052"/>
    <customShpInfo spid="_x0000_s2096"/>
    <customShpInfo spid="_x0000_s2094"/>
    <customShpInfo spid="_x0000_s2092"/>
    <customShpInfo spid="_x0000_s2093"/>
    <customShpInfo spid="_x0000_s2090"/>
    <customShpInfo spid="_x0000_s2091"/>
    <customShpInfo spid="_x0000_s2089"/>
    <customShpInfo spid="_x0000_s2088"/>
    <customShpInfo spid="_x0000_s2086"/>
    <customShpInfo spid="_x0000_s2085"/>
    <customShpInfo spid="_x0000_s2084"/>
    <customShpInfo spid="_x0000_s2083"/>
    <customShpInfo spid="_x0000_s2082"/>
    <customShpInfo spid="_x0000_s2079"/>
    <customShpInfo spid="_x0000_s2078"/>
    <customShpInfo spid="_x0000_s2080"/>
    <customShpInfo spid="_x0000_s2081"/>
    <customShpInfo spid="_x0000_s2077"/>
    <customShpInfo spid="_x0000_s2076"/>
    <customShpInfo spid="_x0000_s2075"/>
    <customShpInfo spid="_x0000_s2074"/>
    <customShpInfo spid="_x0000_s2071"/>
    <customShpInfo spid="_x0000_s2070"/>
    <customShpInfo spid="_x0000_s2067"/>
    <customShpInfo spid="_x0000_s2062"/>
    <customShpInfo spid="_x0000_s2060"/>
    <customShpInfo spid="_x0000_s2059"/>
    <customShpInfo spid="_x0000_s2061"/>
    <customShpInfo spid="_x0000_s2065"/>
    <customShpInfo spid="_x0000_s2068"/>
    <customShpInfo spid="_x0000_s2058"/>
    <customShpInfo spid="_x0000_s2057"/>
    <customShpInfo spid="_x0000_s2055"/>
    <customShpInfo spid="_x0000_s2056"/>
    <customShpInfo spid="_x0000_s2054"/>
    <customShpInfo spid="_x0000_s2053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36</Characters>
  <Lines>1</Lines>
  <Paragraphs>1</Paragraphs>
  <ScaleCrop>false</ScaleCrop>
  <LinksUpToDate>false</LinksUpToDate>
  <CharactersWithSpaces>45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2014-04-10T12:32:00Z</dcterms:created>
  <dc:creator>ZJ</dc:creator>
  <cp:lastModifiedBy>Administrator</cp:lastModifiedBy>
  <dcterms:modified xsi:type="dcterms:W3CDTF">2017-04-24T07:58:17Z</dcterms:modified>
  <dc:title>东华软件医卫部标准化实施文档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