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住院患者就诊常规流程图谱以及涉及的业务表(不包括反向流程 退费退药)</w:t>
      </w:r>
    </w:p>
    <w:p>
      <w:r>
        <w:pict>
          <v:shape id="_x0000_s2150" o:spid="_x0000_s2150" o:spt="32" type="#_x0000_t32" style="position:absolute;left:0pt;margin-left:111pt;margin-top:382.4pt;height:12.5pt;width:0.05pt;z-index:25175654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oundrect id="_x0000_s2069" o:spid="_x0000_s2069" o:spt="2" style="position:absolute;left:0pt;margin-left:-37.5pt;margin-top:360.4pt;height:22pt;width:301.5pt;z-index:25167769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护士执行</w:t>
                  </w:r>
                </w:p>
              </w:txbxContent>
            </v:textbox>
          </v:roundrect>
        </w:pict>
      </w:r>
      <w:r>
        <w:pict>
          <v:shape id="_x0000_s2153" o:spid="_x0000_s2153" o:spt="32" type="#_x0000_t32" style="position:absolute;left:0pt;margin-left:188pt;margin-top:651.4pt;height:9pt;width:0pt;z-index:25175961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52" o:spid="_x0000_s2152" o:spt="32" type="#_x0000_t32" style="position:absolute;left:0pt;margin-left:241pt;margin-top:584.4pt;height:0pt;width:14.5pt;z-index:25175859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51" o:spid="_x0000_s2151" o:spt="32" type="#_x0000_t32" style="position:absolute;left:0pt;margin-left:239.5pt;margin-top:530.4pt;height:0pt;width:14.5pt;z-index:25175756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8" o:spid="_x0000_s2148" o:spt="32" type="#_x0000_t32" style="position:absolute;left:0pt;margin-left:396.5pt;margin-top:424.9pt;height:29pt;width:0pt;z-index:25175449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3" o:spid="_x0000_s2123" o:spt="32" type="#_x0000_t32" style="position:absolute;left:0pt;margin-left:418.5pt;margin-top:424.9pt;height:19.5pt;width:0pt;z-index:2517319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9" o:spid="_x0000_s2149" o:spt="32" type="#_x0000_t32" style="position:absolute;left:0pt;flip:x;margin-left:318.5pt;margin-top:346.4pt;height:11pt;width:5.5pt;z-index:25175552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7" o:spid="_x0000_s2147" o:spt="32" type="#_x0000_t32" style="position:absolute;left:0pt;margin-left:-41.5pt;margin-top:301.9pt;height:94.5pt;width:0pt;z-index:25175347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6" o:spid="_x0000_s2146" o:spt="32" type="#_x0000_t32" style="position:absolute;left:0pt;flip:x;margin-left:11pt;margin-top:139.4pt;height:0pt;width:23pt;z-index:25175244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5" o:spid="_x0000_s2145" o:spt="32" type="#_x0000_t32" style="position:absolute;left:0pt;margin-left:223pt;margin-top:170.4pt;height:0pt;width:18pt;z-index:2517514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4" o:spid="_x0000_s2144" o:spt="32" type="#_x0000_t32" style="position:absolute;left:0pt;margin-left:120.5pt;margin-top:102.35pt;height:0pt;width:55.5pt;z-index:2517504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3" o:spid="_x0000_s2143" o:spt="32" type="#_x0000_t32" style="position:absolute;left:0pt;margin-left:155.5pt;margin-top:61.4pt;height:0pt;width:20.5pt;z-index:25174937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margin-left:155pt;margin-top:187.4pt;height:52.5pt;width:0.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42" o:spid="_x0000_s2142" o:spt="1" style="position:absolute;left:0pt;margin-left:68.5pt;margin-top:660.4pt;height:59pt;width:295pt;z-index:2517483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DHC_InvPrtzy 住院发票表 </w:t>
                  </w:r>
                  <w:r>
                    <w:rPr>
                      <w:sz w:val="18"/>
                      <w:szCs w:val="18"/>
                    </w:rPr>
                    <w:t>DHC_InvprtzySub</w:t>
                  </w:r>
                  <w:r>
                    <w:rPr>
                      <w:rFonts w:hint="eastAsia"/>
                      <w:sz w:val="18"/>
                      <w:szCs w:val="18"/>
                    </w:rPr>
                    <w:t>,住院费用子分类表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更新原押金计费三表:</w:t>
                  </w:r>
                  <w:r>
                    <w:rPr>
                      <w:sz w:val="18"/>
                      <w:szCs w:val="18"/>
                    </w:rPr>
                    <w:t xml:space="preserve"> AR_Receipts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AR_RcptAlloc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AR_RcptPayMode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如果是医保则涉及医保拆解结算表 </w:t>
                  </w:r>
                  <w:r>
                    <w:rPr>
                      <w:sz w:val="18"/>
                      <w:szCs w:val="18"/>
                    </w:rPr>
                    <w:t>INSU_Divide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还有收费员的票据表。</w:t>
                  </w:r>
                </w:p>
              </w:txbxContent>
            </v:textbox>
          </v:rect>
        </w:pict>
      </w:r>
      <w:r>
        <w:pict>
          <v:rect id="_x0000_s2141" o:spid="_x0000_s2141" o:spt="1" style="position:absolute;left:0pt;margin-left:254pt;margin-top:489.9pt;height:121pt;width:103.65pt;z-index:2517473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更新pa_adm表的</w:t>
                  </w:r>
                  <w:r>
                    <w:rPr>
                      <w:sz w:val="18"/>
                      <w:szCs w:val="18"/>
                    </w:rPr>
                    <w:t>paadm_meddischdoc_dr,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医疗结算医生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paadm_dischgdoc_dr,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,最终结算护士 医疗结算日期 最终结算日期 病人状态。</w:t>
                  </w:r>
                </w:p>
                <w:p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_x0000_s2140" o:spid="_x0000_s2140" o:spt="1" style="position:absolute;left:0pt;margin-left:363.5pt;margin-top:453.9pt;height:130.5pt;width:99pt;z-index:2517463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DHC_AN_OPArrange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手术安排表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OR_Anaest_Operation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所行手术表 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OR_An_Oper_Assistant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手术助手表</w:t>
                  </w:r>
                </w:p>
                <w:p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OR_Anaesthesia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 麻醉表 </w:t>
                  </w:r>
                </w:p>
              </w:txbxContent>
            </v:textbox>
          </v:rect>
        </w:pict>
      </w:r>
      <w:r>
        <w:pict>
          <v:rect id="_x0000_s2135" o:spid="_x0000_s2135" o:spt="1" style="position:absolute;left:0pt;margin-left:-73.15pt;margin-top:109.9pt;height:51pt;width:84.15pt;z-index:2517411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PA_AdmTransaction</w:t>
                  </w:r>
                  <w:r>
                    <w:rPr>
                      <w:rFonts w:hint="eastAsia"/>
                      <w:sz w:val="18"/>
                      <w:szCs w:val="18"/>
                    </w:rPr>
                    <w:t>转科转区转医生转床表</w:t>
                  </w:r>
                </w:p>
              </w:txbxContent>
            </v:textbox>
          </v:rect>
        </w:pict>
      </w:r>
      <w:r>
        <w:pict>
          <v:rect id="_x0000_s2139" o:spid="_x0000_s2139" o:spt="1" style="position:absolute;left:0pt;margin-left:267pt;margin-top:357.4pt;height:71.5pt;width:72.5pt;z-index:2517452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DHCRB_RegInfo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ris登记表 DHCRB_Report ris报告表</w:t>
                  </w:r>
                </w:p>
              </w:txbxContent>
            </v:textbox>
          </v:rect>
        </w:pict>
      </w:r>
      <w:r>
        <w:pict>
          <v:rect id="_x0000_s2138" o:spid="_x0000_s2138" o:spt="1" style="position:absolute;left:0pt;margin-left:84pt;margin-top:396.4pt;height:37.5pt;width:72.5pt;z-index:2517442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OE_OrdExec</w:t>
                  </w:r>
                  <w:r>
                    <w:rPr>
                      <w:rFonts w:hint="eastAsia"/>
                      <w:sz w:val="18"/>
                      <w:szCs w:val="18"/>
                    </w:rPr>
                    <w:t>护士执行表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_x0000_s2137" o:spid="_x0000_s2137" o:spt="1" style="position:absolute;left:0pt;margin-left:-70pt;margin-top:394.9pt;height:253.5pt;width:122pt;z-index:2517432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住院发药表为: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DHC_PHACollected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DHC_PHACollectItm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出院带药的发药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DHC_PhaCollectOutDrug                                                       DHC_PhaCollectOutDrugDet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涉及的库存表为</w:t>
                  </w:r>
                  <w:r>
                    <w:rPr>
                      <w:sz w:val="18"/>
                      <w:szCs w:val="18"/>
                    </w:rPr>
                    <w:t>DHC_INTRANS</w:t>
                  </w:r>
                  <w:r>
                    <w:rPr>
                      <w:rFonts w:hint="eastAsia"/>
                      <w:sz w:val="18"/>
                      <w:szCs w:val="18"/>
                    </w:rPr>
                    <w:t>台帐表,</w:t>
                  </w:r>
                  <w:r>
                    <w:rPr>
                      <w:sz w:val="18"/>
                      <w:szCs w:val="18"/>
                    </w:rPr>
                    <w:t xml:space="preserve"> DHC_OEDispensing</w:t>
                  </w:r>
                  <w:r>
                    <w:rPr>
                      <w:rFonts w:hint="eastAsia"/>
                      <w:sz w:val="18"/>
                      <w:szCs w:val="18"/>
                    </w:rPr>
                    <w:t>打包表,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INC_ItmLoc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INC_ItmBat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INC_ItmLcBt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科室库存表 批次库存表 科室批次库存表 </w:t>
                  </w:r>
                  <w:r>
                    <w:rPr>
                      <w:sz w:val="18"/>
                      <w:szCs w:val="18"/>
                    </w:rPr>
                    <w:t>DHC_LocDailyTotal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DHC_LocBTDailyTotal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科室库存 批次库存日变动表</w:t>
                  </w:r>
                </w:p>
              </w:txbxContent>
            </v:textbox>
          </v:rect>
        </w:pict>
      </w:r>
      <w:r>
        <w:pict>
          <v:rect id="_x0000_s2136" o:spid="_x0000_s2136" o:spt="1" style="position:absolute;left:0pt;margin-left:241pt;margin-top:143.9pt;height:46.5pt;width:235pt;z-index:2517422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MR_Adm MR_Diagnos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MR_DiagType</w:t>
                  </w:r>
                  <w:r>
                    <w:rPr>
                      <w:rFonts w:hint="eastAsia"/>
                      <w:sz w:val="15"/>
                      <w:szCs w:val="15"/>
                    </w:rPr>
                    <w:t>诊断三表，OE_Order OE_Orditem医嘱表</w:t>
                  </w:r>
                  <w:r>
                    <w:rPr>
                      <w:sz w:val="15"/>
                      <w:szCs w:val="15"/>
                    </w:rPr>
                    <w:t>OE_OrdStatus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医嘱状态表 </w:t>
                  </w:r>
                  <w:r>
                    <w:rPr>
                      <w:sz w:val="15"/>
                      <w:szCs w:val="15"/>
                    </w:rPr>
                    <w:t>OE_OrdExec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医嘱执行记录表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_x0000_s2133" o:spid="_x0000_s2133" o:spt="1" style="position:absolute;left:0pt;margin-left:176pt;margin-top:19.4pt;height:58pt;width:191pt;z-index:2517391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DHC_CARDREF卡表,PA_PerSon Pa_PatMas患者基本信息表 PA_Adm就诊表，如果是医保患者则还有INSU_Adminfo医保就诊登记表</w:t>
                  </w:r>
                </w:p>
              </w:txbxContent>
            </v:textbox>
          </v:rect>
        </w:pict>
      </w:r>
      <w:r>
        <w:pict>
          <v:rect id="_x0000_s2134" o:spid="_x0000_s2134" o:spt="1" style="position:absolute;left:0pt;margin-left:176pt;margin-top:81.9pt;height:53pt;width:159pt;z-index:2517401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dhc_sfprintdetail</w:t>
                  </w:r>
                  <w:r>
                    <w:rPr>
                      <w:rFonts w:hint="eastAsia"/>
                      <w:sz w:val="18"/>
                      <w:szCs w:val="18"/>
                    </w:rPr>
                    <w:t>押金表,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系统原押金计费三表:</w:t>
                  </w:r>
                  <w:r>
                    <w:rPr>
                      <w:sz w:val="18"/>
                      <w:szCs w:val="18"/>
                    </w:rPr>
                    <w:t xml:space="preserve"> AR_Receipts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AR_RcptAlloc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AR_RcptPayMode</w:t>
                  </w:r>
                </w:p>
              </w:txbxContent>
            </v:textbox>
          </v:rect>
        </w:pict>
      </w:r>
      <w:r>
        <w:pict>
          <v:shape id="_x0000_s2128" o:spid="_x0000_s2128" o:spt="32" type="#_x0000_t32" style="position:absolute;left:0pt;margin-left:223pt;margin-top:180.4pt;height:18.5pt;width:184pt;z-index:2517360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1" o:spid="_x0000_s2081" o:spt="32" type="#_x0000_t32" style="position:absolute;left:0pt;margin-left:223pt;margin-top:187.4pt;height:11.5pt;width:109.5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54" o:spid="_x0000_s2054" o:spt="2" style="position:absolute;left:0pt;margin-left:-3pt;margin-top:160.9pt;height:26.5pt;width:226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医生下诊断、下医嘱(区分临时、长期、自备)</w:t>
                  </w:r>
                </w:p>
              </w:txbxContent>
            </v:textbox>
          </v:roundrect>
        </w:pict>
      </w:r>
      <w:r>
        <w:pict>
          <v:roundrect id="_x0000_s2109" o:spid="_x0000_s2109" o:spt="2" style="position:absolute;left:0pt;margin-left:370pt;margin-top:341.4pt;height:38pt;width:82.7pt;z-index:25171763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麻醉师安排麻醉，录入麻醉药品</w:t>
                  </w:r>
                </w:p>
              </w:txbxContent>
            </v:textbox>
          </v:roundrect>
        </w:pict>
      </w:r>
      <w:r>
        <w:pict>
          <v:roundrect id="_x0000_s2111" o:spid="_x0000_s2111" o:spt="2" style="position:absolute;left:0pt;margin-left:360.5pt;margin-top:386.9pt;height:38pt;width:99.2pt;z-index:25171968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手术完毕手术室置完成，录入手术费用</w:t>
                  </w:r>
                </w:p>
              </w:txbxContent>
            </v:textbox>
          </v:roundrect>
        </w:pict>
      </w:r>
      <w:r>
        <w:pict>
          <v:shape id="_x0000_s2131" o:spid="_x0000_s2131" o:spt="32" type="#_x0000_t32" style="position:absolute;left:0pt;flip:x;margin-left:346pt;margin-top:277.9pt;height:30.5pt;width:0.05pt;z-index:2517381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130" o:spid="_x0000_s2130" o:spt="2" style="position:absolute;left:0pt;margin-left:316pt;margin-top:239.9pt;height:38pt;width:64.5pt;z-index:2517370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医生填写检查申请单</w:t>
                  </w:r>
                </w:p>
              </w:txbxContent>
            </v:textbox>
          </v:roundrect>
        </w:pict>
      </w:r>
      <w:r>
        <w:pict>
          <v:shape id="_x0000_s2093" o:spid="_x0000_s2093" o:spt="32" type="#_x0000_t32" style="position:absolute;left:0pt;margin-left:346pt;margin-top:346.4pt;height:98pt;width:0.0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3" o:spid="_x0000_s2063" o:spt="2" style="position:absolute;left:0pt;margin-left:313.5pt;margin-top:308.4pt;height:38pt;width:64.5pt;z-index:25167155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医技科室预约执行</w:t>
                  </w:r>
                </w:p>
              </w:txbxContent>
            </v:textbox>
          </v:roundrect>
        </w:pict>
      </w:r>
      <w:r>
        <w:pict>
          <v:shape id="_x0000_s2126" o:spid="_x0000_s2126" o:spt="32" type="#_x0000_t32" style="position:absolute;left:0pt;margin-left:192pt;margin-top:603.9pt;height:22pt;width:0pt;z-index:2517350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5" o:spid="_x0000_s2125" o:spt="32" type="#_x0000_t32" style="position:absolute;left:0pt;margin-left:193pt;margin-top:550.9pt;height:15pt;width:0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4" o:spid="_x0000_s2124" o:spt="32" type="#_x0000_t32" style="position:absolute;left:0pt;margin-left:192.5pt;margin-top:498.4pt;height:14.5pt;width:0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2" o:spid="_x0000_s2092" o:spt="32" type="#_x0000_t32" style="position:absolute;left:0pt;margin-left:197pt;margin-top:449.4pt;height:11pt;width:0pt;z-index:2517012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2" o:spid="_x0000_s2122" o:spt="32" type="#_x0000_t32" style="position:absolute;left:0pt;flip:x;margin-left:419pt;margin-top:379.4pt;height:11.5pt;width:0.5pt;z-index:2517309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1" o:spid="_x0000_s2121" o:spt="32" type="#_x0000_t32" style="position:absolute;left:0pt;margin-left:419.5pt;margin-top:326.4pt;height:17.5pt;width:0pt;z-index:2517299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0" o:spid="_x0000_s2120" o:spt="32" type="#_x0000_t32" style="position:absolute;left:0pt;margin-left:422pt;margin-top:277.9pt;height:11.5pt;width:0.5pt;z-index:2517288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9" o:spid="_x0000_s2119" o:spt="32" type="#_x0000_t32" style="position:absolute;left:0pt;margin-left:419pt;margin-top:225.4pt;height:14.5pt;width:0.5pt;z-index:2517278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8" o:spid="_x0000_s2118" o:spt="32" type="#_x0000_t32" style="position:absolute;left:0pt;margin-left:269.5pt;margin-top:187.9pt;height:11.5pt;width:0.5pt;z-index:2517268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7" o:spid="_x0000_s2117" o:spt="32" type="#_x0000_t32" style="position:absolute;left:0pt;margin-left:220pt;margin-top:187.9pt;height:11.5pt;width:0.5pt;z-index:2517258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4" o:spid="_x0000_s2094" o:spt="1" style="position:absolute;left:0pt;margin-left:111pt;margin-top:625.9pt;height:25.5pt;width:187pt;z-index:2517032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收费处结算押金、发票、报销医保</w:t>
                  </w:r>
                </w:p>
                <w:p/>
              </w:txbxContent>
            </v:textbox>
          </v:rect>
        </w:pict>
      </w:r>
      <w:r>
        <w:pict>
          <v:roundrect id="_x0000_s2116" o:spid="_x0000_s2116" o:spt="2" style="position:absolute;left:0pt;margin-left:146.5pt;margin-top:565.9pt;height:38pt;width:93.5pt;z-index:2517248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护士做最终结算</w:t>
                  </w:r>
                </w:p>
              </w:txbxContent>
            </v:textbox>
          </v:roundrect>
        </w:pict>
      </w:r>
      <w:r>
        <w:pict>
          <v:roundrect id="_x0000_s2115" o:spid="_x0000_s2115" o:spt="2" style="position:absolute;left:0pt;margin-left:146.5pt;margin-top:512.9pt;height:38pt;width:93.5pt;z-index:25172377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医生下出院医嘱并做医疗结算</w:t>
                  </w:r>
                </w:p>
              </w:txbxContent>
            </v:textbox>
          </v:roundrect>
        </w:pict>
      </w:r>
      <w:r>
        <w:pict>
          <v:roundrect id="_x0000_s2112" o:spid="_x0000_s2112" o:spt="2" style="position:absolute;left:0pt;margin-left:146.5pt;margin-top:460.4pt;height:38pt;width:93.5pt;z-index:2517207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患者住院完成准备出院</w:t>
                  </w:r>
                </w:p>
              </w:txbxContent>
            </v:textbox>
          </v:roundrect>
        </w:pict>
      </w:r>
      <w:r>
        <w:pict>
          <v:shape id="_x0000_s2113" o:spid="_x0000_s2113" o:spt="32" type="#_x0000_t32" style="position:absolute;left:0pt;flip:y;margin-left:-57pt;margin-top:444.4pt;height:7pt;width:525.5pt;z-index:2517217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roundrect id="_x0000_s2110" o:spid="_x0000_s2110" o:spt="2" style="position:absolute;left:0pt;margin-left:388.2pt;margin-top:239.9pt;height:38pt;width:80.3pt;z-index:25171865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手术医生填写手术申请单</w:t>
                  </w:r>
                </w:p>
              </w:txbxContent>
            </v:textbox>
          </v:roundrect>
        </w:pict>
      </w:r>
      <w:r>
        <w:pict>
          <v:roundrect id="_x0000_s2065" o:spid="_x0000_s2065" o:spt="2" style="position:absolute;left:0pt;margin-left:390.7pt;margin-top:288.4pt;height:38pt;width:62pt;z-index:2516736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手术室安排手术</w:t>
                  </w:r>
                </w:p>
              </w:txbxContent>
            </v:textbox>
          </v:roundrect>
        </w:pict>
      </w:r>
      <w:r>
        <w:pict>
          <v:roundrect id="_x0000_s2108" o:spid="_x0000_s2108" o:spt="2" style="position:absolute;left:0pt;margin-left:248.5pt;margin-top:239.9pt;height:38pt;width:58pt;z-index:25171660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治疗单</w:t>
                  </w:r>
                </w:p>
              </w:txbxContent>
            </v:textbox>
          </v:roundrect>
        </w:pict>
      </w:r>
      <w:r>
        <w:pict>
          <v:shape id="_x0000_s2079" o:spid="_x0000_s2079" o:spt="32" type="#_x0000_t32" style="position:absolute;left:0pt;margin-left:260.5pt;margin-top:280.4pt;height:80pt;width:0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56" o:spid="_x0000_s2056" o:spt="2" style="position:absolute;left:0pt;margin-left:318.5pt;margin-top:198.9pt;height:26.5pt;width:65pt;z-index:2516643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检查医嘱</w:t>
                  </w:r>
                </w:p>
              </w:txbxContent>
            </v:textbox>
          </v:roundrect>
        </w:pict>
      </w:r>
      <w:r>
        <w:pict>
          <v:shape id="_x0000_s2091" o:spid="_x0000_s2091" o:spt="32" type="#_x0000_t32" style="position:absolute;left:0pt;margin-left:212.5pt;margin-top:386.9pt;height:16.5pt;width:0pt;z-index:2517002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7" o:spid="_x0000_s2067" o:spt="2" style="position:absolute;left:0pt;margin-left:184pt;margin-top:403.4pt;height:41pt;width:80pt;z-index:2516756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检验标本送至检验科执行</w:t>
                  </w:r>
                </w:p>
              </w:txbxContent>
            </v:textbox>
          </v:roundrect>
        </w:pict>
      </w:r>
      <w:r>
        <w:pict>
          <v:shape id="_x0000_s2107" o:spid="_x0000_s2107" o:spt="32" type="#_x0000_t32" style="position:absolute;left:0pt;margin-left:280pt;margin-top:225.4pt;height:14.5pt;width:0.5pt;z-index:2517155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58" o:spid="_x0000_s2058" o:spt="2" style="position:absolute;left:0pt;margin-left:254pt;margin-top:198.9pt;height:26.5pt;width:62pt;z-index:25166643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处置治疗</w:t>
                  </w:r>
                </w:p>
              </w:txbxContent>
            </v:textbox>
          </v:roundrect>
        </w:pict>
      </w:r>
      <w:r>
        <w:pict>
          <v:shape id="_x0000_s2077" o:spid="_x0000_s2077" o:spt="32" type="#_x0000_t32" style="position:absolute;left:0pt;margin-left:208.5pt;margin-top:225.4pt;height:14.5pt;width:0.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7" o:spid="_x0000_s2087" o:spt="32" type="#_x0000_t32" style="position:absolute;left:0pt;margin-left:212.5pt;margin-top:266.4pt;height:94pt;width:0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4" o:spid="_x0000_s2064" o:spt="2" style="position:absolute;left:0pt;margin-left:192pt;margin-top:239.9pt;height:26.5pt;width:51.5pt;z-index:25167257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检验单</w:t>
                  </w:r>
                </w:p>
              </w:txbxContent>
            </v:textbox>
          </v:roundrect>
        </w:pict>
      </w:r>
      <w:r>
        <w:pict>
          <v:roundrect id="_x0000_s2057" o:spid="_x0000_s2057" o:spt="2" style="position:absolute;left:0pt;margin-left:188pt;margin-top:198.9pt;height:26.5pt;width:62pt;z-index:25166540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检验医嘱</w:t>
                  </w:r>
                </w:p>
              </w:txbxContent>
            </v:textbox>
          </v:roundrect>
        </w:pict>
      </w:r>
      <w:r>
        <w:pict>
          <v:shape id="_x0000_s2090" o:spid="_x0000_s2090" o:spt="32" type="#_x0000_t32" style="position:absolute;left:0pt;margin-left:156pt;margin-top:266.4pt;height:94pt;width:0.5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6" o:spid="_x0000_s2106" o:spt="32" type="#_x0000_t32" style="position:absolute;left:0pt;margin-left:62pt;margin-top:341.4pt;height:19pt;width:0pt;z-index:2517145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5" o:spid="_x0000_s2105" o:spt="32" type="#_x0000_t32" style="position:absolute;left:0pt;margin-left:110.5pt;margin-top:341.4pt;height:19pt;width:0.5pt;z-index:2517135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4" o:spid="_x0000_s2104" o:spt="32" type="#_x0000_t32" style="position:absolute;left:0pt;margin-left:1.5pt;margin-top:341.4pt;height:19pt;width:0pt;z-index:2517125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3" o:spid="_x0000_s2103" o:spt="32" type="#_x0000_t32" style="position:absolute;left:0pt;margin-left:-44pt;margin-top:341.4pt;height:19pt;width:10.5pt;z-index:2517114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2" o:spid="_x0000_s2102" o:spt="32" type="#_x0000_t32" style="position:absolute;left:0pt;margin-left:-3pt;margin-top:288.4pt;height:26.5pt;width:110.5pt;z-index:2517104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9" o:spid="_x0000_s2089" o:spt="32" type="#_x0000_t32" style="position:absolute;left:0pt;margin-left:-3pt;margin-top:298.4pt;height:16.5pt;width:55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margin-left:-8pt;margin-top:301.9pt;height:14.5pt;width:0.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8" o:spid="_x0000_s2088" o:spt="32" type="#_x0000_t32" style="position:absolute;left:0pt;margin-left:-51.5pt;margin-top:301.9pt;height:14.5pt;width:0.5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5" o:spid="_x0000_s2085" o:spt="32" type="#_x0000_t32" style="position:absolute;left:0pt;margin-left:-38pt;margin-top:263.4pt;height:12pt;width:0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3" o:spid="_x0000_s2083" o:spt="32" type="#_x0000_t32" style="position:absolute;left:0pt;margin-left:-33.5pt;margin-top:225.4pt;height:11.5pt;width:0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1" o:spid="_x0000_s2061" o:spt="2" style="position:absolute;left:0pt;margin-left:101.5pt;margin-top:314.9pt;height:26.5pt;width:49pt;z-index:2516695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口服单</w:t>
                  </w:r>
                </w:p>
              </w:txbxContent>
            </v:textbox>
          </v:roundrect>
        </w:pict>
      </w:r>
      <w:r>
        <w:pict>
          <v:roundrect id="_x0000_s2062" o:spid="_x0000_s2062" o:spt="2" style="position:absolute;left:0pt;margin-left:37pt;margin-top:314.9pt;height:26.5pt;width:56pt;z-index:25167052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输液单</w:t>
                  </w:r>
                </w:p>
              </w:txbxContent>
            </v:textbox>
          </v:roundrect>
        </w:pict>
      </w:r>
      <w:r>
        <w:pict>
          <v:roundrect id="_x0000_s2096" o:spid="_x0000_s2096" o:spt="2" style="position:absolute;left:0pt;margin-left:-27.5pt;margin-top:314.9pt;height:26.5pt;width:49.5pt;z-index:25170432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注射单</w:t>
                  </w:r>
                </w:p>
              </w:txbxContent>
            </v:textbox>
          </v:roundrect>
        </w:pict>
      </w:r>
      <w:r>
        <w:pict>
          <v:roundrect id="_x0000_s2101" o:spid="_x0000_s2101" o:spt="2" style="position:absolute;left:0pt;margin-left:-70pt;margin-top:275.4pt;height:26.5pt;width:67pt;z-index:2517094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药房发药</w:t>
                  </w:r>
                </w:p>
              </w:txbxContent>
            </v:textbox>
          </v:roundrect>
        </w:pict>
      </w:r>
      <w:r>
        <w:pict>
          <v:roundrect id="_x0000_s2098" o:spid="_x0000_s2098" o:spt="2" style="position:absolute;left:0pt;margin-left:-85.85pt;margin-top:314.9pt;height:26.5pt;width:47.85pt;z-index:2517063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皮试单</w:t>
                  </w:r>
                </w:p>
              </w:txbxContent>
            </v:textbox>
          </v:roundrect>
        </w:pict>
      </w:r>
      <w:r>
        <w:pict>
          <v:roundrect id="_x0000_s2099" o:spid="_x0000_s2099" o:spt="2" style="position:absolute;left:0pt;margin-left:388.2pt;margin-top:198.9pt;height:26.5pt;width:62pt;z-index:25170739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手术申请</w:t>
                  </w:r>
                </w:p>
              </w:txbxContent>
            </v:textbox>
          </v:roundrect>
        </w:pict>
      </w:r>
      <w:r>
        <w:pict>
          <v:roundrect id="_x0000_s2100" o:spid="_x0000_s2100" o:spt="2" style="position:absolute;left:0pt;margin-left:-78.5pt;margin-top:236.9pt;height:26.5pt;width:167.65pt;z-index:25170841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护士审核核对发送药房</w:t>
                  </w:r>
                </w:p>
              </w:txbxContent>
            </v:textbox>
          </v:roundrect>
        </w:pict>
      </w:r>
      <w:r>
        <w:pict>
          <v:roundrect id="_x0000_s2097" o:spid="_x0000_s2097" o:spt="2" style="position:absolute;left:0pt;margin-left:135.65pt;margin-top:239.9pt;height:26.5pt;width:52.35pt;z-index:2517053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护理单</w:t>
                  </w:r>
                </w:p>
              </w:txbxContent>
            </v:textbox>
          </v:roundrect>
        </w:pict>
      </w:r>
      <w:r>
        <w:pict>
          <v:roundrect id="_x0000_s2055" o:spid="_x0000_s2055" o:spt="2" style="position:absolute;left:0pt;margin-left:-82pt;margin-top:198.9pt;height:26.5pt;width:179.5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用药医嘱</w:t>
                  </w:r>
                </w:p>
              </w:txbxContent>
            </v:textbox>
          </v:roundrect>
        </w:pict>
      </w:r>
      <w:r>
        <w:pict>
          <v:shape id="_x0000_s2080" o:spid="_x0000_s2080" o:spt="32" type="#_x0000_t32" style="position:absolute;left:0pt;margin-left:346pt;margin-top:225.4pt;height:14.5pt;width:0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53" o:spid="_x0000_s2053" o:spt="2" style="position:absolute;left:0pt;margin-left:34pt;margin-top:125.4pt;height:26.5pt;width:154pt;z-index:25166131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病区护士分床、分配管床医生</w:t>
                  </w:r>
                </w:p>
              </w:txbxContent>
            </v:textbox>
          </v:roundrect>
        </w:pict>
      </w:r>
      <w:r>
        <w:pict>
          <v:shape id="_x0000_s2075" o:spid="_x0000_s2075" o:spt="32" type="#_x0000_t32" style="position:absolute;left:0pt;margin-left:72.5pt;margin-top:187.4pt;height:11.5pt;width:0.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4" o:spid="_x0000_s2074" o:spt="32" type="#_x0000_t32" style="position:absolute;left:0pt;margin-left:2pt;margin-top:187.4pt;height:11.5pt;width:0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3" o:spid="_x0000_s2073" o:spt="32" type="#_x0000_t32" style="position:absolute;left:0pt;margin-left:93pt;margin-top:151.9pt;height:11.5pt;width:0.5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2" o:spid="_x0000_s2072" o:spt="32" type="#_x0000_t32" style="position:absolute;left:0pt;margin-left:93pt;margin-top:113.4pt;height:11.5pt;width:0.5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1" o:spid="_x0000_s2071" o:spt="32" type="#_x0000_t32" style="position:absolute;left:0pt;margin-left:93.5pt;margin-top:77.4pt;height:11.5pt;width:0.5pt;z-index:2516797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0" o:spid="_x0000_s2070" o:spt="32" type="#_x0000_t32" style="position:absolute;left:0pt;margin-left:93.5pt;margin-top:39.4pt;height:11.5pt;width:0.5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51" o:spid="_x0000_s2051" o:spt="2" style="position:absolute;left:0pt;margin-left:44pt;margin-top:50.9pt;height:26.5pt;width:111pt;z-index:25165926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办理住院手续</w:t>
                  </w:r>
                </w:p>
              </w:txbxContent>
            </v:textbox>
          </v:roundrect>
        </w:pict>
      </w:r>
      <w:r>
        <w:pict>
          <v:roundrect id="_x0000_s2052" o:spid="_x0000_s2052" o:spt="2" style="position:absolute;left:0pt;margin-left:68.5pt;margin-top:86.9pt;height:26.5pt;width:52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交押金</w:t>
                  </w:r>
                </w:p>
              </w:txbxContent>
            </v:textbox>
          </v:roundrect>
        </w:pict>
      </w:r>
      <w:r>
        <w:pict>
          <v:shape id="_x0000_s2050" o:spid="_x0000_s2050" o:spt="3" type="#_x0000_t3" style="position:absolute;left:0pt;margin-left:44pt;margin-top:12.4pt;height:27pt;width:109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新患者来住院</w:t>
                  </w:r>
                </w:p>
              </w:txbxContent>
            </v:textbox>
          </v:shape>
        </w:pict>
      </w:r>
      <w:r>
        <w:rPr>
          <w:rFonts w:hint="eastAsia"/>
        </w:rPr>
        <w:t>..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AA8"/>
    <w:rsid w:val="000B7D21"/>
    <w:rsid w:val="00151134"/>
    <w:rsid w:val="001A3C45"/>
    <w:rsid w:val="001C5D5C"/>
    <w:rsid w:val="001E27B9"/>
    <w:rsid w:val="0026347A"/>
    <w:rsid w:val="00361EF5"/>
    <w:rsid w:val="005D02A9"/>
    <w:rsid w:val="007437B8"/>
    <w:rsid w:val="007E0145"/>
    <w:rsid w:val="008064B4"/>
    <w:rsid w:val="00816426"/>
    <w:rsid w:val="00A01261"/>
    <w:rsid w:val="00AB1781"/>
    <w:rsid w:val="00B26E9E"/>
    <w:rsid w:val="00B27AEA"/>
    <w:rsid w:val="00CA4040"/>
    <w:rsid w:val="00DB0B14"/>
    <w:rsid w:val="00FA3AA8"/>
    <w:rsid w:val="50CF47B6"/>
    <w:rsid w:val="5AA3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0"/>
        <o:r id="V:Rule2" type="connector" idref="#_x0000_s2071"/>
        <o:r id="V:Rule3" type="connector" idref="#_x0000_s2072"/>
        <o:r id="V:Rule4" type="connector" idref="#_x0000_s2073"/>
        <o:r id="V:Rule5" type="connector" idref="#_x0000_s2074"/>
        <o:r id="V:Rule6" type="connector" idref="#_x0000_s2075"/>
        <o:r id="V:Rule7" type="connector" idref="#_x0000_s2076"/>
        <o:r id="V:Rule8" type="connector" idref="#_x0000_s2077"/>
        <o:r id="V:Rule9" type="connector" idref="#_x0000_s2079"/>
        <o:r id="V:Rule10" type="connector" idref="#_x0000_s2080"/>
        <o:r id="V:Rule11" type="connector" idref="#_x0000_s2081"/>
        <o:r id="V:Rule12" type="connector" idref="#_x0000_s2083"/>
        <o:r id="V:Rule13" type="connector" idref="#_x0000_s2085"/>
        <o:r id="V:Rule14" type="connector" idref="#_x0000_s2086"/>
        <o:r id="V:Rule15" type="connector" idref="#_x0000_s2087"/>
        <o:r id="V:Rule16" type="connector" idref="#_x0000_s2088"/>
        <o:r id="V:Rule17" type="connector" idref="#_x0000_s2089"/>
        <o:r id="V:Rule18" type="connector" idref="#_x0000_s2090"/>
        <o:r id="V:Rule19" type="connector" idref="#_x0000_s2091"/>
        <o:r id="V:Rule20" type="connector" idref="#_x0000_s2092"/>
        <o:r id="V:Rule21" type="connector" idref="#_x0000_s2093"/>
        <o:r id="V:Rule22" type="connector" idref="#_x0000_s2102"/>
        <o:r id="V:Rule23" type="connector" idref="#_x0000_s2103"/>
        <o:r id="V:Rule24" type="connector" idref="#_x0000_s2104"/>
        <o:r id="V:Rule25" type="connector" idref="#_x0000_s2105"/>
        <o:r id="V:Rule26" type="connector" idref="#_x0000_s2106"/>
        <o:r id="V:Rule27" type="connector" idref="#_x0000_s2107"/>
        <o:r id="V:Rule28" type="connector" idref="#_x0000_s2113"/>
        <o:r id="V:Rule29" type="connector" idref="#_x0000_s2117"/>
        <o:r id="V:Rule30" type="connector" idref="#_x0000_s2118"/>
        <o:r id="V:Rule31" type="connector" idref="#_x0000_s2119"/>
        <o:r id="V:Rule32" type="connector" idref="#_x0000_s2120"/>
        <o:r id="V:Rule33" type="connector" idref="#_x0000_s2121"/>
        <o:r id="V:Rule34" type="connector" idref="#_x0000_s2122"/>
        <o:r id="V:Rule35" type="connector" idref="#_x0000_s2123"/>
        <o:r id="V:Rule36" type="connector" idref="#_x0000_s2124"/>
        <o:r id="V:Rule37" type="connector" idref="#_x0000_s2125"/>
        <o:r id="V:Rule38" type="connector" idref="#_x0000_s2126"/>
        <o:r id="V:Rule39" type="connector" idref="#_x0000_s2128"/>
        <o:r id="V:Rule40" type="connector" idref="#_x0000_s2131"/>
        <o:r id="V:Rule41" type="connector" idref="#_x0000_s2143"/>
        <o:r id="V:Rule42" type="connector" idref="#_x0000_s2144"/>
        <o:r id="V:Rule43" type="connector" idref="#_x0000_s2145"/>
        <o:r id="V:Rule44" type="connector" idref="#_x0000_s2146"/>
        <o:r id="V:Rule45" type="connector" idref="#_x0000_s2147"/>
        <o:r id="V:Rule46" type="connector" idref="#_x0000_s2148"/>
        <o:r id="V:Rule47" type="connector" idref="#_x0000_s2149"/>
        <o:r id="V:Rule48" type="connector" idref="#_x0000_s2150"/>
        <o:r id="V:Rule49" type="connector" idref="#_x0000_s2151"/>
        <o:r id="V:Rule50" type="connector" idref="#_x0000_s2152"/>
        <o:r id="V:Rule51" type="connector" idref="#_x0000_s21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50"/>
    <customShpInfo spid="_x0000_s2069"/>
    <customShpInfo spid="_x0000_s2153"/>
    <customShpInfo spid="_x0000_s2152"/>
    <customShpInfo spid="_x0000_s2151"/>
    <customShpInfo spid="_x0000_s2148"/>
    <customShpInfo spid="_x0000_s2123"/>
    <customShpInfo spid="_x0000_s2149"/>
    <customShpInfo spid="_x0000_s2147"/>
    <customShpInfo spid="_x0000_s2146"/>
    <customShpInfo spid="_x0000_s2145"/>
    <customShpInfo spid="_x0000_s2144"/>
    <customShpInfo spid="_x0000_s2143"/>
    <customShpInfo spid="_x0000_s2076"/>
    <customShpInfo spid="_x0000_s2142"/>
    <customShpInfo spid="_x0000_s2141"/>
    <customShpInfo spid="_x0000_s2140"/>
    <customShpInfo spid="_x0000_s2135"/>
    <customShpInfo spid="_x0000_s2139"/>
    <customShpInfo spid="_x0000_s2138"/>
    <customShpInfo spid="_x0000_s2137"/>
    <customShpInfo spid="_x0000_s2136"/>
    <customShpInfo spid="_x0000_s2133"/>
    <customShpInfo spid="_x0000_s2134"/>
    <customShpInfo spid="_x0000_s2128"/>
    <customShpInfo spid="_x0000_s2081"/>
    <customShpInfo spid="_x0000_s2054"/>
    <customShpInfo spid="_x0000_s2109"/>
    <customShpInfo spid="_x0000_s2111"/>
    <customShpInfo spid="_x0000_s2131"/>
    <customShpInfo spid="_x0000_s2130"/>
    <customShpInfo spid="_x0000_s2093"/>
    <customShpInfo spid="_x0000_s2063"/>
    <customShpInfo spid="_x0000_s2126"/>
    <customShpInfo spid="_x0000_s2125"/>
    <customShpInfo spid="_x0000_s2124"/>
    <customShpInfo spid="_x0000_s2092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094"/>
    <customShpInfo spid="_x0000_s2116"/>
    <customShpInfo spid="_x0000_s2115"/>
    <customShpInfo spid="_x0000_s2112"/>
    <customShpInfo spid="_x0000_s2113"/>
    <customShpInfo spid="_x0000_s2110"/>
    <customShpInfo spid="_x0000_s2065"/>
    <customShpInfo spid="_x0000_s2108"/>
    <customShpInfo spid="_x0000_s2079"/>
    <customShpInfo spid="_x0000_s2056"/>
    <customShpInfo spid="_x0000_s2091"/>
    <customShpInfo spid="_x0000_s2067"/>
    <customShpInfo spid="_x0000_s2107"/>
    <customShpInfo spid="_x0000_s2058"/>
    <customShpInfo spid="_x0000_s2077"/>
    <customShpInfo spid="_x0000_s2087"/>
    <customShpInfo spid="_x0000_s2064"/>
    <customShpInfo spid="_x0000_s2057"/>
    <customShpInfo spid="_x0000_s2090"/>
    <customShpInfo spid="_x0000_s2106"/>
    <customShpInfo spid="_x0000_s2105"/>
    <customShpInfo spid="_x0000_s2104"/>
    <customShpInfo spid="_x0000_s2103"/>
    <customShpInfo spid="_x0000_s2102"/>
    <customShpInfo spid="_x0000_s2089"/>
    <customShpInfo spid="_x0000_s2086"/>
    <customShpInfo spid="_x0000_s2088"/>
    <customShpInfo spid="_x0000_s2085"/>
    <customShpInfo spid="_x0000_s2083"/>
    <customShpInfo spid="_x0000_s2061"/>
    <customShpInfo spid="_x0000_s2062"/>
    <customShpInfo spid="_x0000_s2096"/>
    <customShpInfo spid="_x0000_s2101"/>
    <customShpInfo spid="_x0000_s2098"/>
    <customShpInfo spid="_x0000_s2099"/>
    <customShpInfo spid="_x0000_s2100"/>
    <customShpInfo spid="_x0000_s2097"/>
    <customShpInfo spid="_x0000_s2055"/>
    <customShpInfo spid="_x0000_s2080"/>
    <customShpInfo spid="_x0000_s2053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51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34</Words>
  <Characters>35</Characters>
  <Lines>1</Lines>
  <Paragraphs>1</Paragraphs>
  <ScaleCrop>false</ScaleCrop>
  <LinksUpToDate>false</LinksUpToDate>
  <CharactersWithSpaces>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2014-04-10T12:32:00Z</dcterms:created>
  <dc:creator>ZJ</dc:creator>
  <cp:lastModifiedBy>Administrator</cp:lastModifiedBy>
  <dcterms:modified xsi:type="dcterms:W3CDTF">2017-04-24T07:55:14Z</dcterms:modified>
  <dc:title>东华软件医卫部标准化实施文档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