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2880" w:firstLine="720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Experiment No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Shaikh Zaid Muddaris Husain                Roll No.: 23DCO06              Batch : 3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 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rtl w:val="0"/>
        </w:rPr>
        <w:t xml:space="preserve">Data Flow Diagram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Data Flow Diagram (DFD) is a visual representation of how data moves within a system. It shows where data comes from, where it goes, and how it is processed. DFDs are often used in software engineering to help understand and design systems.</w:t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Key Components of a DFD: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 External Entities: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These are sources or destinations of data outside the system. For example, a user or another system.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 Processes: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These represent actions or transformations that happen to the data. For example, logging in, processing orders, etc.</w:t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3. Data Stores: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These are places where data is stored within the system, like databases or files.</w:t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4. Data Flows: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These show the movement of data between entities, processes, and data stores.</w:t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How DFDs Work: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 Level 0 DFD (Context Diagram):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This is a high-level view of the entire system, showing all the major external entities and the overall system as a single process.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 Level 1 DFD: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This breaks down the main process into sub-processes to show more detail.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 Level 2 and beyond: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If necessary, further levels can be created to show even more detail.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Why Use DFDs?</w:t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 Simplify Complex Systems: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DFDs make it easier to see how data moves through a system, breaking down complex processes into simple steps.</w:t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 Improve Communication: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They help developers, designers, and stakeholders understand the system in a clear and visual way.</w:t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- Identify Weaknesses: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By seeing how data flows, potential issues like data bottlenecks or inefficiencies can be spotted early.</w:t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05500" cy="9063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06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