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Flop Network Participation &amp; Collaboration Plan</w:t>
      </w:r>
    </w:p>
    <w:p>
      <w:pPr>
        <w:spacing w:after="300"/>
      </w:pPr>
      <w:r>
        <w:rPr>
          <w:i/>
          <w:iCs/>
        </w:rPr>
        <w:t xml:space="preserve">A phased approach to Technocore access, testnet contribution, and open-source collaboration</w:t>
      </w:r>
    </w:p>
    <w:p>
      <w:pPr>
        <w:spacing w:after="160"/>
      </w:pPr>
      <w:r>
        <w:rPr>
          <w:b/>
          <w:bCs/>
        </w:rPr>
        <w:t xml:space="preserve">Prepared: </w:t>
      </w:r>
      <w:r>
        <w:t xml:space="preserve">August 27, 2026</w:t>
      </w:r>
    </w:p>
    <w:p>
      <w:pPr>
        <w:spacing w:after="160"/>
      </w:pPr>
      <w:r>
        <w:rPr>
          <w:b/>
          <w:bCs/>
        </w:rPr>
        <w:t xml:space="preserve">Status: </w:t>
      </w:r>
      <w:r>
        <w:t xml:space="preserve">Living document — update as Flop Labs publishes more detail</w:t>
      </w:r>
    </w:p>
    <w:p>
      <w:pPr>
        <w:spacing w:after="160"/>
      </w:pPr>
      <w:r>
        <w:rPr>
          <w:b/>
          <w:bCs/>
        </w:rPr>
        <w:t xml:space="preserve">Author: </w:t>
      </w:r>
      <w:r>
        <w:t xml:space="preserve">[Your name]</w:t>
      </w:r>
    </w:p>
    <w:p>
      <w:pPr>
        <w:pStyle w:val="Heading1"/>
        <w:spacing w:after="150" w:before="300"/>
      </w:pPr>
      <w:r>
        <w:t xml:space="preserve">1. Executive Summary</w:t>
      </w:r>
    </w:p>
    <w:p>
      <w:pPr>
        <w:spacing w:after="160"/>
      </w:pPr>
      <w:r>
        <w:t xml:space="preserve">Flop Labs, led by Arthur Hayes (BitMEX co-founder), is building the "Flop Network" — a proposed proof-of-useful-inference protocol where AI agents pay for compute and decentralized memory using a native token, FLOP. The project is pre-launch: no whitepaper, no named chain, no audited tokenomics as of this writing. What exists today is a public X account, a landing page, and one real piece of infrastructure — technocore-chat, a lightweight HTTP coordination service for agents.</w:t>
      </w:r>
    </w:p>
    <w:p>
      <w:pPr>
        <w:spacing w:after="160"/>
      </w:pPr>
      <w:r>
        <w:t xml:space="preserve">This document has two objectives, in priority order:</w:t>
      </w:r>
    </w:p>
    <w:p>
      <w:pPr>
        <w:pStyle w:val="ListParagraph"/>
        <w:numPr>
          <w:ilvl w:val="0"/>
          <w:numId w:val="1"/>
        </w:numPr>
        <w:spacing w:after="80"/>
      </w:pPr>
      <w:r>
        <w:t xml:space="preserve">Primary — maximize legitimate eligibility for the FLOP airdrop by establishing a durable, verifiable agent identity and participating honestly in whatever testnet activity Flop Labs defines, for as long as that activity is worth the effort relative to the project's uncertainty.</w:t>
      </w:r>
    </w:p>
    <w:p>
      <w:pPr>
        <w:pStyle w:val="ListParagraph"/>
        <w:numPr>
          <w:ilvl w:val="0"/>
          <w:numId w:val="1"/>
        </w:numPr>
        <w:spacing w:after="80"/>
      </w:pPr>
      <w:r>
        <w:t xml:space="preserve">Secondary — evaluate and, if warranted, contribute to the underlying protocol, because the coordination-layer design (signed agent identity, HTTP-native access for fetch-only sandboxes, engagement-quality metrics) has applicability to agentic workflows beyond this one project.</w:t>
      </w:r>
    </w:p>
    <w:p>
      <w:pPr>
        <w:spacing w:after="160"/>
      </w:pPr>
      <w:r>
        <w:t xml:space="preserve">Both objectives point to the same first steps, so nothing here asks you to choose between them yet.</w:t>
      </w:r>
    </w:p>
    <w:p>
      <w:pPr>
        <w:pStyle w:val="Heading1"/>
        <w:spacing w:after="150" w:before="300"/>
      </w:pPr>
      <w:r>
        <w:t xml:space="preserve">2. Background</w:t>
      </w:r>
    </w:p>
    <w:p>
      <w:pPr>
        <w:pStyle w:val="Heading2"/>
        <w:spacing w:after="120" w:before="240"/>
      </w:pPr>
      <w:r>
        <w:t xml:space="preserve">2.1 Timeline of public facts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2F5496" w:val="clear"/>
          </w:tcPr>
          <w:p>
            <w:r>
              <w:rPr>
                <w:b/>
                <w:bCs/>
                <w:color w:val="FFFFFF"/>
              </w:rPr>
              <w:t xml:space="preserve">Date</w:t>
            </w:r>
          </w:p>
        </w:tc>
        <w:tc>
          <w:tcPr>
            <w:tcW w:type="dxa" w:w="7000"/>
            <w:shd w:fill="2F5496" w:val="clear"/>
          </w:tcPr>
          <w:p>
            <w:r>
              <w:rPr>
                <w:b/>
                <w:bCs/>
                <w:color w:val="FFFFFF"/>
              </w:rPr>
              <w:t xml:space="preserve">Event</w:t>
            </w:r>
          </w:p>
        </w:tc>
      </w:tr>
      <w:tr>
        <w:tc>
          <w:tcPr>
            <w:tcW w:type="dxa" w:w="2400"/>
          </w:tcPr>
          <w:p>
            <w:r>
              <w:rPr>
                <w:b w:val="false"/>
                <w:bCs w:val="false"/>
              </w:rPr>
              <w:t xml:space="preserve">Aug 18, 2026</w:t>
            </w:r>
          </w:p>
        </w:tc>
        <w:tc>
          <w:tcPr>
            <w:tcW w:type="dxa" w:w="7000"/>
          </w:tcPr>
          <w:p>
            <w:r>
              <w:rPr>
                <w:b w:val="false"/>
                <w:bCs w:val="false"/>
              </w:rPr>
              <w:t xml:space="preserve">Flop Labs announces the Flop Network publicly on X</w:t>
            </w:r>
          </w:p>
        </w:tc>
      </w:tr>
      <w:tr>
        <w:tc>
          <w:tcPr>
            <w:tcW w:type="dxa" w:w="2400"/>
          </w:tcPr>
          <w:p>
            <w:r>
              <w:rPr>
                <w:b w:val="false"/>
                <w:bCs w:val="false"/>
              </w:rPr>
              <w:t xml:space="preserve">~Aug 19, 2026</w:t>
            </w:r>
          </w:p>
        </w:tc>
        <w:tc>
          <w:tcPr>
            <w:tcW w:type="dxa" w:w="7000"/>
          </w:tcPr>
          <w:p>
            <w:r>
              <w:rPr>
                <w:b w:val="false"/>
                <w:bCs w:val="false"/>
              </w:rPr>
              <w:t xml:space="preserve">Arthur Hayes announces he will lead Flop Labs as CEO</w:t>
            </w:r>
          </w:p>
        </w:tc>
      </w:tr>
      <w:tr>
        <w:tc>
          <w:tcPr>
            <w:tcW w:type="dxa" w:w="2400"/>
          </w:tcPr>
          <w:p>
            <w:r>
              <w:rPr>
                <w:b w:val="false"/>
                <w:bCs w:val="false"/>
              </w:rPr>
              <w:t xml:space="preserve">Aug 20–25, 2026</w:t>
            </w:r>
          </w:p>
        </w:tc>
        <w:tc>
          <w:tcPr>
            <w:tcW w:type="dxa" w:w="7000"/>
          </w:tcPr>
          <w:p>
            <w:r>
              <w:rPr>
                <w:b w:val="false"/>
                <w:bCs w:val="false"/>
              </w:rPr>
              <w:t xml:space="preserve">Flop Labs account grows from ~570 to several hundred thousand followers; Technocore traffic up 180× in 20 hours</w:t>
            </w:r>
          </w:p>
        </w:tc>
      </w:tr>
      <w:tr>
        <w:tc>
          <w:tcPr>
            <w:tcW w:type="dxa" w:w="2400"/>
          </w:tcPr>
          <w:p>
            <w:r>
              <w:rPr>
                <w:b w:val="false"/>
                <w:bCs w:val="false"/>
              </w:rPr>
              <w:t xml:space="preserve">Aug 25, 2026</w:t>
            </w:r>
          </w:p>
        </w:tc>
        <w:tc>
          <w:tcPr>
            <w:tcW w:type="dxa" w:w="7000"/>
          </w:tcPr>
          <w:p>
            <w:r>
              <w:rPr>
                <w:b w:val="false"/>
                <w:bCs w:val="false"/>
              </w:rPr>
              <w:t xml:space="preserve">Hayes states airdrop allocation will be based on testnet activity; faucet to run through technocore.chat, gated to DID holders</w:t>
            </w:r>
          </w:p>
        </w:tc>
      </w:tr>
      <w:tr>
        <w:tc>
          <w:tcPr>
            <w:tcW w:type="dxa" w:w="2400"/>
          </w:tcPr>
          <w:p>
            <w:r>
              <w:rPr>
                <w:b w:val="false"/>
                <w:bCs w:val="false"/>
              </w:rPr>
              <w:t xml:space="preserve">Q4 2026 (planned)</w:t>
            </w:r>
          </w:p>
        </w:tc>
        <w:tc>
          <w:tcPr>
            <w:tcW w:type="dxa" w:w="7000"/>
          </w:tcPr>
          <w:p>
            <w:r>
              <w:rPr>
                <w:b w:val="false"/>
                <w:bCs w:val="false"/>
              </w:rPr>
              <w:t xml:space="preserve">FLOP airdrop</w:t>
            </w:r>
          </w:p>
        </w:tc>
      </w:tr>
      <w:tr>
        <w:tc>
          <w:tcPr>
            <w:tcW w:type="dxa" w:w="2400"/>
          </w:tcPr>
          <w:p>
            <w:r>
              <w:rPr>
                <w:b w:val="false"/>
                <w:bCs w:val="false"/>
              </w:rPr>
              <w:t xml:space="preserve">Q1 2027 (planned)</w:t>
            </w:r>
          </w:p>
        </w:tc>
        <w:tc>
          <w:tcPr>
            <w:tcW w:type="dxa" w:w="7000"/>
          </w:tcPr>
          <w:p>
            <w:r>
              <w:rPr>
                <w:b w:val="false"/>
                <w:bCs w:val="false"/>
              </w:rPr>
              <w:t xml:space="preserve">Genesis block — the chain does not exist until this point</w:t>
            </w:r>
          </w:p>
        </w:tc>
      </w:tr>
    </w:tbl>
    <w:p>
      <w:pPr>
        <w:spacing w:after="200"/>
      </w:pPr>
    </w:p>
    <w:p>
      <w:pPr>
        <w:pStyle w:val="Heading2"/>
        <w:spacing w:after="120" w:before="240"/>
      </w:pPr>
      <w:r>
        <w:t xml:space="preserve">2.2 What's confirmed vs. unconfirmed</w:t>
      </w:r>
    </w:p>
    <w:p>
      <w:pPr>
        <w:spacing w:after="160"/>
      </w:pPr>
      <w:r>
        <w:rPr>
          <w:b/>
          <w:bCs/>
        </w:rPr>
        <w:t xml:space="preserve">Confirmed (from the official X account and repo):</w:t>
      </w:r>
    </w:p>
    <w:p>
      <w:pPr>
        <w:pStyle w:val="ListParagraph"/>
        <w:numPr>
          <w:ilvl w:val="0"/>
          <w:numId w:val="1"/>
        </w:numPr>
        <w:spacing w:after="80"/>
      </w:pPr>
      <w:r>
        <w:t xml:space="preserve">No presale, no VC allocation — stated as a "100% fair launch"</w:t>
      </w:r>
    </w:p>
    <w:p>
      <w:pPr>
        <w:pStyle w:val="ListParagraph"/>
        <w:numPr>
          <w:ilvl w:val="0"/>
          <w:numId w:val="1"/>
        </w:numPr>
        <w:spacing w:after="80"/>
      </w:pPr>
      <w:r>
        <w:t xml:space="preserve">Airdrop intended for miners, validators, agents, and early community</w:t>
      </w:r>
    </w:p>
    <w:p>
      <w:pPr>
        <w:pStyle w:val="ListParagraph"/>
        <w:numPr>
          <w:ilvl w:val="0"/>
          <w:numId w:val="1"/>
        </w:numPr>
        <w:spacing w:after="80"/>
      </w:pPr>
      <w:r>
        <w:t xml:space="preserve">technocore-chat is a real, running, open-source service (Apache-2.0, flop-labs/technocore-chat on GitHub)</w:t>
      </w:r>
    </w:p>
    <w:p>
      <w:pPr>
        <w:pStyle w:val="ListParagraph"/>
        <w:numPr>
          <w:ilvl w:val="0"/>
          <w:numId w:val="1"/>
        </w:numPr>
        <w:spacing w:after="80"/>
      </w:pPr>
      <w:r>
        <w:t xml:space="preserve">Signed identity uses Ed25519 did:key — no resolver, no registry, verification is fully offline</w:t>
      </w:r>
    </w:p>
    <w:p>
      <w:pPr>
        <w:spacing w:after="160"/>
      </w:pPr>
      <w:r>
        <w:rPr>
          <w:b/>
          <w:bCs/>
        </w:rPr>
        <w:t xml:space="preserve">Not yet published:</w:t>
      </w:r>
    </w:p>
    <w:p>
      <w:pPr>
        <w:pStyle w:val="ListParagraph"/>
        <w:numPr>
          <w:ilvl w:val="0"/>
          <w:numId w:val="1"/>
        </w:numPr>
        <w:spacing w:after="80"/>
      </w:pPr>
      <w:r>
        <w:t xml:space="preserve">Whitepaper, token supply, distribution formula</w:t>
      </w:r>
    </w:p>
    <w:p>
      <w:pPr>
        <w:pStyle w:val="ListParagraph"/>
        <w:numPr>
          <w:ilvl w:val="0"/>
          <w:numId w:val="1"/>
        </w:numPr>
        <w:spacing w:after="80"/>
      </w:pPr>
      <w:r>
        <w:t xml:space="preserve">Named chain / consensus client</w:t>
      </w:r>
    </w:p>
    <w:p>
      <w:pPr>
        <w:pStyle w:val="ListParagraph"/>
        <w:numPr>
          <w:ilvl w:val="0"/>
          <w:numId w:val="1"/>
        </w:numPr>
        <w:spacing w:after="80"/>
      </w:pPr>
      <w:r>
        <w:t xml:space="preserve">Audit of any kind</w:t>
      </w:r>
    </w:p>
    <w:p>
      <w:pPr>
        <w:pStyle w:val="ListParagraph"/>
        <w:numPr>
          <w:ilvl w:val="0"/>
          <w:numId w:val="1"/>
        </w:numPr>
        <w:spacing w:after="80"/>
      </w:pPr>
      <w:r>
        <w:t xml:space="preserve">Exact scoring mechanism for "testnet activity"</w:t>
      </w:r>
    </w:p>
    <w:p>
      <w:pPr>
        <w:spacing w:after="160"/>
      </w:pPr>
      <w:r>
        <w:t xml:space="preserve">Treat every downstream step in this plan as provisional on that gap closing. The plan is designed so that the effort invested (a real identity, genuine contributions) has value independent of whether FLOP itself is worth anything, which is the honest hedge against the project not panning out.</w:t>
      </w:r>
    </w:p>
    <w:p>
      <w:pPr>
        <w:pStyle w:val="Heading2"/>
        <w:spacing w:after="120" w:before="240"/>
      </w:pPr>
      <w:r>
        <w:t xml:space="preserve">2.3 Why this might matter beyond the airdrop</w:t>
      </w:r>
    </w:p>
    <w:p>
      <w:pPr>
        <w:spacing w:after="160"/>
      </w:pPr>
      <w:r>
        <w:t xml:space="preserve">Independent of the token, the coordination-layer design is a reasonable pattern for agentic workflows generally:</w:t>
      </w:r>
    </w:p>
    <w:p>
      <w:pPr>
        <w:pStyle w:val="ListParagraph"/>
        <w:numPr>
          <w:ilvl w:val="0"/>
          <w:numId w:val="1"/>
        </w:numPr>
        <w:spacing w:after="80"/>
      </w:pPr>
      <w:r>
        <w:t xml:space="preserve">Fetch-only compatibility — every write is a plain HTTP GET, so an agent whose sandbox only permits webfetch is still a full participant.</w:t>
      </w:r>
    </w:p>
    <w:p>
      <w:pPr>
        <w:pStyle w:val="ListParagraph"/>
        <w:numPr>
          <w:ilvl w:val="0"/>
          <w:numId w:val="1"/>
        </w:numPr>
        <w:spacing w:after="80"/>
      </w:pPr>
      <w:r>
        <w:t xml:space="preserve">Offline signature verification — the identifier is the Ed25519 public key (did:key), so there's no registry or resolver to trust.</w:t>
      </w:r>
    </w:p>
    <w:p>
      <w:pPr>
        <w:pStyle w:val="ListParagraph"/>
        <w:numPr>
          <w:ilvl w:val="0"/>
          <w:numId w:val="1"/>
        </w:numPr>
        <w:spacing w:after="80"/>
      </w:pPr>
      <w:r>
        <w:t xml:space="preserve">Engagement-quality metrics — the service tracks zero_response_share and nick_diversity to distinguish genuine multi-agent conversation from a bot talking to itself.</w:t>
      </w:r>
    </w:p>
    <w:p>
      <w:pPr>
        <w:pStyle w:val="ListParagraph"/>
        <w:numPr>
          <w:ilvl w:val="0"/>
          <w:numId w:val="1"/>
        </w:numPr>
        <w:spacing w:after="80"/>
      </w:pPr>
      <w:r>
        <w:t xml:space="preserve">Comparable precedent — the "fair launch, no VC" pitch echoes Bittensor (TAO), the best-known prior AI-compute network without an investor round.</w:t>
      </w:r>
    </w:p>
    <w:p>
      <w:pPr>
        <w:spacing w:after="160"/>
      </w:pPr>
      <w:r>
        <w:t xml:space="preserve">This is a case for evaluating the protocol seriously, not a claim that it will succeed — the gaps in Section 2.2 are real and should weigh against over-investing before more is published.</w:t>
      </w:r>
    </w:p>
    <w:p>
      <w:pPr>
        <w:pStyle w:val="Heading1"/>
        <w:spacing w:after="150" w:before="300"/>
      </w:pPr>
      <w:r>
        <w:t xml:space="preserve">3. Objectives</w:t>
      </w:r>
    </w:p>
    <w:p>
      <w:pPr>
        <w:pStyle w:val="Heading2"/>
        <w:spacing w:after="120" w:before="240"/>
      </w:pPr>
      <w:r>
        <w:t xml:space="preserve">3.1 Primary: airdrop eligibility, done legitimately</w:t>
      </w:r>
    </w:p>
    <w:p>
      <w:pPr>
        <w:spacing w:after="160"/>
      </w:pPr>
      <w:r>
        <w:t xml:space="preserve">Given that allocation tracks testnet activity, the highest-value actions are:</w:t>
      </w:r>
    </w:p>
    <w:p>
      <w:pPr>
        <w:pStyle w:val="ListParagraph"/>
        <w:numPr>
          <w:ilvl w:val="0"/>
          <w:numId w:val="1"/>
        </w:numPr>
        <w:spacing w:after="80"/>
      </w:pPr>
      <w:r>
        <w:t xml:space="preserve">One persistent, real DID — not multiple identities. A fresh identity every session looks identical to spam under the service's own engagement metrics.</w:t>
      </w:r>
    </w:p>
    <w:p>
      <w:pPr>
        <w:pStyle w:val="ListParagraph"/>
        <w:numPr>
          <w:ilvl w:val="0"/>
          <w:numId w:val="1"/>
        </w:numPr>
        <w:spacing w:after="80"/>
      </w:pPr>
      <w:r>
        <w:t xml:space="preserve">Genuine, useful contributions over raw volume of posts.</w:t>
      </w:r>
    </w:p>
    <w:p>
      <w:pPr>
        <w:pStyle w:val="ListParagraph"/>
        <w:numPr>
          <w:ilvl w:val="0"/>
          <w:numId w:val="1"/>
        </w:numPr>
        <w:spacing w:after="80"/>
      </w:pPr>
      <w:r>
        <w:t xml:space="preserve">Early, correct participation in each new mechanism Flop Labs ships.</w:t>
      </w:r>
    </w:p>
    <w:p>
      <w:pPr>
        <w:spacing w:after="160"/>
      </w:pPr>
      <w:r>
        <w:rPr>
          <w:b/>
          <w:bCs/>
        </w:rPr>
        <w:t xml:space="preserve">Explicitly out of scope: </w:t>
      </w:r>
      <w:r>
        <w:t xml:space="preserve">running multiple sybil identities, scripting high-frequency low-value posts, or otherwise gaming the engagement metrics. This is against the stated "fair launch" spirit and likely to get you filtered out rather than rewarded.</w:t>
      </w:r>
    </w:p>
    <w:p>
      <w:pPr>
        <w:pStyle w:val="Heading2"/>
        <w:spacing w:after="120" w:before="240"/>
      </w:pPr>
      <w:r>
        <w:t xml:space="preserve">3.2 Secondary: protocol collaboration</w:t>
      </w:r>
    </w:p>
    <w:p>
      <w:pPr>
        <w:pStyle w:val="ListParagraph"/>
        <w:numPr>
          <w:ilvl w:val="0"/>
          <w:numId w:val="1"/>
        </w:numPr>
        <w:spacing w:after="80"/>
      </w:pPr>
      <w:r>
        <w:t xml:space="preserve">Contributing fixes, tooling, or documentation to flop-labs/technocore-chat</w:t>
      </w:r>
    </w:p>
    <w:p>
      <w:pPr>
        <w:pStyle w:val="ListParagraph"/>
        <w:numPr>
          <w:ilvl w:val="0"/>
          <w:numId w:val="1"/>
        </w:numPr>
        <w:spacing w:after="80"/>
      </w:pPr>
      <w:r>
        <w:t xml:space="preserve">Building and open-sourcing your own tooling on top of it (clients, MCP servers, dashboards)</w:t>
      </w:r>
    </w:p>
    <w:p>
      <w:pPr>
        <w:pStyle w:val="ListParagraph"/>
        <w:numPr>
          <w:ilvl w:val="0"/>
          <w:numId w:val="1"/>
        </w:numPr>
        <w:spacing w:after="80"/>
      </w:pPr>
      <w:r>
        <w:t xml:space="preserve">Participating in miner/validator roles once a Proof-of-Useful-Inference client is published, if the economics look reasonable at that time</w:t>
      </w:r>
    </w:p>
    <w:p>
      <w:pPr>
        <w:pStyle w:val="Heading1"/>
        <w:spacing w:after="150" w:before="300"/>
      </w:pPr>
      <w:r>
        <w:t xml:space="preserve">4. Current State: What You Can Join Today</w:t>
      </w:r>
    </w:p>
    <w:p>
      <w:pPr>
        <w:spacing w:after="160"/>
      </w:pPr>
      <w:r>
        <w:t xml:space="preserve">Only one first-party repository exists as of this writing:</w:t>
      </w:r>
    </w:p>
    <w:p>
      <w:pPr>
        <w:pStyle w:val="ListParagraph"/>
        <w:numPr>
          <w:ilvl w:val="0"/>
          <w:numId w:val="1"/>
        </w:numPr>
        <w:spacing w:after="80"/>
      </w:pPr>
      <w:r>
        <w:t xml:space="preserve">flop-labs/technocore-chat (Apache-2.0) — the coordination service itself. Live at https://technocore.chat. Ships an MCP server (uvx technocore-mcp) and an installable Agent Skill (SKILL.md).</w:t>
      </w:r>
    </w:p>
    <w:p>
      <w:pPr>
        <w:spacing w:after="160"/>
      </w:pPr>
      <w:r>
        <w:t xml:space="preserve">No official awesome-technocore list or SDK repo exists yet — Flop Labs has publicly said they'll link one if the community starts it.</w:t>
      </w:r>
    </w:p>
    <w:p>
      <w:pPr>
        <w:spacing w:after="160"/>
      </w:pPr>
      <w:r>
        <w:rPr>
          <w:b/>
          <w:bCs/>
        </w:rPr>
        <w:t xml:space="preserve">Caution: </w:t>
      </w:r>
      <w:r>
        <w:t xml:space="preserve">Several unofficial sites claim to help with onboarding. None are run by Flop Labs. Do not generate or store your private key through any of them.</w:t>
      </w:r>
    </w:p>
    <w:p>
      <w:pPr>
        <w:pStyle w:val="Heading1"/>
        <w:spacing w:after="150" w:before="300"/>
      </w:pPr>
      <w:r>
        <w:t xml:space="preserve">5. Phased Roadmap</w:t>
      </w:r>
    </w:p>
    <w:p>
      <w:pPr>
        <w:pStyle w:val="Heading2"/>
        <w:spacing w:after="120" w:before="240"/>
      </w:pPr>
      <w:r>
        <w:t xml:space="preserve">Phase 0 — Research &amp; Environment Setup (current)</w:t>
      </w:r>
    </w:p>
    <w:p>
      <w:pPr>
        <w:pStyle w:val="ListParagraph"/>
        <w:numPr>
          <w:ilvl w:val="0"/>
          <w:numId w:val="1"/>
        </w:numPr>
        <w:spacing w:after="80"/>
      </w:pPr>
      <w:r>
        <w:t xml:space="preserve">Track @flop_labs and the upcoming AMA for mechanism details</w:t>
      </w:r>
    </w:p>
    <w:p>
      <w:pPr>
        <w:pStyle w:val="ListParagraph"/>
        <w:numPr>
          <w:ilvl w:val="0"/>
          <w:numId w:val="1"/>
        </w:numPr>
        <w:spacing w:after="80"/>
      </w:pPr>
      <w:r>
        <w:t xml:space="preserve">Set up local tooling: Claude Code + technocore-mcp, Python identity/signing script</w:t>
      </w:r>
    </w:p>
    <w:p>
      <w:pPr>
        <w:pStyle w:val="ListParagraph"/>
        <w:numPr>
          <w:ilvl w:val="0"/>
          <w:numId w:val="1"/>
        </w:numPr>
        <w:spacing w:after="80"/>
      </w:pPr>
      <w:r>
        <w:t xml:space="preserve">Star and read flop-labs/technocore-chat, especially docs/design.md and docs/patterns.md</w:t>
      </w:r>
    </w:p>
    <w:p>
      <w:pPr>
        <w:pStyle w:val="Heading2"/>
        <w:spacing w:after="120" w:before="240"/>
      </w:pPr>
      <w:r>
        <w:t xml:space="preserve">Phase 1 — Signed Identity &amp; Network Access</w:t>
      </w:r>
    </w:p>
    <w:p>
      <w:pPr>
        <w:pStyle w:val="ListParagraph"/>
        <w:numPr>
          <w:ilvl w:val="0"/>
          <w:numId w:val="1"/>
        </w:numPr>
        <w:spacing w:after="80"/>
      </w:pPr>
      <w:r>
        <w:t xml:space="preserve">Create the flop-collab repository under your main GitHub account/org (zerostate), seeded with this white paper, README.md, and the issue templates from Section 6</w:t>
      </w:r>
    </w:p>
    <w:p>
      <w:pPr>
        <w:pStyle w:val="ListParagraph"/>
        <w:numPr>
          <w:ilvl w:val="0"/>
          <w:numId w:val="1"/>
        </w:numPr>
        <w:spacing w:after="80"/>
      </w:pPr>
      <w:r>
        <w:t xml:space="preserve">Generate one Ed25519 keypair locally; derive did:key:z6Mk...</w:t>
      </w:r>
    </w:p>
    <w:p>
      <w:pPr>
        <w:pStyle w:val="ListParagraph"/>
        <w:numPr>
          <w:ilvl w:val="0"/>
          <w:numId w:val="1"/>
        </w:numPr>
        <w:spacing w:after="80"/>
      </w:pPr>
      <w:r>
        <w:t xml:space="preserve">Back up the private key material offline, outside any repo</w:t>
      </w:r>
    </w:p>
    <w:p>
      <w:pPr>
        <w:pStyle w:val="ListParagraph"/>
        <w:numPr>
          <w:ilvl w:val="0"/>
          <w:numId w:val="1"/>
        </w:numPr>
        <w:spacing w:after="80"/>
      </w:pPr>
      <w:r>
        <w:t xml:space="preserve">Post one signed introduction message to the lobby room</w:t>
      </w:r>
    </w:p>
    <w:p>
      <w:pPr>
        <w:spacing w:after="160"/>
      </w:pPr>
      <w:r>
        <w:rPr>
          <w:b/>
          <w:bCs/>
        </w:rPr>
        <w:t xml:space="preserve">Exit criteria: </w:t>
      </w:r>
      <w:r>
        <w:t xml:space="preserve">github.com/zerostate/flop-collab exists and is populated; your DID is visible and verifiable in a public Technocore room</w:t>
      </w:r>
    </w:p>
    <w:p>
      <w:pPr>
        <w:pStyle w:val="Heading2"/>
        <w:spacing w:after="120" w:before="240"/>
      </w:pPr>
      <w:r>
        <w:t xml:space="preserve">Phase 2 — Testnet Participation &amp; Contribution</w:t>
      </w:r>
    </w:p>
    <w:p>
      <w:pPr>
        <w:pStyle w:val="ListParagraph"/>
        <w:numPr>
          <w:ilvl w:val="0"/>
          <w:numId w:val="1"/>
        </w:numPr>
        <w:spacing w:after="80"/>
      </w:pPr>
      <w:r>
        <w:t xml:space="preserve">Claim testnet tokens via the faucet once live (DID-gated)</w:t>
      </w:r>
    </w:p>
    <w:p>
      <w:pPr>
        <w:pStyle w:val="ListParagraph"/>
        <w:numPr>
          <w:ilvl w:val="0"/>
          <w:numId w:val="1"/>
        </w:numPr>
        <w:spacing w:after="80"/>
      </w:pPr>
      <w:r>
        <w:t xml:space="preserve">Publish at least one genuine, DID-linked contribution</w:t>
      </w:r>
    </w:p>
    <w:p>
      <w:pPr>
        <w:pStyle w:val="ListParagraph"/>
        <w:numPr>
          <w:ilvl w:val="0"/>
          <w:numId w:val="1"/>
        </w:numPr>
        <w:spacing w:after="80"/>
      </w:pPr>
      <w:r>
        <w:t xml:space="preserve">Evaluate any published miner/validator client before committing resources</w:t>
      </w:r>
    </w:p>
    <w:p>
      <w:pPr>
        <w:spacing w:after="160"/>
      </w:pPr>
      <w:r>
        <w:rPr>
          <w:b/>
          <w:bCs/>
        </w:rPr>
        <w:t xml:space="preserve">Exit criteria: </w:t>
      </w:r>
      <w:r>
        <w:t xml:space="preserve">documented, DID-linked contribution + testnet activity history</w:t>
      </w:r>
    </w:p>
    <w:p>
      <w:pPr>
        <w:pStyle w:val="Heading2"/>
        <w:spacing w:after="120" w:before="240"/>
      </w:pPr>
      <w:r>
        <w:t xml:space="preserve">Phase 3 — Genesis &amp; Claim (Q1 2027 target)</w:t>
      </w:r>
    </w:p>
    <w:p>
      <w:pPr>
        <w:pStyle w:val="ListParagraph"/>
        <w:numPr>
          <w:ilvl w:val="0"/>
          <w:numId w:val="1"/>
        </w:numPr>
        <w:spacing w:after="80"/>
      </w:pPr>
      <w:r>
        <w:t xml:space="preserve">Confirm claim mechanics once published</w:t>
      </w:r>
    </w:p>
    <w:p>
      <w:pPr>
        <w:pStyle w:val="ListParagraph"/>
        <w:numPr>
          <w:ilvl w:val="0"/>
          <w:numId w:val="1"/>
        </w:numPr>
        <w:spacing w:after="80"/>
      </w:pPr>
      <w:r>
        <w:t xml:space="preserve">Verify any claim contract/site independently before connecting a wallet</w:t>
      </w:r>
    </w:p>
    <w:p>
      <w:pPr>
        <w:pStyle w:val="ListParagraph"/>
        <w:numPr>
          <w:ilvl w:val="0"/>
          <w:numId w:val="1"/>
        </w:numPr>
        <w:spacing w:after="80"/>
      </w:pPr>
      <w:r>
        <w:t xml:space="preserve">Execute the claim</w:t>
      </w:r>
    </w:p>
    <w:p>
      <w:pPr>
        <w:spacing w:after="160"/>
      </w:pPr>
      <w:r>
        <w:rPr>
          <w:b/>
          <w:bCs/>
        </w:rPr>
        <w:t xml:space="preserve">Exit criteria: </w:t>
      </w:r>
      <w:r>
        <w:t xml:space="preserve">FLOP claimed to a wallet you control, verified through official channels only</w:t>
      </w:r>
    </w:p>
    <w:p>
      <w:pPr>
        <w:pStyle w:val="Heading2"/>
        <w:spacing w:after="120" w:before="240"/>
      </w:pPr>
      <w:r>
        <w:t xml:space="preserve">Phase 4 — Post-Launch Collaboration</w:t>
      </w:r>
    </w:p>
    <w:p>
      <w:pPr>
        <w:pStyle w:val="ListParagraph"/>
        <w:numPr>
          <w:ilvl w:val="0"/>
          <w:numId w:val="1"/>
        </w:numPr>
        <w:spacing w:after="80"/>
      </w:pPr>
      <w:r>
        <w:t xml:space="preserve">Reassess protocol maturity: whitepaper, audit, real economic activity?</w:t>
      </w:r>
    </w:p>
    <w:p>
      <w:pPr>
        <w:pStyle w:val="ListParagraph"/>
        <w:numPr>
          <w:ilvl w:val="0"/>
          <w:numId w:val="1"/>
        </w:numPr>
        <w:spacing w:after="80"/>
      </w:pPr>
      <w:r>
        <w:t xml:space="preserve">If yes: contribute upstream or continue as a miner/validator</w:t>
      </w:r>
    </w:p>
    <w:p>
      <w:pPr>
        <w:pStyle w:val="ListParagraph"/>
        <w:numPr>
          <w:ilvl w:val="0"/>
          <w:numId w:val="1"/>
        </w:numPr>
        <w:spacing w:after="80"/>
      </w:pPr>
      <w:r>
        <w:t xml:space="preserve">If no: treat the airdrop as the end state and deprioritize further investment</w:t>
      </w:r>
    </w:p>
    <w:p>
      <w:pPr>
        <w:pStyle w:val="Heading1"/>
        <w:spacing w:after="150" w:before="300"/>
      </w:pPr>
      <w:r>
        <w:t xml:space="preserve">6. Repository &amp; Collaboration Plan</w:t>
      </w:r>
    </w:p>
    <w:p>
      <w:pPr>
        <w:spacing w:after="160"/>
      </w:pPr>
      <w:r>
        <w:rPr>
          <w:b/>
          <w:bCs/>
        </w:rPr>
        <w:t xml:space="preserve">Repo: </w:t>
      </w:r>
      <w:r>
        <w:t xml:space="preserve">github.com/zerostate/flop-collab — created under your main GitHub account/org as part of Phase 1, so this work sits alongside your other public projects from day one.</w:t>
      </w:r>
    </w:p>
    <w:p>
      <w:pPr>
        <w:spacing w:after="160"/>
      </w:pPr>
      <w:r>
        <w:t xml:space="preserve">Recommended structure for the repo, which tracks this work, holds this document, and stages future contributions back to flop-labs/technocore-chat:</w:t>
      </w:r>
    </w:p>
    <w:p>
      <w:pPr>
        <w:spacing w:after="200"/>
      </w:pPr>
      <w:r>
        <w:rPr>
          <w:rFonts w:ascii="Consolas" w:cs="Consolas" w:eastAsia="Consolas" w:hAnsi="Consolas"/>
          <w:sz w:val="20"/>
          <w:szCs w:val="20"/>
        </w:rPr>
        <w:t xml:space="preserve">flop-collab/
├── docs/
│   └── whitepaper.md          (this document)
├── identity/
│   └── (DID public key only — never the private key)
├── .github/ISSUE_TEMPLATE/
│   ├── phase-task.md
│   └── contribution-idea.md
└── README.md</w:t>
      </w:r>
    </w:p>
    <w:p>
      <w:pPr>
        <w:spacing w:after="160"/>
      </w:pPr>
      <w:r>
        <w:rPr>
          <w:b/>
          <w:bCs/>
        </w:rPr>
        <w:t xml:space="preserve">Never commit the private key file </w:t>
      </w:r>
      <w:r>
        <w:t xml:space="preserve">to this or any repo, public or private. Only the public DID belongs in version control.</w:t>
      </w:r>
    </w:p>
    <w:p>
      <w:pPr>
        <w:spacing w:after="160"/>
      </w:pPr>
      <w:r>
        <w:t xml:space="preserve">Use GitHub Issues on this repo to track phase progress — one issue per Phase-1/2/3/4 milestone above, plus a running backlog of contribution ideas. When an idea is ready to become a real contribution, open the PR against flop-labs/technocore-chat directly rather than this repo.</w:t>
      </w:r>
    </w:p>
    <w:p>
      <w:pPr>
        <w:pStyle w:val="Heading1"/>
        <w:spacing w:after="150" w:before="300"/>
      </w:pPr>
      <w:r>
        <w:t xml:space="preserve">7.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shd w:fill="2F5496" w:val="clear"/>
          </w:tcPr>
          <w:p>
            <w:r>
              <w:rPr>
                <w:b/>
                <w:bCs/>
                <w:color w:val="FFFFFF"/>
              </w:rPr>
              <w:t xml:space="preserve">Risk</w:t>
            </w:r>
          </w:p>
        </w:tc>
        <w:tc>
          <w:tcPr>
            <w:tcW w:type="dxa" w:w="2200"/>
            <w:shd w:fill="2F5496" w:val="clear"/>
          </w:tcPr>
          <w:p>
            <w:r>
              <w:rPr>
                <w:b/>
                <w:bCs/>
                <w:color w:val="FFFFFF"/>
              </w:rPr>
              <w:t xml:space="preserve">Likelihood</w:t>
            </w:r>
          </w:p>
        </w:tc>
        <w:tc>
          <w:tcPr>
            <w:tcW w:type="dxa" w:w="3600"/>
            <w:shd w:fill="2F5496" w:val="clear"/>
          </w:tcPr>
          <w:p>
            <w:r>
              <w:rPr>
                <w:b/>
                <w:bCs/>
                <w:color w:val="FFFFFF"/>
              </w:rPr>
              <w:t xml:space="preserve">Notes</w:t>
            </w:r>
          </w:p>
        </w:tc>
      </w:tr>
      <w:tr>
        <w:tc>
          <w:tcPr>
            <w:tcW w:type="dxa" w:w="3200"/>
          </w:tcPr>
          <w:p>
            <w:r>
              <w:rPr>
                <w:b w:val="false"/>
                <w:bCs w:val="false"/>
              </w:rPr>
              <w:t xml:space="preserve">Project discontinued or airdrop terms change</w:t>
            </w:r>
          </w:p>
        </w:tc>
        <w:tc>
          <w:tcPr>
            <w:tcW w:type="dxa" w:w="2200"/>
          </w:tcPr>
          <w:p>
            <w:r>
              <w:rPr>
                <w:b w:val="false"/>
                <w:bCs w:val="false"/>
              </w:rPr>
              <w:t xml:space="preserve">Medium</w:t>
            </w:r>
          </w:p>
        </w:tc>
        <w:tc>
          <w:tcPr>
            <w:tcW w:type="dxa" w:w="3600"/>
          </w:tcPr>
          <w:p>
            <w:r>
              <w:rPr>
                <w:b w:val="false"/>
                <w:bCs w:val="false"/>
              </w:rPr>
              <w:t xml:space="preserve">No binding commitments published yet</w:t>
            </w:r>
          </w:p>
        </w:tc>
      </w:tr>
      <w:tr>
        <w:tc>
          <w:tcPr>
            <w:tcW w:type="dxa" w:w="3200"/>
          </w:tcPr>
          <w:p>
            <w:r>
              <w:rPr>
                <w:b w:val="false"/>
                <w:bCs w:val="false"/>
              </w:rPr>
              <w:t xml:space="preserve">Token has little or no value at claim</w:t>
            </w:r>
          </w:p>
        </w:tc>
        <w:tc>
          <w:tcPr>
            <w:tcW w:type="dxa" w:w="2200"/>
          </w:tcPr>
          <w:p>
            <w:r>
              <w:rPr>
                <w:b w:val="false"/>
                <w:bCs w:val="false"/>
              </w:rPr>
              <w:t xml:space="preserve">Medium–High</w:t>
            </w:r>
          </w:p>
        </w:tc>
        <w:tc>
          <w:tcPr>
            <w:tcW w:type="dxa" w:w="3600"/>
          </w:tcPr>
          <w:p>
            <w:r>
              <w:rPr>
                <w:b w:val="false"/>
                <w:bCs w:val="false"/>
              </w:rPr>
              <w:t xml:space="preserve">No tokenomics, no listing, purely speculative</w:t>
            </w:r>
          </w:p>
        </w:tc>
      </w:tr>
      <w:tr>
        <w:tc>
          <w:tcPr>
            <w:tcW w:type="dxa" w:w="3200"/>
          </w:tcPr>
          <w:p>
            <w:r>
              <w:rPr>
                <w:b w:val="false"/>
                <w:bCs w:val="false"/>
              </w:rPr>
              <w:t xml:space="preserve">Private key loss or leak</w:t>
            </w:r>
          </w:p>
        </w:tc>
        <w:tc>
          <w:tcPr>
            <w:tcW w:type="dxa" w:w="2200"/>
          </w:tcPr>
          <w:p>
            <w:r>
              <w:rPr>
                <w:b w:val="false"/>
                <w:bCs w:val="false"/>
              </w:rPr>
              <w:t xml:space="preserve">Low if handled per Phase 1</w:t>
            </w:r>
          </w:p>
        </w:tc>
        <w:tc>
          <w:tcPr>
            <w:tcW w:type="dxa" w:w="3600"/>
          </w:tcPr>
          <w:p>
            <w:r>
              <w:rPr>
                <w:b w:val="false"/>
                <w:bCs w:val="false"/>
              </w:rPr>
              <w:t xml:space="preserve">Entirely your responsibility</w:t>
            </w:r>
          </w:p>
        </w:tc>
      </w:tr>
      <w:tr>
        <w:tc>
          <w:tcPr>
            <w:tcW w:type="dxa" w:w="3200"/>
          </w:tcPr>
          <w:p>
            <w:r>
              <w:rPr>
                <w:b w:val="false"/>
                <w:bCs w:val="false"/>
              </w:rPr>
              <w:t xml:space="preserve">Third-party "helper" tool compromises your key</w:t>
            </w:r>
          </w:p>
        </w:tc>
        <w:tc>
          <w:tcPr>
            <w:tcW w:type="dxa" w:w="2200"/>
          </w:tcPr>
          <w:p>
            <w:r>
              <w:rPr>
                <w:b w:val="false"/>
                <w:bCs w:val="false"/>
              </w:rPr>
              <w:t xml:space="preserve">Medium</w:t>
            </w:r>
          </w:p>
        </w:tc>
        <w:tc>
          <w:tcPr>
            <w:tcW w:type="dxa" w:w="3600"/>
          </w:tcPr>
          <w:p>
            <w:r>
              <w:rPr>
                <w:b w:val="false"/>
                <w:bCs w:val="false"/>
              </w:rPr>
              <w:t xml:space="preserve">Multiple unofficial tools circulating; avoid</w:t>
            </w:r>
          </w:p>
        </w:tc>
      </w:tr>
      <w:tr>
        <w:tc>
          <w:tcPr>
            <w:tcW w:type="dxa" w:w="3200"/>
          </w:tcPr>
          <w:p>
            <w:r>
              <w:rPr>
                <w:b w:val="false"/>
                <w:bCs w:val="false"/>
              </w:rPr>
              <w:t xml:space="preserve">Engagement gaming gets you excluded/banned</w:t>
            </w:r>
          </w:p>
        </w:tc>
        <w:tc>
          <w:tcPr>
            <w:tcW w:type="dxa" w:w="2200"/>
          </w:tcPr>
          <w:p>
            <w:r>
              <w:rPr>
                <w:b w:val="false"/>
                <w:bCs w:val="false"/>
              </w:rPr>
              <w:t xml:space="preserve">N/A if avoided</w:t>
            </w:r>
          </w:p>
        </w:tc>
        <w:tc>
          <w:tcPr>
            <w:tcW w:type="dxa" w:w="3600"/>
          </w:tcPr>
          <w:p>
            <w:r>
              <w:rPr>
                <w:b w:val="false"/>
                <w:bCs w:val="false"/>
              </w:rPr>
              <w:t xml:space="preserve">Explicitly out of scope for this plan</w:t>
            </w:r>
          </w:p>
        </w:tc>
      </w:tr>
      <w:tr>
        <w:tc>
          <w:tcPr>
            <w:tcW w:type="dxa" w:w="3200"/>
          </w:tcPr>
          <w:p>
            <w:r>
              <w:rPr>
                <w:b w:val="false"/>
                <w:bCs w:val="false"/>
              </w:rPr>
              <w:t xml:space="preserve">Genuine contribution has value even if FLOP doesn't</w:t>
            </w:r>
          </w:p>
        </w:tc>
        <w:tc>
          <w:tcPr>
            <w:tcW w:type="dxa" w:w="2200"/>
          </w:tcPr>
          <w:p>
            <w:r>
              <w:rPr>
                <w:b w:val="false"/>
                <w:bCs w:val="false"/>
              </w:rPr>
              <w:t xml:space="preserve">—</w:t>
            </w:r>
          </w:p>
        </w:tc>
        <w:tc>
          <w:tcPr>
            <w:tcW w:type="dxa" w:w="3600"/>
          </w:tcPr>
          <w:p>
            <w:r>
              <w:rPr>
                <w:b w:val="false"/>
                <w:bCs w:val="false"/>
              </w:rPr>
              <w:t xml:space="preserve">The hedge: real, reusable skills/tools regardless of token outcome</w:t>
            </w:r>
          </w:p>
        </w:tc>
      </w:tr>
    </w:tbl>
    <w:p>
      <w:pPr>
        <w:spacing w:after="200"/>
      </w:pPr>
    </w:p>
    <w:p>
      <w:pPr>
        <w:pStyle w:val="Heading1"/>
        <w:spacing w:after="150" w:before="300"/>
      </w:pPr>
      <w:r>
        <w:t xml:space="preserve">8. Appendix — Quick Reference</w:t>
      </w:r>
    </w:p>
    <w:p>
      <w:pPr>
        <w:spacing w:after="200"/>
      </w:pPr>
      <w:r>
        <w:rPr>
          <w:rFonts w:ascii="Consolas" w:cs="Consolas" w:eastAsia="Consolas" w:hAnsi="Consolas"/>
          <w:sz w:val="20"/>
          <w:szCs w:val="20"/>
        </w:rPr>
        <w:t xml:space="preserve">claude mcp add technocore -- uvx technocore-mcp
pip install cryptography base58 requests --break-system-packages
python technocore_identity.py genkey
python technocore_identity.py post lobby "hello technocore"</w:t>
      </w:r>
    </w:p>
    <w:p>
      <w:pPr>
        <w:spacing w:after="160"/>
      </w:pPr>
      <w:r>
        <w:rPr>
          <w:b/>
          <w:bCs/>
        </w:rPr>
        <w:t xml:space="preserve">Official manual: </w:t>
      </w:r>
      <w:r>
        <w:t xml:space="preserve">https://technocore.chat/llms.txt</w:t>
      </w:r>
    </w:p>
    <w:p>
      <w:pPr>
        <w:spacing w:after="160"/>
      </w:pPr>
      <w:r>
        <w:rPr>
          <w:b/>
          <w:bCs/>
        </w:rPr>
        <w:t xml:space="preserve">Official repo: </w:t>
      </w:r>
      <w:r>
        <w:t xml:space="preserve">https://github.com/flop-labs/technocore-chat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2026-08-27T05:27:44.305Z</dcterms:created>
  <dcterms:modified xsi:type="dcterms:W3CDTF">2026-08-27T05:27:44.317Z</dcterms:modified>
</cp:coreProperties>
</file>

<file path=docProps/custom.xml><?xml version="1.0" encoding="utf-8"?>
<Properties xmlns="http://schemas.openxmlformats.org/officeDocument/2006/custom-properties" xmlns:vt="http://schemas.openxmlformats.org/officeDocument/2006/docPropsVTypes"/>
</file>