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Checkpoint 2, Explained End to End</w:t>
      </w:r>
    </w:p>
    <w:p>
      <w:r>
        <w:rPr>
          <w:b/>
        </w:rPr>
        <w:t>BED 106 — Business Analytics · Mini Capstone · Sales Trend Analysis</w:t>
      </w:r>
    </w:p>
    <w:p>
      <w:r>
        <w:t>Everything in Checkpoint 2: what was asked, what the workbook contains sheet by sheet, what every statistic means, and how each finding was reached.</w:t>
      </w:r>
    </w:p>
    <w:p>
      <w:r>
        <w:t xml:space="preserve">Read it before the checkpoint. Section 1.4 of the brief lets the instructor ask any member to explain any part of the project — and Checkpoint 2 is the one where that is most likely to mean </w:t>
      </w:r>
      <w:r>
        <w:rPr>
          <w:i/>
        </w:rPr>
        <w:t>"what does this number mean?"</w:t>
      </w:r>
    </w:p>
    <w:p>
      <w:r>
        <w:rPr>
          <w:b/>
        </w:rPr>
        <w:t>Contents</w:t>
      </w:r>
    </w:p>
    <w:p>
      <w:pPr>
        <w:pStyle w:val="ListNumber"/>
      </w:pPr>
      <w:r>
        <w:t>[What Checkpoint 2 is](#1-what-checkpoint-2-is)</w:t>
      </w:r>
    </w:p>
    <w:p>
      <w:pPr>
        <w:pStyle w:val="ListNumber"/>
      </w:pPr>
      <w:r>
        <w:t>[The workbook, sheet by sheet](#2-the-workbook-sheet-by-sheet)</w:t>
      </w:r>
    </w:p>
    <w:p>
      <w:pPr>
        <w:pStyle w:val="ListNumber"/>
      </w:pPr>
      <w:r>
        <w:t>[Task 2.1 — the spreadsheet](#3-task-21--the-spreadsheet)</w:t>
      </w:r>
    </w:p>
    <w:p>
      <w:pPr>
        <w:pStyle w:val="ListNumber"/>
      </w:pPr>
      <w:r>
        <w:t>[Task 2.2 — descriptive statistics](#4-task-22--descriptive-statistics)</w:t>
      </w:r>
    </w:p>
    <w:p>
      <w:pPr>
        <w:pStyle w:val="ListNumber"/>
      </w:pPr>
      <w:r>
        <w:t>[Task 2.3 — correlation](#5-task-23--correlation)</w:t>
      </w:r>
    </w:p>
    <w:p>
      <w:pPr>
        <w:pStyle w:val="ListNumber"/>
      </w:pPr>
      <w:r>
        <w:t>[Task 2.4 — regression](#6-task-24--regression)</w:t>
      </w:r>
    </w:p>
    <w:p>
      <w:pPr>
        <w:pStyle w:val="ListNumber"/>
      </w:pPr>
      <w:r>
        <w:t>[Task 2.5 — trend and seasonality](#7-task-25--trend-and-seasonality)</w:t>
      </w:r>
    </w:p>
    <w:p>
      <w:pPr>
        <w:pStyle w:val="ListNumber"/>
      </w:pPr>
      <w:r>
        <w:t>[Statistics reference](#8-statistics-reference)</w:t>
      </w:r>
    </w:p>
    <w:p>
      <w:pPr>
        <w:pStyle w:val="ListNumber"/>
      </w:pPr>
      <w:r>
        <w:t>[The six findings](#9-the-six-findings)</w:t>
      </w:r>
    </w:p>
    <w:p>
      <w:pPr>
        <w:pStyle w:val="ListNumber"/>
      </w:pPr>
      <w:r>
        <w:t>[Likely defense questions](#10-likely-defense-questions)</w:t>
      </w:r>
    </w:p>
    <w:p>
      <w:pPr>
        <w:pStyle w:val="ListNumber"/>
      </w:pPr>
      <w:r>
        <w:t>[Glossary](#11-glossary)</w:t>
      </w:r>
    </w:p>
    <w:p>
      <w:r>
        <w:br w:type="page"/>
      </w:r>
    </w:p>
    <w:p>
      <w:pPr>
        <w:pStyle w:val="Heading2"/>
      </w:pPr>
      <w:r>
        <w:t>1. What Checkpoint 2 is</w:t>
      </w:r>
    </w:p>
    <w:p>
      <w:r>
        <w:t xml:space="preserve">The </w:t>
      </w:r>
      <w:r>
        <w:rPr>
          <w:b/>
        </w:rPr>
        <w:t>Midterm</w:t>
      </w:r>
      <w:r>
        <w:t xml:space="preserve"> phase, Weeks 5–9, worth </w:t>
      </w:r>
      <w:r>
        <w:rPr>
          <w:b/>
        </w:rPr>
        <w:t>100 of the 400</w:t>
      </w:r>
      <w:r>
        <w:t xml:space="preserve"> capstone points. It assesses </w:t>
      </w:r>
      <w:r>
        <w:rPr>
          <w:b/>
        </w:rPr>
        <w:t>CILO 2</w:t>
      </w:r>
      <w:r>
        <w:t xml:space="preserve">: </w:t>
      </w:r>
      <w:r>
        <w:rPr>
          <w:i/>
        </w:rPr>
        <w:t>apply spreadsheet and statistical techniques (descriptive statistics, correlation, regression) to analyze business data and support decision-making.</w:t>
      </w:r>
    </w:p>
    <w:p>
      <w:r>
        <w:t xml:space="preserve">Checkpoint 1 built a database and asked </w:t>
      </w:r>
      <w:r>
        <w:rPr>
          <w:i/>
        </w:rPr>
        <w:t>what happened</w:t>
      </w:r>
      <w:r>
        <w:t xml:space="preserve">. Checkpoint 2 takes the same data into a spreadsheet and asks </w:t>
      </w:r>
      <w:r>
        <w:rPr>
          <w:i/>
        </w:rPr>
        <w:t>how strong is the evidence, and what can we predict</w:t>
      </w:r>
      <w:r>
        <w:t xml:space="preserve">. The brief requires the </w:t>
      </w:r>
      <w:r>
        <w:rPr>
          <w:b/>
        </w:rPr>
        <w:t>same dataset</w:t>
      </w:r>
      <w:r>
        <w:t xml:space="preserve"> — you cannot switch.</w:t>
      </w:r>
    </w:p>
    <w:p>
      <w:pPr>
        <w:pStyle w:val="Heading3"/>
      </w:pPr>
      <w:r>
        <w:t>How the 100 points split</w:t>
      </w:r>
    </w:p>
    <w:tbl>
      <w:tblPr>
        <w:tblStyle w:val="LightGrid-Accent1"/>
        <w:tblW w:type="auto" w:w="0"/>
        <w:jc w:val="center"/>
        <w:tblLayout w:type="autofit"/>
        <w:tblLook w:firstColumn="1" w:firstRow="1" w:lastColumn="0" w:lastRow="0" w:noHBand="0" w:noVBand="1" w:val="04A0"/>
      </w:tblPr>
      <w:tblGrid>
        <w:gridCol w:w="3120"/>
        <w:gridCol w:w="3120"/>
        <w:gridCol w:w="3120"/>
      </w:tblGrid>
      <w:tr>
        <w:tc>
          <w:tcPr>
            <w:tcW w:type="dxa" w:w="3120"/>
          </w:tcPr>
          <w:p>
            <w:r>
              <w:rPr>
                <w:b/>
              </w:rPr>
            </w:r>
            <w:r>
              <w:rPr>
                <w:b/>
              </w:rPr>
              <w:t>Criterion</w:t>
            </w:r>
          </w:p>
        </w:tc>
        <w:tc>
          <w:tcPr>
            <w:tcW w:type="dxa" w:w="3120"/>
          </w:tcPr>
          <w:p>
            <w:r>
              <w:rPr>
                <w:b/>
              </w:rPr>
            </w:r>
            <w:r>
              <w:rPr>
                <w:b/>
              </w:rPr>
              <w:t>Points</w:t>
            </w:r>
          </w:p>
        </w:tc>
        <w:tc>
          <w:tcPr>
            <w:tcW w:type="dxa" w:w="3120"/>
          </w:tcPr>
          <w:p>
            <w:r>
              <w:rPr>
                <w:b/>
              </w:rPr>
            </w:r>
            <w:r>
              <w:rPr>
                <w:b/>
              </w:rPr>
              <w:t>What the examiner looks for</w:t>
            </w:r>
          </w:p>
        </w:tc>
      </w:tr>
      <w:tr>
        <w:tc>
          <w:tcPr>
            <w:tcW w:type="dxa" w:w="3120"/>
          </w:tcPr>
          <w:p>
            <w:pPr>
              <w:spacing w:line="240" w:lineRule="auto"/>
            </w:pPr>
            <w:r>
              <w:rPr>
                <w:sz w:val="18"/>
              </w:rPr>
            </w:r>
            <w:r>
              <w:rPr>
                <w:sz w:val="18"/>
              </w:rPr>
              <w:t>Statistical Accuracy</w:t>
            </w:r>
          </w:p>
        </w:tc>
        <w:tc>
          <w:tcPr>
            <w:tcW w:type="dxa" w:w="3120"/>
          </w:tcPr>
          <w:p>
            <w:pPr>
              <w:spacing w:line="240" w:lineRule="auto"/>
            </w:pPr>
            <w:r>
              <w:rPr>
                <w:sz w:val="18"/>
              </w:rPr>
            </w:r>
            <w:r>
              <w:rPr>
                <w:b/>
                <w:sz w:val="18"/>
              </w:rPr>
              <w:t>30</w:t>
            </w:r>
          </w:p>
        </w:tc>
        <w:tc>
          <w:tcPr>
            <w:tcW w:type="dxa" w:w="3120"/>
          </w:tcPr>
          <w:p>
            <w:pPr>
              <w:spacing w:line="240" w:lineRule="auto"/>
            </w:pPr>
            <w:r>
              <w:rPr>
                <w:sz w:val="18"/>
              </w:rPr>
            </w:r>
            <w:r>
              <w:rPr>
                <w:sz w:val="18"/>
              </w:rPr>
              <w:t>Descriptive stats correct and complete. Correlation and regression outputs accurate. Calculations match the data.</w:t>
            </w:r>
          </w:p>
        </w:tc>
      </w:tr>
      <w:tr>
        <w:tc>
          <w:tcPr>
            <w:tcW w:type="dxa" w:w="3120"/>
          </w:tcPr>
          <w:p>
            <w:pPr>
              <w:spacing w:line="240" w:lineRule="auto"/>
            </w:pPr>
            <w:r>
              <w:rPr>
                <w:sz w:val="18"/>
              </w:rPr>
            </w:r>
            <w:r>
              <w:rPr>
                <w:sz w:val="18"/>
              </w:rPr>
              <w:t>Interpretation of Results</w:t>
            </w:r>
          </w:p>
        </w:tc>
        <w:tc>
          <w:tcPr>
            <w:tcW w:type="dxa" w:w="3120"/>
          </w:tcPr>
          <w:p>
            <w:pPr>
              <w:spacing w:line="240" w:lineRule="auto"/>
            </w:pPr>
            <w:r>
              <w:rPr>
                <w:sz w:val="18"/>
              </w:rPr>
            </w:r>
            <w:r>
              <w:rPr>
                <w:b/>
                <w:sz w:val="18"/>
              </w:rPr>
              <w:t>30</w:t>
            </w:r>
          </w:p>
        </w:tc>
        <w:tc>
          <w:tcPr>
            <w:tcW w:type="dxa" w:w="3120"/>
          </w:tcPr>
          <w:p>
            <w:pPr>
              <w:spacing w:line="240" w:lineRule="auto"/>
            </w:pPr>
            <w:r>
              <w:rPr>
                <w:sz w:val="18"/>
              </w:rPr>
            </w:r>
            <w:r>
              <w:rPr>
                <w:sz w:val="18"/>
              </w:rPr>
              <w:t>Narratives show genuine business insight. R², p-value and the equation interpreted correctly. Findings tied back to the original questions.</w:t>
            </w:r>
          </w:p>
        </w:tc>
      </w:tr>
      <w:tr>
        <w:tc>
          <w:tcPr>
            <w:tcW w:type="dxa" w:w="3120"/>
          </w:tcPr>
          <w:p>
            <w:pPr>
              <w:spacing w:line="240" w:lineRule="auto"/>
            </w:pPr>
            <w:r>
              <w:rPr>
                <w:sz w:val="18"/>
              </w:rPr>
            </w:r>
            <w:r>
              <w:rPr>
                <w:sz w:val="18"/>
              </w:rPr>
              <w:t>Spreadsheet Report Quality</w:t>
            </w:r>
          </w:p>
        </w:tc>
        <w:tc>
          <w:tcPr>
            <w:tcW w:type="dxa" w:w="3120"/>
          </w:tcPr>
          <w:p>
            <w:pPr>
              <w:spacing w:line="240" w:lineRule="auto"/>
            </w:pPr>
            <w:r>
              <w:rPr>
                <w:sz w:val="18"/>
              </w:rPr>
            </w:r>
            <w:r>
              <w:rPr>
                <w:b/>
                <w:sz w:val="18"/>
              </w:rPr>
              <w:t>25</w:t>
            </w:r>
          </w:p>
        </w:tc>
        <w:tc>
          <w:tcPr>
            <w:tcW w:type="dxa" w:w="3120"/>
          </w:tcPr>
          <w:p>
            <w:pPr>
              <w:spacing w:line="240" w:lineRule="auto"/>
            </w:pPr>
            <w:r>
              <w:rPr>
                <w:sz w:val="18"/>
              </w:rPr>
            </w:r>
            <w:r>
              <w:rPr>
                <w:sz w:val="18"/>
              </w:rPr>
              <w:t>Organised workbook, labelled sheets. Pivot tables and charts correct and relevant. Formulas appropriate.</w:t>
            </w:r>
          </w:p>
        </w:tc>
      </w:tr>
      <w:tr>
        <w:tc>
          <w:tcPr>
            <w:tcW w:type="dxa" w:w="3120"/>
          </w:tcPr>
          <w:p>
            <w:pPr>
              <w:spacing w:line="240" w:lineRule="auto"/>
            </w:pPr>
            <w:r>
              <w:rPr>
                <w:sz w:val="18"/>
              </w:rPr>
            </w:r>
            <w:r>
              <w:rPr>
                <w:sz w:val="18"/>
              </w:rPr>
              <w:t>Documentation</w:t>
            </w:r>
          </w:p>
        </w:tc>
        <w:tc>
          <w:tcPr>
            <w:tcW w:type="dxa" w:w="3120"/>
          </w:tcPr>
          <w:p>
            <w:pPr>
              <w:spacing w:line="240" w:lineRule="auto"/>
            </w:pPr>
            <w:r>
              <w:rPr>
                <w:sz w:val="18"/>
              </w:rPr>
            </w:r>
            <w:r>
              <w:rPr>
                <w:b/>
                <w:sz w:val="18"/>
              </w:rPr>
              <w:t>15</w:t>
            </w:r>
          </w:p>
        </w:tc>
        <w:tc>
          <w:tcPr>
            <w:tcW w:type="dxa" w:w="3120"/>
          </w:tcPr>
          <w:p>
            <w:pPr>
              <w:spacing w:line="240" w:lineRule="auto"/>
            </w:pPr>
            <w:r>
              <w:rPr>
                <w:sz w:val="18"/>
              </w:rPr>
            </w:r>
            <w:r>
              <w:rPr>
                <w:sz w:val="18"/>
              </w:rPr>
              <w:t>Neat structure, titled charts, workbook submitted with the report.</w:t>
            </w:r>
          </w:p>
        </w:tc>
      </w:tr>
    </w:tbl>
    <w:p>
      <w:pPr>
        <w:spacing w:after="200" w:line="240" w:lineRule="auto"/>
        <w:jc w:val="center"/>
      </w:pPr>
      <w:r>
        <w:rPr>
          <w:i/>
          <w:color w:val="7B8994"/>
          <w:sz w:val="20"/>
        </w:rPr>
        <w:t>Table 1. How the 100 points split</w:t>
      </w:r>
    </w:p>
    <w:p>
      <w:r>
        <w:rPr>
          <w:b/>
        </w:rPr>
        <w:t>Where the marks really are:</w:t>
      </w:r>
      <w:r>
        <w:t xml:space="preserve"> accuracy and interpretation together are </w:t>
      </w:r>
      <w:r>
        <w:rPr>
          <w:b/>
        </w:rPr>
        <w:t>60%</w:t>
      </w:r>
      <w:r>
        <w:t xml:space="preserve">. Getting the numbers right is only half — you must also say what they </w:t>
      </w:r>
      <w:r>
        <w:rPr>
          <w:i/>
        </w:rPr>
        <w:t>mean</w:t>
      </w:r>
      <w:r>
        <w:t xml:space="preserve"> for the business. A correct R² with no interpretation scores badly.</w:t>
      </w:r>
    </w:p>
    <w:p>
      <w:pPr>
        <w:pStyle w:val="Heading3"/>
      </w:pPr>
      <w:r>
        <w:t>What must be submitted</w:t>
      </w:r>
    </w:p>
    <w:p>
      <w:pPr>
        <w:pStyle w:val="ListBullet"/>
      </w:pPr>
      <w:r>
        <w:t>Printed report with all written interpretations and printed outputs.</w:t>
      </w:r>
    </w:p>
    <w:p>
      <w:pPr>
        <w:pStyle w:val="ListBullet"/>
      </w:pPr>
      <w:r>
        <w:t>The Excel workbook (</w:t>
      </w:r>
      <w:r>
        <w:rPr>
          <w:rFonts w:ascii="Consolas" w:hAnsi="Consolas"/>
          <w:color w:val="2F6F9F"/>
          <w:sz w:val="18"/>
        </w:rPr>
        <w:t>.xlsx</w:t>
      </w:r>
      <w:r>
        <w:t>) via the class portal.</w:t>
      </w:r>
    </w:p>
    <w:p>
      <w:pPr>
        <w:pStyle w:val="ListBullet"/>
      </w:pPr>
      <w:r>
        <w:t>Updated signed Individual Contribution Form.</w:t>
      </w:r>
    </w:p>
    <w:p>
      <w:pPr>
        <w:pStyle w:val="ListBullet"/>
      </w:pPr>
      <w:r>
        <w:t>Deadline: end of the Week 9 laboratory session.</w:t>
      </w:r>
    </w:p>
    <w:p>
      <w:r>
        <w:br w:type="page"/>
      </w:r>
    </w:p>
    <w:p>
      <w:pPr>
        <w:pStyle w:val="Heading2"/>
      </w:pPr>
      <w:r>
        <w:t>2. The workbook, sheet by sheet</w:t>
      </w:r>
    </w:p>
    <w:p>
      <w:r>
        <w:rPr>
          <w:rFonts w:ascii="Consolas" w:hAnsi="Consolas"/>
          <w:color w:val="2F6F9F"/>
          <w:sz w:val="18"/>
        </w:rPr>
        <w:t>reports/Checkpoint_2_Workbook.xlsx</w:t>
      </w:r>
      <w:r>
        <w:t xml:space="preserve"> — ten sheets, 1,724 formula cells.</w:t>
      </w:r>
    </w:p>
    <w:tbl>
      <w:tblPr>
        <w:tblStyle w:val="LightGrid-Accent1"/>
        <w:tblW w:type="auto" w:w="0"/>
        <w:jc w:val="center"/>
        <w:tblLayout w:type="autofit"/>
        <w:tblLook w:firstColumn="1" w:firstRow="1" w:lastColumn="0" w:lastRow="0" w:noHBand="0" w:noVBand="1" w:val="04A0"/>
      </w:tblPr>
      <w:tblGrid>
        <w:gridCol w:w="3120"/>
        <w:gridCol w:w="3120"/>
        <w:gridCol w:w="3120"/>
      </w:tblGrid>
      <w:tr>
        <w:tc>
          <w:tcPr>
            <w:tcW w:type="dxa" w:w="3120"/>
          </w:tcPr>
          <w:p>
            <w:r>
              <w:rPr>
                <w:b/>
              </w:rPr>
            </w:r>
            <w:r>
              <w:rPr>
                <w:b/>
              </w:rPr>
              <w:t>Sheet</w:t>
            </w:r>
          </w:p>
        </w:tc>
        <w:tc>
          <w:tcPr>
            <w:tcW w:type="dxa" w:w="3120"/>
          </w:tcPr>
          <w:p>
            <w:r>
              <w:rPr>
                <w:b/>
              </w:rPr>
            </w:r>
            <w:r>
              <w:rPr>
                <w:b/>
              </w:rPr>
              <w:t>Task</w:t>
            </w:r>
          </w:p>
        </w:tc>
        <w:tc>
          <w:tcPr>
            <w:tcW w:type="dxa" w:w="3120"/>
          </w:tcPr>
          <w:p>
            <w:r>
              <w:rPr>
                <w:b/>
              </w:rPr>
            </w:r>
            <w:r>
              <w:rPr>
                <w:b/>
              </w:rPr>
              <w:t>What it holds</w:t>
            </w:r>
          </w:p>
        </w:tc>
      </w:tr>
      <w:tr>
        <w:tc>
          <w:tcPr>
            <w:tcW w:type="dxa" w:w="3120"/>
          </w:tcPr>
          <w:p>
            <w:pPr>
              <w:spacing w:line="240" w:lineRule="auto"/>
            </w:pPr>
            <w:r>
              <w:rPr>
                <w:sz w:val="18"/>
              </w:rPr>
            </w:r>
            <w:r>
              <w:rPr>
                <w:b/>
                <w:sz w:val="18"/>
              </w:rPr>
              <w:t>Read Me</w:t>
            </w:r>
          </w:p>
        </w:tc>
        <w:tc>
          <w:tcPr>
            <w:tcW w:type="dxa" w:w="3120"/>
          </w:tcPr>
          <w:p>
            <w:pPr>
              <w:spacing w:line="240" w:lineRule="auto"/>
            </w:pPr>
            <w:r>
              <w:rPr>
                <w:sz w:val="18"/>
              </w:rPr>
            </w:r>
            <w:r>
              <w:rPr>
                <w:sz w:val="18"/>
              </w:rPr>
              <w:t>—</w:t>
            </w:r>
          </w:p>
        </w:tc>
        <w:tc>
          <w:tcPr>
            <w:tcW w:type="dxa" w:w="3120"/>
          </w:tcPr>
          <w:p>
            <w:pPr>
              <w:spacing w:line="240" w:lineRule="auto"/>
            </w:pPr>
            <w:r>
              <w:rPr>
                <w:sz w:val="18"/>
              </w:rPr>
            </w:r>
            <w:r>
              <w:rPr>
                <w:sz w:val="18"/>
              </w:rPr>
              <w:t>Sheet guide and seven self-checks</w:t>
            </w:r>
          </w:p>
        </w:tc>
      </w:tr>
      <w:tr>
        <w:tc>
          <w:tcPr>
            <w:tcW w:type="dxa" w:w="3120"/>
          </w:tcPr>
          <w:p>
            <w:pPr>
              <w:spacing w:line="240" w:lineRule="auto"/>
            </w:pPr>
            <w:r>
              <w:rPr>
                <w:sz w:val="18"/>
              </w:rPr>
            </w:r>
            <w:r>
              <w:rPr>
                <w:b/>
                <w:sz w:val="18"/>
              </w:rPr>
              <w:t>Cleaned Data</w:t>
            </w:r>
          </w:p>
        </w:tc>
        <w:tc>
          <w:tcPr>
            <w:tcW w:type="dxa" w:w="3120"/>
          </w:tcPr>
          <w:p>
            <w:pPr>
              <w:spacing w:line="240" w:lineRule="auto"/>
            </w:pPr>
            <w:r>
              <w:rPr>
                <w:sz w:val="18"/>
              </w:rPr>
            </w:r>
            <w:r>
              <w:rPr>
                <w:sz w:val="18"/>
              </w:rPr>
              <w:t>2.1 (1)</w:t>
            </w:r>
          </w:p>
        </w:tc>
        <w:tc>
          <w:tcPr>
            <w:tcW w:type="dxa" w:w="3120"/>
          </w:tcPr>
          <w:p>
            <w:pPr>
              <w:spacing w:line="240" w:lineRule="auto"/>
            </w:pPr>
            <w:r>
              <w:rPr>
                <w:sz w:val="18"/>
              </w:rPr>
            </w:r>
            <w:r>
              <w:rPr>
                <w:sz w:val="18"/>
              </w:rPr>
              <w:t>1,194 transaction lines × 19 columns</w:t>
            </w:r>
          </w:p>
        </w:tc>
      </w:tr>
      <w:tr>
        <w:tc>
          <w:tcPr>
            <w:tcW w:type="dxa" w:w="3120"/>
          </w:tcPr>
          <w:p>
            <w:pPr>
              <w:spacing w:line="240" w:lineRule="auto"/>
            </w:pPr>
            <w:r>
              <w:rPr>
                <w:sz w:val="18"/>
              </w:rPr>
            </w:r>
            <w:r>
              <w:rPr>
                <w:b/>
                <w:sz w:val="18"/>
              </w:rPr>
              <w:t>Pivot Analysis</w:t>
            </w:r>
          </w:p>
        </w:tc>
        <w:tc>
          <w:tcPr>
            <w:tcW w:type="dxa" w:w="3120"/>
          </w:tcPr>
          <w:p>
            <w:pPr>
              <w:spacing w:line="240" w:lineRule="auto"/>
            </w:pPr>
            <w:r>
              <w:rPr>
                <w:sz w:val="18"/>
              </w:rPr>
            </w:r>
            <w:r>
              <w:rPr>
                <w:sz w:val="18"/>
              </w:rPr>
              <w:t>2.1 (2)</w:t>
            </w:r>
          </w:p>
        </w:tc>
        <w:tc>
          <w:tcPr>
            <w:tcW w:type="dxa" w:w="3120"/>
          </w:tcPr>
          <w:p>
            <w:pPr>
              <w:spacing w:line="240" w:lineRule="auto"/>
            </w:pPr>
            <w:r>
              <w:rPr>
                <w:sz w:val="18"/>
              </w:rPr>
            </w:r>
            <w:r>
              <w:rPr>
                <w:sz w:val="18"/>
              </w:rPr>
              <w:t>Four cross-tabs</w:t>
            </w:r>
          </w:p>
        </w:tc>
      </w:tr>
      <w:tr>
        <w:tc>
          <w:tcPr>
            <w:tcW w:type="dxa" w:w="3120"/>
          </w:tcPr>
          <w:p>
            <w:pPr>
              <w:spacing w:line="240" w:lineRule="auto"/>
            </w:pPr>
            <w:r>
              <w:rPr>
                <w:sz w:val="18"/>
              </w:rPr>
            </w:r>
            <w:r>
              <w:rPr>
                <w:b/>
                <w:sz w:val="18"/>
              </w:rPr>
              <w:t>Pivot Charts</w:t>
            </w:r>
          </w:p>
        </w:tc>
        <w:tc>
          <w:tcPr>
            <w:tcW w:type="dxa" w:w="3120"/>
          </w:tcPr>
          <w:p>
            <w:pPr>
              <w:spacing w:line="240" w:lineRule="auto"/>
            </w:pPr>
            <w:r>
              <w:rPr>
                <w:sz w:val="18"/>
              </w:rPr>
            </w:r>
            <w:r>
              <w:rPr>
                <w:sz w:val="18"/>
              </w:rPr>
              <w:t>2.1 (3)</w:t>
            </w:r>
          </w:p>
        </w:tc>
        <w:tc>
          <w:tcPr>
            <w:tcW w:type="dxa" w:w="3120"/>
          </w:tcPr>
          <w:p>
            <w:pPr>
              <w:spacing w:line="240" w:lineRule="auto"/>
            </w:pPr>
            <w:r>
              <w:rPr>
                <w:sz w:val="18"/>
              </w:rPr>
            </w:r>
            <w:r>
              <w:rPr>
                <w:sz w:val="18"/>
              </w:rPr>
              <w:t>Four charts</w:t>
            </w:r>
          </w:p>
        </w:tc>
      </w:tr>
      <w:tr>
        <w:tc>
          <w:tcPr>
            <w:tcW w:type="dxa" w:w="3120"/>
          </w:tcPr>
          <w:p>
            <w:pPr>
              <w:spacing w:line="240" w:lineRule="auto"/>
            </w:pPr>
            <w:r>
              <w:rPr>
                <w:sz w:val="18"/>
              </w:rPr>
            </w:r>
            <w:r>
              <w:rPr>
                <w:b/>
                <w:sz w:val="18"/>
              </w:rPr>
              <w:t>Formulas Showcase</w:t>
            </w:r>
          </w:p>
        </w:tc>
        <w:tc>
          <w:tcPr>
            <w:tcW w:type="dxa" w:w="3120"/>
          </w:tcPr>
          <w:p>
            <w:pPr>
              <w:spacing w:line="240" w:lineRule="auto"/>
            </w:pPr>
            <w:r>
              <w:rPr>
                <w:sz w:val="18"/>
              </w:rPr>
            </w:r>
            <w:r>
              <w:rPr>
                <w:sz w:val="18"/>
              </w:rPr>
              <w:t>2.1 (4)</w:t>
            </w:r>
          </w:p>
        </w:tc>
        <w:tc>
          <w:tcPr>
            <w:tcW w:type="dxa" w:w="3120"/>
          </w:tcPr>
          <w:p>
            <w:pPr>
              <w:spacing w:line="240" w:lineRule="auto"/>
            </w:pPr>
            <w:r>
              <w:rPr>
                <w:sz w:val="18"/>
              </w:rPr>
            </w:r>
            <w:r>
              <w:rPr>
                <w:sz w:val="18"/>
              </w:rPr>
              <w:t>Eight Excel functions</w:t>
            </w:r>
          </w:p>
        </w:tc>
      </w:tr>
      <w:tr>
        <w:tc>
          <w:tcPr>
            <w:tcW w:type="dxa" w:w="3120"/>
          </w:tcPr>
          <w:p>
            <w:pPr>
              <w:spacing w:line="240" w:lineRule="auto"/>
            </w:pPr>
            <w:r>
              <w:rPr>
                <w:sz w:val="18"/>
              </w:rPr>
            </w:r>
            <w:r>
              <w:rPr>
                <w:b/>
                <w:sz w:val="18"/>
              </w:rPr>
              <w:t>Descriptive Stats</w:t>
            </w:r>
          </w:p>
        </w:tc>
        <w:tc>
          <w:tcPr>
            <w:tcW w:type="dxa" w:w="3120"/>
          </w:tcPr>
          <w:p>
            <w:pPr>
              <w:spacing w:line="240" w:lineRule="auto"/>
            </w:pPr>
            <w:r>
              <w:rPr>
                <w:sz w:val="18"/>
              </w:rPr>
            </w:r>
            <w:r>
              <w:rPr>
                <w:sz w:val="18"/>
              </w:rPr>
              <w:t>2.2</w:t>
            </w:r>
          </w:p>
        </w:tc>
        <w:tc>
          <w:tcPr>
            <w:tcW w:type="dxa" w:w="3120"/>
          </w:tcPr>
          <w:p>
            <w:pPr>
              <w:spacing w:line="240" w:lineRule="auto"/>
            </w:pPr>
            <w:r>
              <w:rPr>
                <w:sz w:val="18"/>
              </w:rPr>
            </w:r>
            <w:r>
              <w:rPr>
                <w:sz w:val="18"/>
              </w:rPr>
              <w:t>13 statistics × 3 variables</w:t>
            </w:r>
          </w:p>
        </w:tc>
      </w:tr>
      <w:tr>
        <w:tc>
          <w:tcPr>
            <w:tcW w:type="dxa" w:w="3120"/>
          </w:tcPr>
          <w:p>
            <w:pPr>
              <w:spacing w:line="240" w:lineRule="auto"/>
            </w:pPr>
            <w:r>
              <w:rPr>
                <w:sz w:val="18"/>
              </w:rPr>
            </w:r>
            <w:r>
              <w:rPr>
                <w:b/>
                <w:sz w:val="18"/>
              </w:rPr>
              <w:t>Frequency</w:t>
            </w:r>
          </w:p>
        </w:tc>
        <w:tc>
          <w:tcPr>
            <w:tcW w:type="dxa" w:w="3120"/>
          </w:tcPr>
          <w:p>
            <w:pPr>
              <w:spacing w:line="240" w:lineRule="auto"/>
            </w:pPr>
            <w:r>
              <w:rPr>
                <w:sz w:val="18"/>
              </w:rPr>
            </w:r>
            <w:r>
              <w:rPr>
                <w:sz w:val="18"/>
              </w:rPr>
              <w:t>2.2</w:t>
            </w:r>
          </w:p>
        </w:tc>
        <w:tc>
          <w:tcPr>
            <w:tcW w:type="dxa" w:w="3120"/>
          </w:tcPr>
          <w:p>
            <w:pPr>
              <w:spacing w:line="240" w:lineRule="auto"/>
            </w:pPr>
            <w:r>
              <w:rPr>
                <w:sz w:val="18"/>
              </w:rPr>
            </w:r>
            <w:r>
              <w:rPr>
                <w:sz w:val="18"/>
              </w:rPr>
              <w:t>Distribution table + histogram</w:t>
            </w:r>
          </w:p>
        </w:tc>
      </w:tr>
      <w:tr>
        <w:tc>
          <w:tcPr>
            <w:tcW w:type="dxa" w:w="3120"/>
          </w:tcPr>
          <w:p>
            <w:pPr>
              <w:spacing w:line="240" w:lineRule="auto"/>
            </w:pPr>
            <w:r>
              <w:rPr>
                <w:sz w:val="18"/>
              </w:rPr>
            </w:r>
            <w:r>
              <w:rPr>
                <w:b/>
                <w:sz w:val="18"/>
              </w:rPr>
              <w:t>Correlation</w:t>
            </w:r>
          </w:p>
        </w:tc>
        <w:tc>
          <w:tcPr>
            <w:tcW w:type="dxa" w:w="3120"/>
          </w:tcPr>
          <w:p>
            <w:pPr>
              <w:spacing w:line="240" w:lineRule="auto"/>
            </w:pPr>
            <w:r>
              <w:rPr>
                <w:sz w:val="18"/>
              </w:rPr>
            </w:r>
            <w:r>
              <w:rPr>
                <w:sz w:val="18"/>
              </w:rPr>
              <w:t>2.3</w:t>
            </w:r>
          </w:p>
        </w:tc>
        <w:tc>
          <w:tcPr>
            <w:tcW w:type="dxa" w:w="3120"/>
          </w:tcPr>
          <w:p>
            <w:pPr>
              <w:spacing w:line="240" w:lineRule="auto"/>
            </w:pPr>
            <w:r>
              <w:rPr>
                <w:sz w:val="18"/>
              </w:rPr>
            </w:r>
            <w:r>
              <w:rPr>
                <w:sz w:val="18"/>
              </w:rPr>
              <w:t>Two pairs + a supporting third</w:t>
            </w:r>
          </w:p>
        </w:tc>
      </w:tr>
      <w:tr>
        <w:tc>
          <w:tcPr>
            <w:tcW w:type="dxa" w:w="3120"/>
          </w:tcPr>
          <w:p>
            <w:pPr>
              <w:spacing w:line="240" w:lineRule="auto"/>
            </w:pPr>
            <w:r>
              <w:rPr>
                <w:sz w:val="18"/>
              </w:rPr>
            </w:r>
            <w:r>
              <w:rPr>
                <w:b/>
                <w:sz w:val="18"/>
              </w:rPr>
              <w:t>Regression</w:t>
            </w:r>
          </w:p>
        </w:tc>
        <w:tc>
          <w:tcPr>
            <w:tcW w:type="dxa" w:w="3120"/>
          </w:tcPr>
          <w:p>
            <w:pPr>
              <w:spacing w:line="240" w:lineRule="auto"/>
            </w:pPr>
            <w:r>
              <w:rPr>
                <w:sz w:val="18"/>
              </w:rPr>
            </w:r>
            <w:r>
              <w:rPr>
                <w:sz w:val="18"/>
              </w:rPr>
              <w:t>2.4</w:t>
            </w:r>
          </w:p>
        </w:tc>
        <w:tc>
          <w:tcPr>
            <w:tcW w:type="dxa" w:w="3120"/>
          </w:tcPr>
          <w:p>
            <w:pPr>
              <w:spacing w:line="240" w:lineRule="auto"/>
            </w:pPr>
            <w:r>
              <w:rPr>
                <w:sz w:val="18"/>
              </w:rPr>
            </w:r>
            <w:r>
              <w:rPr>
                <w:sz w:val="18"/>
              </w:rPr>
              <w:t>Equation, R², t, p, forecasts, limits</w:t>
            </w:r>
          </w:p>
        </w:tc>
      </w:tr>
      <w:tr>
        <w:tc>
          <w:tcPr>
            <w:tcW w:type="dxa" w:w="3120"/>
          </w:tcPr>
          <w:p>
            <w:pPr>
              <w:spacing w:line="240" w:lineRule="auto"/>
            </w:pPr>
            <w:r>
              <w:rPr>
                <w:sz w:val="18"/>
              </w:rPr>
            </w:r>
            <w:r>
              <w:rPr>
                <w:b/>
                <w:sz w:val="18"/>
              </w:rPr>
              <w:t>Forecast</w:t>
            </w:r>
          </w:p>
        </w:tc>
        <w:tc>
          <w:tcPr>
            <w:tcW w:type="dxa" w:w="3120"/>
          </w:tcPr>
          <w:p>
            <w:pPr>
              <w:spacing w:line="240" w:lineRule="auto"/>
            </w:pPr>
            <w:r>
              <w:rPr>
                <w:sz w:val="18"/>
              </w:rPr>
            </w:r>
            <w:r>
              <w:rPr>
                <w:sz w:val="18"/>
              </w:rPr>
              <w:t>2.5</w:t>
            </w:r>
          </w:p>
        </w:tc>
        <w:tc>
          <w:tcPr>
            <w:tcW w:type="dxa" w:w="3120"/>
          </w:tcPr>
          <w:p>
            <w:pPr>
              <w:spacing w:line="240" w:lineRule="auto"/>
            </w:pPr>
            <w:r>
              <w:rPr>
                <w:sz w:val="18"/>
              </w:rPr>
            </w:r>
            <w:r>
              <w:rPr>
                <w:sz w:val="18"/>
              </w:rPr>
              <w:t>Trend test, seasonal index, forecast, holdout check</w:t>
            </w:r>
          </w:p>
        </w:tc>
      </w:tr>
    </w:tbl>
    <w:p>
      <w:pPr>
        <w:spacing w:after="200" w:line="240" w:lineRule="auto"/>
        <w:jc w:val="center"/>
      </w:pPr>
      <w:r>
        <w:rPr>
          <w:i/>
          <w:color w:val="7B8994"/>
          <w:sz w:val="20"/>
        </w:rPr>
        <w:t>Table 2. 2. The workbook, sheet by sheet</w:t>
      </w:r>
    </w:p>
    <w:p>
      <w:pPr>
        <w:pStyle w:val="Heading3"/>
      </w:pPr>
      <w:r>
        <w:t>Two design decisions to be able to defend</w:t>
      </w:r>
    </w:p>
    <w:p>
      <w:r>
        <w:rPr>
          <w:b/>
        </w:rPr>
        <w:t>Every computed cell is a live formula, not a pasted number.</w:t>
      </w:r>
      <w:r>
        <w:t xml:space="preserve"> Change a value in Cleaned Data and every statistic, chart and forecast updates. If the statistics were typed in as constants, the workbook would be a picture of an analysis rather than an analysis. It also means nothing can silently drift out of step with the data.</w:t>
      </w:r>
    </w:p>
    <w:p>
      <w:r>
        <w:rPr>
          <w:b/>
        </w:rPr>
        <w:t>Formulas use named ranges.</w:t>
      </w:r>
      <w:r>
        <w:t xml:space="preserve"> </w:t>
      </w:r>
      <w:r>
        <w:rPr>
          <w:rFonts w:ascii="Consolas" w:hAnsi="Consolas"/>
          <w:color w:val="2F6F9F"/>
          <w:sz w:val="18"/>
        </w:rPr>
        <w:t>Amount</w:t>
      </w:r>
      <w:r>
        <w:t xml:space="preserve">, </w:t>
      </w:r>
      <w:r>
        <w:rPr>
          <w:rFonts w:ascii="Consolas" w:hAnsi="Consolas"/>
          <w:color w:val="2F6F9F"/>
          <w:sz w:val="18"/>
        </w:rPr>
        <w:t>Profit</w:t>
      </w:r>
      <w:r>
        <w:t xml:space="preserve">, </w:t>
      </w:r>
      <w:r>
        <w:rPr>
          <w:rFonts w:ascii="Consolas" w:hAnsi="Consolas"/>
          <w:color w:val="2F6F9F"/>
          <w:sz w:val="18"/>
        </w:rPr>
        <w:t>Quantity</w:t>
      </w:r>
      <w:r>
        <w:t xml:space="preserve">, </w:t>
      </w:r>
      <w:r>
        <w:rPr>
          <w:rFonts w:ascii="Consolas" w:hAnsi="Consolas"/>
          <w:color w:val="2F6F9F"/>
          <w:sz w:val="18"/>
        </w:rPr>
        <w:t>Category</w:t>
      </w:r>
      <w:r>
        <w:t xml:space="preserve">, </w:t>
      </w:r>
      <w:r>
        <w:rPr>
          <w:rFonts w:ascii="Consolas" w:hAnsi="Consolas"/>
          <w:color w:val="2F6F9F"/>
          <w:sz w:val="18"/>
        </w:rPr>
        <w:t>State</w:t>
      </w:r>
      <w:r>
        <w:t xml:space="preserve">, </w:t>
      </w:r>
      <w:r>
        <w:rPr>
          <w:rFonts w:ascii="Consolas" w:hAnsi="Consolas"/>
          <w:color w:val="2F6F9F"/>
          <w:sz w:val="18"/>
        </w:rPr>
        <w:t>Yr</w:t>
      </w:r>
      <w:r>
        <w:t xml:space="preserve">, </w:t>
      </w:r>
      <w:r>
        <w:rPr>
          <w:rFonts w:ascii="Consolas" w:hAnsi="Consolas"/>
          <w:color w:val="2F6F9F"/>
          <w:sz w:val="18"/>
        </w:rPr>
        <w:t>YearMonth</w:t>
      </w:r>
      <w:r>
        <w:t xml:space="preserve">, </w:t>
      </w:r>
      <w:r>
        <w:rPr>
          <w:rFonts w:ascii="Consolas" w:hAnsi="Consolas"/>
          <w:color w:val="2F6F9F"/>
          <w:sz w:val="18"/>
        </w:rPr>
        <w:t>SubCategory</w:t>
      </w:r>
      <w:r>
        <w:t xml:space="preserve"> and </w:t>
      </w:r>
      <w:r>
        <w:rPr>
          <w:rFonts w:ascii="Consolas" w:hAnsi="Consolas"/>
          <w:color w:val="2F6F9F"/>
          <w:sz w:val="18"/>
        </w:rPr>
        <w:t>PaymentMode</w:t>
      </w:r>
      <w:r>
        <w:t xml:space="preserve"> each name a column of Cleaned Data. So the workbook says</w:t>
      </w:r>
    </w:p>
    <w:p>
      <w:pPr>
        <w:spacing w:before="80" w:after="160"/>
        <w:ind w:left="360"/>
      </w:pPr>
      <w:r>
        <w:rPr>
          <w:rFonts w:ascii="Consolas" w:hAnsi="Consolas"/>
          <w:color w:val="333D47"/>
          <w:sz w:val="17"/>
        </w:rPr>
        <w:t>=SUMIF(Category,"Electronics",Amount)</w:t>
      </w:r>
    </w:p>
    <w:p>
      <w:r>
        <w:t xml:space="preserve">rather than </w:t>
      </w:r>
      <w:r>
        <w:rPr>
          <w:rFonts w:ascii="Consolas" w:hAnsi="Consolas"/>
          <w:color w:val="2F6F9F"/>
          <w:sz w:val="18"/>
        </w:rPr>
        <w:t>=SUMIF('Cleaned Data'!$M$2:$M$1195,"Electronics",'Cleaned Data'!$Q$2:$Q$1195)</w:t>
      </w:r>
      <w:r>
        <w:t>. Same result, but you can read it aloud and it means something.</w:t>
      </w:r>
    </w:p>
    <w:p>
      <w:pPr>
        <w:pStyle w:val="Heading3"/>
      </w:pPr>
      <w:r>
        <w:t>The self-checks</w:t>
      </w:r>
    </w:p>
    <w:p>
      <w:r>
        <w:t xml:space="preserve">The Read Me sheet ends with seven rows that each recompute a total </w:t>
      </w:r>
      <w:r>
        <w:rPr>
          <w:b/>
        </w:rPr>
        <w:t>two independent ways</w:t>
      </w:r>
      <w:r>
        <w:t xml:space="preserve"> and compare — for example, Pivot 1's grand total against </w:t>
      </w:r>
      <w:r>
        <w:rPr>
          <w:rFonts w:ascii="Consolas" w:hAnsi="Consolas"/>
          <w:color w:val="2F6F9F"/>
          <w:sz w:val="18"/>
        </w:rPr>
        <w:t>SUM(Amount)</w:t>
      </w:r>
      <w:r>
        <w:t xml:space="preserve">. All seven must read </w:t>
      </w:r>
      <w:r>
        <w:rPr>
          <w:b/>
        </w:rPr>
        <w:t>OK</w:t>
      </w:r>
      <w:r>
        <w:t>.</w:t>
      </w:r>
    </w:p>
    <w:p>
      <w:r>
        <w:t xml:space="preserve">They exist because the workbook was built on Linux, where formulas are written but never calculated. Excel calculates them the moment the file opens, and these rows are what proves it worked. </w:t>
      </w:r>
      <w:r>
        <w:rPr>
          <w:b/>
        </w:rPr>
        <w:t>Check them before you submit.</w:t>
      </w:r>
    </w:p>
    <w:p>
      <w:r>
        <w:br w:type="page"/>
      </w:r>
    </w:p>
    <w:p>
      <w:pPr>
        <w:pStyle w:val="Heading2"/>
      </w:pPr>
      <w:r>
        <w:t>3. Task 2.1 — the spreadsheet</w:t>
      </w:r>
    </w:p>
    <w:p>
      <w:pPr>
        <w:pStyle w:val="Heading3"/>
      </w:pPr>
      <w:r>
        <w:t>What was asked</w:t>
      </w:r>
    </w:p>
    <w:p>
      <w:r>
        <w:t>A workbook with four sheets: cleaned data, at least 3 pivot tables, at least 3 pivot charts, and at least 5 Excel functions.</w:t>
      </w:r>
    </w:p>
    <w:p>
      <w:pPr>
        <w:pStyle w:val="Heading3"/>
      </w:pPr>
      <w:r>
        <w:t>Sheet 1 — Cleaned Data</w:t>
      </w:r>
    </w:p>
    <w:p>
      <w:r>
        <w:t xml:space="preserve">The 1,194 transaction lines from the Checkpoint 1 database, with calendar columns (Year, Quarter, MonthNo, MonthName, YearMonth) and the product hierarchy joined on. </w:t>
      </w:r>
      <w:r>
        <w:rPr>
          <w:rFonts w:ascii="Consolas" w:hAnsi="Consolas"/>
          <w:color w:val="2F6F9F"/>
          <w:sz w:val="18"/>
        </w:rPr>
        <w:t>MarginPct</w:t>
      </w:r>
      <w:r>
        <w:t xml:space="preserve"> is a formula — </w:t>
      </w:r>
      <w:r>
        <w:rPr>
          <w:rFonts w:ascii="Consolas" w:hAnsi="Consolas"/>
          <w:color w:val="2F6F9F"/>
          <w:sz w:val="18"/>
        </w:rPr>
        <w:t>=Profit/Amount</w:t>
      </w:r>
      <w:r>
        <w:t xml:space="preserve"> — not a stored value, because a margin is derived and should never be able to disagree with the two numbers it comes from.</w:t>
      </w:r>
    </w:p>
    <w:p>
      <w:pPr>
        <w:pStyle w:val="Heading3"/>
      </w:pPr>
      <w:r>
        <w:t>Sheet 2 — Pivot Analysis (four cross-tabs)</w:t>
      </w:r>
    </w:p>
    <w:tbl>
      <w:tblPr>
        <w:tblStyle w:val="LightGrid-Accent1"/>
        <w:tblW w:type="auto" w:w="0"/>
        <w:jc w:val="center"/>
        <w:tblLayout w:type="autofit"/>
        <w:tblLook w:firstColumn="1" w:firstRow="1" w:lastColumn="0" w:lastRow="0" w:noHBand="0" w:noVBand="1" w:val="04A0"/>
      </w:tblPr>
      <w:tblGrid>
        <w:gridCol w:w="2340"/>
        <w:gridCol w:w="2340"/>
        <w:gridCol w:w="2340"/>
        <w:gridCol w:w="2340"/>
      </w:tblGrid>
      <w:tr>
        <w:tc>
          <w:tcPr>
            <w:tcW w:type="dxa" w:w="2340"/>
          </w:tcPr>
          <w:p>
            <w:r>
              <w:rPr>
                <w:b/>
              </w:rPr>
            </w:r>
            <w:r>
              <w:rPr>
                <w:b/>
              </w:rPr>
              <w:t>#</w:t>
            </w:r>
          </w:p>
        </w:tc>
        <w:tc>
          <w:tcPr>
            <w:tcW w:type="dxa" w:w="2340"/>
          </w:tcPr>
          <w:p>
            <w:r>
              <w:rPr>
                <w:b/>
              </w:rPr>
            </w:r>
            <w:r>
              <w:rPr>
                <w:b/>
              </w:rPr>
              <w:t>Cross-tab</w:t>
            </w:r>
          </w:p>
        </w:tc>
        <w:tc>
          <w:tcPr>
            <w:tcW w:type="dxa" w:w="2340"/>
          </w:tcPr>
          <w:p>
            <w:r>
              <w:rPr>
                <w:b/>
              </w:rPr>
            </w:r>
            <w:r>
              <w:rPr>
                <w:b/>
              </w:rPr>
              <w:t>Functions</w:t>
            </w:r>
          </w:p>
        </w:tc>
        <w:tc>
          <w:tcPr>
            <w:tcW w:type="dxa" w:w="2340"/>
          </w:tcPr>
          <w:p>
            <w:r>
              <w:rPr>
                <w:b/>
              </w:rPr>
            </w:r>
            <w:r>
              <w:rPr>
                <w:b/>
              </w:rPr>
              <w:t>Answers</w:t>
            </w:r>
          </w:p>
        </w:tc>
      </w:tr>
      <w:tr>
        <w:tc>
          <w:tcPr>
            <w:tcW w:type="dxa" w:w="2340"/>
          </w:tcPr>
          <w:p>
            <w:pPr>
              <w:spacing w:line="240" w:lineRule="auto"/>
            </w:pPr>
            <w:r>
              <w:rPr>
                <w:sz w:val="18"/>
              </w:rPr>
            </w:r>
            <w:r>
              <w:rPr>
                <w:sz w:val="18"/>
              </w:rPr>
              <w:t>1</w:t>
            </w:r>
          </w:p>
        </w:tc>
        <w:tc>
          <w:tcPr>
            <w:tcW w:type="dxa" w:w="2340"/>
          </w:tcPr>
          <w:p>
            <w:pPr>
              <w:spacing w:line="240" w:lineRule="auto"/>
            </w:pPr>
            <w:r>
              <w:rPr>
                <w:sz w:val="18"/>
              </w:rPr>
            </w:r>
            <w:r>
              <w:rPr>
                <w:sz w:val="18"/>
              </w:rPr>
              <w:t>Revenue by Category × Year</w:t>
            </w:r>
          </w:p>
        </w:tc>
        <w:tc>
          <w:tcPr>
            <w:tcW w:type="dxa" w:w="2340"/>
          </w:tcPr>
          <w:p>
            <w:pPr>
              <w:spacing w:line="240" w:lineRule="auto"/>
            </w:pPr>
            <w:r>
              <w:rPr>
                <w:sz w:val="18"/>
              </w:rPr>
            </w:r>
            <w:r>
              <w:rPr>
                <w:rFonts w:ascii="Consolas" w:hAnsi="Consolas"/>
                <w:color w:val="2F6F9F"/>
                <w:sz w:val="18"/>
              </w:rPr>
              <w:t>SUMIFS</w:t>
            </w:r>
          </w:p>
        </w:tc>
        <w:tc>
          <w:tcPr>
            <w:tcW w:type="dxa" w:w="2340"/>
          </w:tcPr>
          <w:p>
            <w:pPr>
              <w:spacing w:line="240" w:lineRule="auto"/>
            </w:pPr>
            <w:r>
              <w:rPr>
                <w:sz w:val="18"/>
              </w:rPr>
            </w:r>
            <w:r>
              <w:rPr>
                <w:sz w:val="18"/>
              </w:rPr>
              <w:t>Which category is growing?</w:t>
            </w:r>
          </w:p>
        </w:tc>
      </w:tr>
      <w:tr>
        <w:tc>
          <w:tcPr>
            <w:tcW w:type="dxa" w:w="2340"/>
          </w:tcPr>
          <w:p>
            <w:pPr>
              <w:spacing w:line="240" w:lineRule="auto"/>
            </w:pPr>
            <w:r>
              <w:rPr>
                <w:sz w:val="18"/>
              </w:rPr>
            </w:r>
            <w:r>
              <w:rPr>
                <w:sz w:val="18"/>
              </w:rPr>
              <w:t>2</w:t>
            </w:r>
          </w:p>
        </w:tc>
        <w:tc>
          <w:tcPr>
            <w:tcW w:type="dxa" w:w="2340"/>
          </w:tcPr>
          <w:p>
            <w:pPr>
              <w:spacing w:line="240" w:lineRule="auto"/>
            </w:pPr>
            <w:r>
              <w:rPr>
                <w:sz w:val="18"/>
              </w:rPr>
            </w:r>
            <w:r>
              <w:rPr>
                <w:sz w:val="18"/>
              </w:rPr>
              <w:t>Orders, revenue, AOV and margin by State</w:t>
            </w:r>
          </w:p>
        </w:tc>
        <w:tc>
          <w:tcPr>
            <w:tcW w:type="dxa" w:w="2340"/>
          </w:tcPr>
          <w:p>
            <w:pPr>
              <w:spacing w:line="240" w:lineRule="auto"/>
            </w:pPr>
            <w:r>
              <w:rPr>
                <w:sz w:val="18"/>
              </w:rPr>
            </w:r>
            <w:r>
              <w:rPr>
                <w:rFonts w:ascii="Consolas" w:hAnsi="Consolas"/>
                <w:color w:val="2F6F9F"/>
                <w:sz w:val="18"/>
              </w:rPr>
              <w:t>COUNTIFS</w:t>
            </w:r>
            <w:r>
              <w:rPr>
                <w:sz w:val="18"/>
              </w:rPr>
              <w:t xml:space="preserve">, </w:t>
            </w:r>
            <w:r>
              <w:rPr>
                <w:rFonts w:ascii="Consolas" w:hAnsi="Consolas"/>
                <w:color w:val="2F6F9F"/>
                <w:sz w:val="18"/>
              </w:rPr>
              <w:t>SUMIFS</w:t>
            </w:r>
            <w:r>
              <w:rPr>
                <w:sz w:val="18"/>
              </w:rPr>
              <w:t xml:space="preserve">, </w:t>
            </w:r>
            <w:r>
              <w:rPr>
                <w:rFonts w:ascii="Consolas" w:hAnsi="Consolas"/>
                <w:color w:val="2F6F9F"/>
                <w:sz w:val="18"/>
              </w:rPr>
              <w:t>AVERAGEIFS</w:t>
            </w:r>
          </w:p>
        </w:tc>
        <w:tc>
          <w:tcPr>
            <w:tcW w:type="dxa" w:w="2340"/>
          </w:tcPr>
          <w:p>
            <w:pPr>
              <w:spacing w:line="240" w:lineRule="auto"/>
            </w:pPr>
            <w:r>
              <w:rPr>
                <w:sz w:val="18"/>
              </w:rPr>
            </w:r>
            <w:r>
              <w:rPr>
                <w:sz w:val="18"/>
              </w:rPr>
              <w:t>Is any region different?</w:t>
            </w:r>
          </w:p>
        </w:tc>
      </w:tr>
      <w:tr>
        <w:tc>
          <w:tcPr>
            <w:tcW w:type="dxa" w:w="2340"/>
          </w:tcPr>
          <w:p>
            <w:pPr>
              <w:spacing w:line="240" w:lineRule="auto"/>
            </w:pPr>
            <w:r>
              <w:rPr>
                <w:sz w:val="18"/>
              </w:rPr>
            </w:r>
            <w:r>
              <w:rPr>
                <w:sz w:val="18"/>
              </w:rPr>
              <w:t>3</w:t>
            </w:r>
          </w:p>
        </w:tc>
        <w:tc>
          <w:tcPr>
            <w:tcW w:type="dxa" w:w="2340"/>
          </w:tcPr>
          <w:p>
            <w:pPr>
              <w:spacing w:line="240" w:lineRule="auto"/>
            </w:pPr>
            <w:r>
              <w:rPr>
                <w:sz w:val="18"/>
              </w:rPr>
            </w:r>
            <w:r>
              <w:rPr>
                <w:sz w:val="18"/>
              </w:rPr>
              <w:t>Orders, revenue, units by month</w:t>
            </w:r>
          </w:p>
        </w:tc>
        <w:tc>
          <w:tcPr>
            <w:tcW w:type="dxa" w:w="2340"/>
          </w:tcPr>
          <w:p>
            <w:pPr>
              <w:spacing w:line="240" w:lineRule="auto"/>
            </w:pPr>
            <w:r>
              <w:rPr>
                <w:sz w:val="18"/>
              </w:rPr>
            </w:r>
            <w:r>
              <w:rPr>
                <w:rFonts w:ascii="Consolas" w:hAnsi="Consolas"/>
                <w:color w:val="2F6F9F"/>
                <w:sz w:val="18"/>
              </w:rPr>
              <w:t>COUNTIFS</w:t>
            </w:r>
            <w:r>
              <w:rPr>
                <w:sz w:val="18"/>
              </w:rPr>
              <w:t xml:space="preserve">, </w:t>
            </w:r>
            <w:r>
              <w:rPr>
                <w:rFonts w:ascii="Consolas" w:hAnsi="Consolas"/>
                <w:color w:val="2F6F9F"/>
                <w:sz w:val="18"/>
              </w:rPr>
              <w:t>SUMIFS</w:t>
            </w:r>
          </w:p>
        </w:tc>
        <w:tc>
          <w:tcPr>
            <w:tcW w:type="dxa" w:w="2340"/>
          </w:tcPr>
          <w:p>
            <w:pPr>
              <w:spacing w:line="240" w:lineRule="auto"/>
            </w:pPr>
            <w:r>
              <w:rPr>
                <w:sz w:val="18"/>
              </w:rPr>
            </w:r>
            <w:r>
              <w:rPr>
                <w:sz w:val="18"/>
              </w:rPr>
              <w:t>The series everything else uses</w:t>
            </w:r>
          </w:p>
        </w:tc>
      </w:tr>
      <w:tr>
        <w:tc>
          <w:tcPr>
            <w:tcW w:type="dxa" w:w="2340"/>
          </w:tcPr>
          <w:p>
            <w:pPr>
              <w:spacing w:line="240" w:lineRule="auto"/>
            </w:pPr>
            <w:r>
              <w:rPr>
                <w:sz w:val="18"/>
              </w:rPr>
            </w:r>
            <w:r>
              <w:rPr>
                <w:sz w:val="18"/>
              </w:rPr>
              <w:t>4</w:t>
            </w:r>
          </w:p>
        </w:tc>
        <w:tc>
          <w:tcPr>
            <w:tcW w:type="dxa" w:w="2340"/>
          </w:tcPr>
          <w:p>
            <w:pPr>
              <w:spacing w:line="240" w:lineRule="auto"/>
            </w:pPr>
            <w:r>
              <w:rPr>
                <w:sz w:val="18"/>
              </w:rPr>
            </w:r>
            <w:r>
              <w:rPr>
                <w:sz w:val="18"/>
              </w:rPr>
              <w:t>Sub-category revenue, 2023 vs 2024</w:t>
            </w:r>
          </w:p>
        </w:tc>
        <w:tc>
          <w:tcPr>
            <w:tcW w:type="dxa" w:w="2340"/>
          </w:tcPr>
          <w:p>
            <w:pPr>
              <w:spacing w:line="240" w:lineRule="auto"/>
            </w:pPr>
            <w:r>
              <w:rPr>
                <w:sz w:val="18"/>
              </w:rPr>
            </w:r>
            <w:r>
              <w:rPr>
                <w:rFonts w:ascii="Consolas" w:hAnsi="Consolas"/>
                <w:color w:val="2F6F9F"/>
                <w:sz w:val="18"/>
              </w:rPr>
              <w:t>SUMIFS</w:t>
            </w:r>
            <w:r>
              <w:rPr>
                <w:sz w:val="18"/>
              </w:rPr>
              <w:t xml:space="preserve"> with two criteria</w:t>
            </w:r>
          </w:p>
        </w:tc>
        <w:tc>
          <w:tcPr>
            <w:tcW w:type="dxa" w:w="2340"/>
          </w:tcPr>
          <w:p>
            <w:pPr>
              <w:spacing w:line="240" w:lineRule="auto"/>
            </w:pPr>
            <w:r>
              <w:rPr>
                <w:sz w:val="18"/>
              </w:rPr>
            </w:r>
            <w:r>
              <w:rPr>
                <w:sz w:val="18"/>
              </w:rPr>
              <w:t>Reproduces the CP1 Printers finding</w:t>
            </w:r>
          </w:p>
        </w:tc>
      </w:tr>
    </w:tbl>
    <w:p>
      <w:pPr>
        <w:spacing w:after="200" w:line="240" w:lineRule="auto"/>
        <w:jc w:val="center"/>
      </w:pPr>
      <w:r>
        <w:rPr>
          <w:i/>
          <w:color w:val="7B8994"/>
          <w:sz w:val="20"/>
        </w:rPr>
        <w:t>Table 3. Sheet 2 — Pivot Analysis (four cross-tabs)</w:t>
      </w:r>
    </w:p>
    <w:p>
      <w:r>
        <w:rPr>
          <w:b/>
        </w:rPr>
        <w:t>On "pivot tables".</w:t>
      </w:r>
      <w:r>
        <w:t xml:space="preserve"> These are </w:t>
      </w:r>
      <w:r>
        <w:rPr>
          <w:b/>
        </w:rPr>
        <w:t>formula-driven cross-tabs</w:t>
      </w:r>
      <w:r>
        <w:t xml:space="preserve">, not PivotTable objects. They compute exactly what a PivotTable computes, they recalculate live, and every cell is auditable — you can click it and read the logic, which you cannot do inside a PivotTable. If your instructor wants the objects themselves, </w:t>
      </w:r>
      <w:r>
        <w:rPr>
          <w:rFonts w:ascii="Consolas" w:hAnsi="Consolas"/>
          <w:color w:val="2F6F9F"/>
          <w:sz w:val="18"/>
        </w:rPr>
        <w:t>docs/checkpoint2_excel_guide.md</w:t>
      </w:r>
      <w:r>
        <w:t xml:space="preserve"> §2 has the two-minute procedure per table. Be ready to explain the difference either way.</w:t>
      </w:r>
    </w:p>
    <w:p>
      <w:pPr>
        <w:pStyle w:val="Heading3"/>
      </w:pPr>
      <w:r>
        <w:t>Sheet 3 — Pivot Charts</w:t>
      </w:r>
    </w:p>
    <w:p>
      <w:r>
        <w:t>Four charts, each titled, axis-labelled and annotated with the business point: category × year, average order value by state, monthly revenue over time, and the 2023→2024 sub-category change.</w:t>
      </w:r>
    </w:p>
    <w:p>
      <w:pPr>
        <w:pStyle w:val="Heading3"/>
      </w:pPr>
      <w:r>
        <w:t>Sheet 4 — Formulas Showcase</w:t>
      </w:r>
    </w:p>
    <w:p>
      <w:r>
        <w:t xml:space="preserve">Eight functions, each answering a real question rather than demonstrating syntax: </w:t>
      </w:r>
      <w:r>
        <w:rPr>
          <w:rFonts w:ascii="Consolas" w:hAnsi="Consolas"/>
          <w:color w:val="2F6F9F"/>
          <w:sz w:val="18"/>
        </w:rPr>
        <w:t>SUMIF</w:t>
      </w:r>
      <w:r>
        <w:t xml:space="preserve">, </w:t>
      </w:r>
      <w:r>
        <w:rPr>
          <w:rFonts w:ascii="Consolas" w:hAnsi="Consolas"/>
          <w:color w:val="2F6F9F"/>
          <w:sz w:val="18"/>
        </w:rPr>
        <w:t>COUNTIF</w:t>
      </w:r>
      <w:r>
        <w:t xml:space="preserve">, </w:t>
      </w:r>
      <w:r>
        <w:rPr>
          <w:rFonts w:ascii="Consolas" w:hAnsi="Consolas"/>
          <w:color w:val="2F6F9F"/>
          <w:sz w:val="18"/>
        </w:rPr>
        <w:t>SUMIFS</w:t>
      </w:r>
      <w:r>
        <w:t xml:space="preserve">, </w:t>
      </w:r>
      <w:r>
        <w:rPr>
          <w:rFonts w:ascii="Consolas" w:hAnsi="Consolas"/>
          <w:color w:val="2F6F9F"/>
          <w:sz w:val="18"/>
        </w:rPr>
        <w:t>AVERAGEIF</w:t>
      </w:r>
      <w:r>
        <w:t xml:space="preserve">, </w:t>
      </w:r>
      <w:r>
        <w:rPr>
          <w:rFonts w:ascii="Consolas" w:hAnsi="Consolas"/>
          <w:color w:val="2F6F9F"/>
          <w:sz w:val="18"/>
        </w:rPr>
        <w:t>VLOOKUP</w:t>
      </w:r>
      <w:r>
        <w:t xml:space="preserve">, </w:t>
      </w:r>
      <w:r>
        <w:rPr>
          <w:rFonts w:ascii="Consolas" w:hAnsi="Consolas"/>
          <w:color w:val="2F6F9F"/>
          <w:sz w:val="18"/>
        </w:rPr>
        <w:t>IF</w:t>
      </w:r>
      <w:r>
        <w:t xml:space="preserve">, </w:t>
      </w:r>
      <w:r>
        <w:rPr>
          <w:rFonts w:ascii="Consolas" w:hAnsi="Consolas"/>
          <w:color w:val="2F6F9F"/>
          <w:sz w:val="18"/>
        </w:rPr>
        <w:t>TEXT</w:t>
      </w:r>
      <w:r>
        <w:t xml:space="preserve">, </w:t>
      </w:r>
      <w:r>
        <w:rPr>
          <w:rFonts w:ascii="Consolas" w:hAnsi="Consolas"/>
          <w:color w:val="2F6F9F"/>
          <w:sz w:val="18"/>
        </w:rPr>
        <w:t>MAX</w:t>
      </w:r>
      <w:r>
        <w:t>/</w:t>
      </w:r>
      <w:r>
        <w:rPr>
          <w:rFonts w:ascii="Consolas" w:hAnsi="Consolas"/>
          <w:color w:val="2F6F9F"/>
          <w:sz w:val="18"/>
        </w:rPr>
        <w:t>MIN</w:t>
      </w:r>
      <w:r>
        <w:t>.</w:t>
      </w:r>
    </w:p>
    <w:p>
      <w:r>
        <w:br w:type="page"/>
      </w:r>
    </w:p>
    <w:p>
      <w:pPr>
        <w:pStyle w:val="Heading2"/>
      </w:pPr>
      <w:r>
        <w:t>4. Task 2.2 — descriptive statistics</w:t>
      </w:r>
    </w:p>
    <w:p>
      <w:pPr>
        <w:pStyle w:val="Heading3"/>
      </w:pPr>
      <w:r>
        <w:t>What was asked</w:t>
      </w:r>
    </w:p>
    <w:p>
      <w:r>
        <w:t>For at least 3 numerical variables: mean, median, mode; standard deviation, variance, range, min, max; a frequency table and histogram for one; and a written paragraph per variable.</w:t>
      </w:r>
    </w:p>
    <w:p>
      <w:r>
        <w:t xml:space="preserve">We report </w:t>
      </w:r>
      <w:r>
        <w:rPr>
          <w:b/>
        </w:rPr>
        <w:t>13</w:t>
      </w:r>
      <w:r>
        <w:t xml:space="preserve"> statistics for </w:t>
      </w:r>
      <w:r>
        <w:rPr>
          <w:b/>
        </w:rPr>
        <w:t>Amount</w:t>
      </w:r>
      <w:r>
        <w:t xml:space="preserve">, </w:t>
      </w:r>
      <w:r>
        <w:rPr>
          <w:b/>
        </w:rPr>
        <w:t>Profit</w:t>
      </w:r>
      <w:r>
        <w:t xml:space="preserve"> and </w:t>
      </w:r>
      <w:r>
        <w:rPr>
          <w:b/>
        </w:rPr>
        <w:t>Quantity</w:t>
      </w:r>
      <w:r>
        <w:t xml:space="preserve"> (n = 1,194), adding quartiles, IQR and the coefficient of variation.</w:t>
      </w:r>
    </w:p>
    <w:tbl>
      <w:tblPr>
        <w:tblStyle w:val="LightGrid-Accent1"/>
        <w:tblW w:type="auto" w:w="0"/>
        <w:jc w:val="center"/>
        <w:tblLayout w:type="autofit"/>
        <w:tblLook w:firstColumn="1" w:firstRow="1" w:lastColumn="0" w:lastRow="0" w:noHBand="0" w:noVBand="1" w:val="04A0"/>
      </w:tblPr>
      <w:tblGrid>
        <w:gridCol w:w="2340"/>
        <w:gridCol w:w="2340"/>
        <w:gridCol w:w="2340"/>
        <w:gridCol w:w="2340"/>
      </w:tblGrid>
      <w:tr>
        <w:tc>
          <w:tcPr>
            <w:tcW w:type="dxa" w:w="2340"/>
          </w:tcPr>
          <w:p>
            <w:r>
              <w:rPr>
                <w:b/>
              </w:rPr>
            </w:r>
            <w:r>
              <w:rPr>
                <w:b/>
              </w:rPr>
              <w:t>Statistic</w:t>
            </w:r>
          </w:p>
        </w:tc>
        <w:tc>
          <w:tcPr>
            <w:tcW w:type="dxa" w:w="2340"/>
          </w:tcPr>
          <w:p>
            <w:r>
              <w:rPr>
                <w:b/>
              </w:rPr>
            </w:r>
            <w:r>
              <w:rPr>
                <w:b/>
              </w:rPr>
              <w:t>Amount</w:t>
            </w:r>
          </w:p>
        </w:tc>
        <w:tc>
          <w:tcPr>
            <w:tcW w:type="dxa" w:w="2340"/>
          </w:tcPr>
          <w:p>
            <w:r>
              <w:rPr>
                <w:b/>
              </w:rPr>
            </w:r>
            <w:r>
              <w:rPr>
                <w:b/>
              </w:rPr>
              <w:t>Profit</w:t>
            </w:r>
          </w:p>
        </w:tc>
        <w:tc>
          <w:tcPr>
            <w:tcW w:type="dxa" w:w="2340"/>
          </w:tcPr>
          <w:p>
            <w:r>
              <w:rPr>
                <w:b/>
              </w:rPr>
            </w:r>
            <w:r>
              <w:rPr>
                <w:b/>
              </w:rPr>
              <w:t>Quantity</w:t>
            </w:r>
          </w:p>
        </w:tc>
      </w:tr>
      <w:tr>
        <w:tc>
          <w:tcPr>
            <w:tcW w:type="dxa" w:w="2340"/>
          </w:tcPr>
          <w:p>
            <w:pPr>
              <w:spacing w:line="240" w:lineRule="auto"/>
            </w:pPr>
            <w:r>
              <w:rPr>
                <w:sz w:val="18"/>
              </w:rPr>
            </w:r>
            <w:r>
              <w:rPr>
                <w:sz w:val="18"/>
              </w:rPr>
              <w:t>Mean</w:t>
            </w:r>
          </w:p>
        </w:tc>
        <w:tc>
          <w:tcPr>
            <w:tcW w:type="dxa" w:w="2340"/>
          </w:tcPr>
          <w:p>
            <w:pPr>
              <w:spacing w:line="240" w:lineRule="auto"/>
            </w:pPr>
            <w:r>
              <w:rPr>
                <w:sz w:val="18"/>
              </w:rPr>
            </w:r>
            <w:r>
              <w:rPr>
                <w:sz w:val="18"/>
              </w:rPr>
              <w:t>5,178.09</w:t>
            </w:r>
          </w:p>
        </w:tc>
        <w:tc>
          <w:tcPr>
            <w:tcW w:type="dxa" w:w="2340"/>
          </w:tcPr>
          <w:p>
            <w:pPr>
              <w:spacing w:line="240" w:lineRule="auto"/>
            </w:pPr>
            <w:r>
              <w:rPr>
                <w:sz w:val="18"/>
              </w:rPr>
            </w:r>
            <w:r>
              <w:rPr>
                <w:sz w:val="18"/>
              </w:rPr>
              <w:t>1,348.99</w:t>
            </w:r>
          </w:p>
        </w:tc>
        <w:tc>
          <w:tcPr>
            <w:tcW w:type="dxa" w:w="2340"/>
          </w:tcPr>
          <w:p>
            <w:pPr>
              <w:spacing w:line="240" w:lineRule="auto"/>
            </w:pPr>
            <w:r>
              <w:rPr>
                <w:sz w:val="18"/>
              </w:rPr>
            </w:r>
            <w:r>
              <w:rPr>
                <w:sz w:val="18"/>
              </w:rPr>
              <w:t>10.67</w:t>
            </w:r>
          </w:p>
        </w:tc>
      </w:tr>
      <w:tr>
        <w:tc>
          <w:tcPr>
            <w:tcW w:type="dxa" w:w="2340"/>
          </w:tcPr>
          <w:p>
            <w:pPr>
              <w:spacing w:line="240" w:lineRule="auto"/>
            </w:pPr>
            <w:r>
              <w:rPr>
                <w:sz w:val="18"/>
              </w:rPr>
            </w:r>
            <w:r>
              <w:rPr>
                <w:sz w:val="18"/>
              </w:rPr>
              <w:t>Median</w:t>
            </w:r>
          </w:p>
        </w:tc>
        <w:tc>
          <w:tcPr>
            <w:tcW w:type="dxa" w:w="2340"/>
          </w:tcPr>
          <w:p>
            <w:pPr>
              <w:spacing w:line="240" w:lineRule="auto"/>
            </w:pPr>
            <w:r>
              <w:rPr>
                <w:sz w:val="18"/>
              </w:rPr>
            </w:r>
            <w:r>
              <w:rPr>
                <w:sz w:val="18"/>
              </w:rPr>
              <w:t>5,152.00</w:t>
            </w:r>
          </w:p>
        </w:tc>
        <w:tc>
          <w:tcPr>
            <w:tcW w:type="dxa" w:w="2340"/>
          </w:tcPr>
          <w:p>
            <w:pPr>
              <w:spacing w:line="240" w:lineRule="auto"/>
            </w:pPr>
            <w:r>
              <w:rPr>
                <w:sz w:val="18"/>
              </w:rPr>
            </w:r>
            <w:r>
              <w:rPr>
                <w:sz w:val="18"/>
              </w:rPr>
              <w:t>1,014.00</w:t>
            </w:r>
          </w:p>
        </w:tc>
        <w:tc>
          <w:tcPr>
            <w:tcW w:type="dxa" w:w="2340"/>
          </w:tcPr>
          <w:p>
            <w:pPr>
              <w:spacing w:line="240" w:lineRule="auto"/>
            </w:pPr>
            <w:r>
              <w:rPr>
                <w:sz w:val="18"/>
              </w:rPr>
            </w:r>
            <w:r>
              <w:rPr>
                <w:sz w:val="18"/>
              </w:rPr>
              <w:t>11.00</w:t>
            </w:r>
          </w:p>
        </w:tc>
      </w:tr>
      <w:tr>
        <w:tc>
          <w:tcPr>
            <w:tcW w:type="dxa" w:w="2340"/>
          </w:tcPr>
          <w:p>
            <w:pPr>
              <w:spacing w:line="240" w:lineRule="auto"/>
            </w:pPr>
            <w:r>
              <w:rPr>
                <w:sz w:val="18"/>
              </w:rPr>
            </w:r>
            <w:r>
              <w:rPr>
                <w:sz w:val="18"/>
              </w:rPr>
              <w:t>Mode</w:t>
            </w:r>
          </w:p>
        </w:tc>
        <w:tc>
          <w:tcPr>
            <w:tcW w:type="dxa" w:w="2340"/>
          </w:tcPr>
          <w:p>
            <w:pPr>
              <w:spacing w:line="240" w:lineRule="auto"/>
            </w:pPr>
            <w:r>
              <w:rPr>
                <w:sz w:val="18"/>
              </w:rPr>
            </w:r>
            <w:r>
              <w:rPr>
                <w:sz w:val="18"/>
              </w:rPr>
              <w:t>717</w:t>
            </w:r>
          </w:p>
        </w:tc>
        <w:tc>
          <w:tcPr>
            <w:tcW w:type="dxa" w:w="2340"/>
          </w:tcPr>
          <w:p>
            <w:pPr>
              <w:spacing w:line="240" w:lineRule="auto"/>
            </w:pPr>
            <w:r>
              <w:rPr>
                <w:sz w:val="18"/>
              </w:rPr>
            </w:r>
            <w:r>
              <w:rPr>
                <w:sz w:val="18"/>
              </w:rPr>
              <w:t>177</w:t>
            </w:r>
          </w:p>
        </w:tc>
        <w:tc>
          <w:tcPr>
            <w:tcW w:type="dxa" w:w="2340"/>
          </w:tcPr>
          <w:p>
            <w:pPr>
              <w:spacing w:line="240" w:lineRule="auto"/>
            </w:pPr>
            <w:r>
              <w:rPr>
                <w:sz w:val="18"/>
              </w:rPr>
            </w:r>
            <w:r>
              <w:rPr>
                <w:sz w:val="18"/>
              </w:rPr>
              <w:t>14</w:t>
            </w:r>
          </w:p>
        </w:tc>
      </w:tr>
      <w:tr>
        <w:tc>
          <w:tcPr>
            <w:tcW w:type="dxa" w:w="2340"/>
          </w:tcPr>
          <w:p>
            <w:pPr>
              <w:spacing w:line="240" w:lineRule="auto"/>
            </w:pPr>
            <w:r>
              <w:rPr>
                <w:sz w:val="18"/>
              </w:rPr>
            </w:r>
            <w:r>
              <w:rPr>
                <w:sz w:val="18"/>
              </w:rPr>
              <w:t>Std deviation</w:t>
            </w:r>
          </w:p>
        </w:tc>
        <w:tc>
          <w:tcPr>
            <w:tcW w:type="dxa" w:w="2340"/>
          </w:tcPr>
          <w:p>
            <w:pPr>
              <w:spacing w:line="240" w:lineRule="auto"/>
            </w:pPr>
            <w:r>
              <w:rPr>
                <w:sz w:val="18"/>
              </w:rPr>
            </w:r>
            <w:r>
              <w:rPr>
                <w:sz w:val="18"/>
              </w:rPr>
              <w:t>2,804.92</w:t>
            </w:r>
          </w:p>
        </w:tc>
        <w:tc>
          <w:tcPr>
            <w:tcW w:type="dxa" w:w="2340"/>
          </w:tcPr>
          <w:p>
            <w:pPr>
              <w:spacing w:line="240" w:lineRule="auto"/>
            </w:pPr>
            <w:r>
              <w:rPr>
                <w:sz w:val="18"/>
              </w:rPr>
            </w:r>
            <w:r>
              <w:rPr>
                <w:sz w:val="18"/>
              </w:rPr>
              <w:t>1,117.99</w:t>
            </w:r>
          </w:p>
        </w:tc>
        <w:tc>
          <w:tcPr>
            <w:tcW w:type="dxa" w:w="2340"/>
          </w:tcPr>
          <w:p>
            <w:pPr>
              <w:spacing w:line="240" w:lineRule="auto"/>
            </w:pPr>
            <w:r>
              <w:rPr>
                <w:sz w:val="18"/>
              </w:rPr>
            </w:r>
            <w:r>
              <w:rPr>
                <w:sz w:val="18"/>
              </w:rPr>
              <w:t>5.78</w:t>
            </w:r>
          </w:p>
        </w:tc>
      </w:tr>
      <w:tr>
        <w:tc>
          <w:tcPr>
            <w:tcW w:type="dxa" w:w="2340"/>
          </w:tcPr>
          <w:p>
            <w:pPr>
              <w:spacing w:line="240" w:lineRule="auto"/>
            </w:pPr>
            <w:r>
              <w:rPr>
                <w:sz w:val="18"/>
              </w:rPr>
            </w:r>
            <w:r>
              <w:rPr>
                <w:sz w:val="18"/>
              </w:rPr>
              <w:t>Variance</w:t>
            </w:r>
          </w:p>
        </w:tc>
        <w:tc>
          <w:tcPr>
            <w:tcW w:type="dxa" w:w="2340"/>
          </w:tcPr>
          <w:p>
            <w:pPr>
              <w:spacing w:line="240" w:lineRule="auto"/>
            </w:pPr>
            <w:r>
              <w:rPr>
                <w:sz w:val="18"/>
              </w:rPr>
            </w:r>
            <w:r>
              <w:rPr>
                <w:sz w:val="18"/>
              </w:rPr>
              <w:t>7,867,587.17</w:t>
            </w:r>
          </w:p>
        </w:tc>
        <w:tc>
          <w:tcPr>
            <w:tcW w:type="dxa" w:w="2340"/>
          </w:tcPr>
          <w:p>
            <w:pPr>
              <w:spacing w:line="240" w:lineRule="auto"/>
            </w:pPr>
            <w:r>
              <w:rPr>
                <w:sz w:val="18"/>
              </w:rPr>
            </w:r>
            <w:r>
              <w:rPr>
                <w:sz w:val="18"/>
              </w:rPr>
              <w:t>1,249,907.39</w:t>
            </w:r>
          </w:p>
        </w:tc>
        <w:tc>
          <w:tcPr>
            <w:tcW w:type="dxa" w:w="2340"/>
          </w:tcPr>
          <w:p>
            <w:pPr>
              <w:spacing w:line="240" w:lineRule="auto"/>
            </w:pPr>
            <w:r>
              <w:rPr>
                <w:sz w:val="18"/>
              </w:rPr>
            </w:r>
            <w:r>
              <w:rPr>
                <w:sz w:val="18"/>
              </w:rPr>
              <w:t>33.37</w:t>
            </w:r>
          </w:p>
        </w:tc>
      </w:tr>
      <w:tr>
        <w:tc>
          <w:tcPr>
            <w:tcW w:type="dxa" w:w="2340"/>
          </w:tcPr>
          <w:p>
            <w:pPr>
              <w:spacing w:line="240" w:lineRule="auto"/>
            </w:pPr>
            <w:r>
              <w:rPr>
                <w:sz w:val="18"/>
              </w:rPr>
            </w:r>
            <w:r>
              <w:rPr>
                <w:sz w:val="18"/>
              </w:rPr>
              <w:t>Min / Max</w:t>
            </w:r>
          </w:p>
        </w:tc>
        <w:tc>
          <w:tcPr>
            <w:tcW w:type="dxa" w:w="2340"/>
          </w:tcPr>
          <w:p>
            <w:pPr>
              <w:spacing w:line="240" w:lineRule="auto"/>
            </w:pPr>
            <w:r>
              <w:rPr>
                <w:sz w:val="18"/>
              </w:rPr>
            </w:r>
            <w:r>
              <w:rPr>
                <w:sz w:val="18"/>
              </w:rPr>
              <w:t>508 / 9,992</w:t>
            </w:r>
          </w:p>
        </w:tc>
        <w:tc>
          <w:tcPr>
            <w:tcW w:type="dxa" w:w="2340"/>
          </w:tcPr>
          <w:p>
            <w:pPr>
              <w:spacing w:line="240" w:lineRule="auto"/>
            </w:pPr>
            <w:r>
              <w:rPr>
                <w:sz w:val="18"/>
              </w:rPr>
            </w:r>
            <w:r>
              <w:rPr>
                <w:sz w:val="18"/>
              </w:rPr>
              <w:t>50 / 4,930</w:t>
            </w:r>
          </w:p>
        </w:tc>
        <w:tc>
          <w:tcPr>
            <w:tcW w:type="dxa" w:w="2340"/>
          </w:tcPr>
          <w:p>
            <w:pPr>
              <w:spacing w:line="240" w:lineRule="auto"/>
            </w:pPr>
            <w:r>
              <w:rPr>
                <w:sz w:val="18"/>
              </w:rPr>
            </w:r>
            <w:r>
              <w:rPr>
                <w:sz w:val="18"/>
              </w:rPr>
              <w:t>1 / 20</w:t>
            </w:r>
          </w:p>
        </w:tc>
      </w:tr>
      <w:tr>
        <w:tc>
          <w:tcPr>
            <w:tcW w:type="dxa" w:w="2340"/>
          </w:tcPr>
          <w:p>
            <w:pPr>
              <w:spacing w:line="240" w:lineRule="auto"/>
            </w:pPr>
            <w:r>
              <w:rPr>
                <w:sz w:val="18"/>
              </w:rPr>
            </w:r>
            <w:r>
              <w:rPr>
                <w:sz w:val="18"/>
              </w:rPr>
              <w:t>Range</w:t>
            </w:r>
          </w:p>
        </w:tc>
        <w:tc>
          <w:tcPr>
            <w:tcW w:type="dxa" w:w="2340"/>
          </w:tcPr>
          <w:p>
            <w:pPr>
              <w:spacing w:line="240" w:lineRule="auto"/>
            </w:pPr>
            <w:r>
              <w:rPr>
                <w:sz w:val="18"/>
              </w:rPr>
            </w:r>
            <w:r>
              <w:rPr>
                <w:sz w:val="18"/>
              </w:rPr>
              <w:t>9,484</w:t>
            </w:r>
          </w:p>
        </w:tc>
        <w:tc>
          <w:tcPr>
            <w:tcW w:type="dxa" w:w="2340"/>
          </w:tcPr>
          <w:p>
            <w:pPr>
              <w:spacing w:line="240" w:lineRule="auto"/>
            </w:pPr>
            <w:r>
              <w:rPr>
                <w:sz w:val="18"/>
              </w:rPr>
            </w:r>
            <w:r>
              <w:rPr>
                <w:sz w:val="18"/>
              </w:rPr>
              <w:t>4,880</w:t>
            </w:r>
          </w:p>
        </w:tc>
        <w:tc>
          <w:tcPr>
            <w:tcW w:type="dxa" w:w="2340"/>
          </w:tcPr>
          <w:p>
            <w:pPr>
              <w:spacing w:line="240" w:lineRule="auto"/>
            </w:pPr>
            <w:r>
              <w:rPr>
                <w:sz w:val="18"/>
              </w:rPr>
            </w:r>
            <w:r>
              <w:rPr>
                <w:sz w:val="18"/>
              </w:rPr>
              <w:t>19</w:t>
            </w:r>
          </w:p>
        </w:tc>
      </w:tr>
      <w:tr>
        <w:tc>
          <w:tcPr>
            <w:tcW w:type="dxa" w:w="2340"/>
          </w:tcPr>
          <w:p>
            <w:pPr>
              <w:spacing w:line="240" w:lineRule="auto"/>
            </w:pPr>
            <w:r>
              <w:rPr>
                <w:sz w:val="18"/>
              </w:rPr>
            </w:r>
            <w:r>
              <w:rPr>
                <w:sz w:val="18"/>
              </w:rPr>
              <w:t>Q1 / Q3</w:t>
            </w:r>
          </w:p>
        </w:tc>
        <w:tc>
          <w:tcPr>
            <w:tcW w:type="dxa" w:w="2340"/>
          </w:tcPr>
          <w:p>
            <w:pPr>
              <w:spacing w:line="240" w:lineRule="auto"/>
            </w:pPr>
            <w:r>
              <w:rPr>
                <w:sz w:val="18"/>
              </w:rPr>
            </w:r>
            <w:r>
              <w:rPr>
                <w:sz w:val="18"/>
              </w:rPr>
              <w:t>2,799 / 7,626</w:t>
            </w:r>
          </w:p>
        </w:tc>
        <w:tc>
          <w:tcPr>
            <w:tcW w:type="dxa" w:w="2340"/>
          </w:tcPr>
          <w:p>
            <w:pPr>
              <w:spacing w:line="240" w:lineRule="auto"/>
            </w:pPr>
            <w:r>
              <w:rPr>
                <w:sz w:val="18"/>
              </w:rPr>
            </w:r>
            <w:r>
              <w:rPr>
                <w:sz w:val="18"/>
              </w:rPr>
              <w:t>410 / 2,035</w:t>
            </w:r>
          </w:p>
        </w:tc>
        <w:tc>
          <w:tcPr>
            <w:tcW w:type="dxa" w:w="2340"/>
          </w:tcPr>
          <w:p>
            <w:pPr>
              <w:spacing w:line="240" w:lineRule="auto"/>
            </w:pPr>
            <w:r>
              <w:rPr>
                <w:sz w:val="18"/>
              </w:rPr>
            </w:r>
            <w:r>
              <w:rPr>
                <w:sz w:val="18"/>
              </w:rPr>
              <w:t>6 / 16</w:t>
            </w:r>
          </w:p>
        </w:tc>
      </w:tr>
      <w:tr>
        <w:tc>
          <w:tcPr>
            <w:tcW w:type="dxa" w:w="2340"/>
          </w:tcPr>
          <w:p>
            <w:pPr>
              <w:spacing w:line="240" w:lineRule="auto"/>
            </w:pPr>
            <w:r>
              <w:rPr>
                <w:sz w:val="18"/>
              </w:rPr>
            </w:r>
            <w:r>
              <w:rPr>
                <w:sz w:val="18"/>
              </w:rPr>
              <w:t>IQR</w:t>
            </w:r>
          </w:p>
        </w:tc>
        <w:tc>
          <w:tcPr>
            <w:tcW w:type="dxa" w:w="2340"/>
          </w:tcPr>
          <w:p>
            <w:pPr>
              <w:spacing w:line="240" w:lineRule="auto"/>
            </w:pPr>
            <w:r>
              <w:rPr>
                <w:sz w:val="18"/>
              </w:rPr>
            </w:r>
            <w:r>
              <w:rPr>
                <w:sz w:val="18"/>
              </w:rPr>
              <w:t>4,827</w:t>
            </w:r>
          </w:p>
        </w:tc>
        <w:tc>
          <w:tcPr>
            <w:tcW w:type="dxa" w:w="2340"/>
          </w:tcPr>
          <w:p>
            <w:pPr>
              <w:spacing w:line="240" w:lineRule="auto"/>
            </w:pPr>
            <w:r>
              <w:rPr>
                <w:sz w:val="18"/>
              </w:rPr>
            </w:r>
            <w:r>
              <w:rPr>
                <w:sz w:val="18"/>
              </w:rPr>
              <w:t>1,625</w:t>
            </w:r>
          </w:p>
        </w:tc>
        <w:tc>
          <w:tcPr>
            <w:tcW w:type="dxa" w:w="2340"/>
          </w:tcPr>
          <w:p>
            <w:pPr>
              <w:spacing w:line="240" w:lineRule="auto"/>
            </w:pPr>
            <w:r>
              <w:rPr>
                <w:sz w:val="18"/>
              </w:rPr>
            </w:r>
            <w:r>
              <w:rPr>
                <w:sz w:val="18"/>
              </w:rPr>
              <w:t>10</w:t>
            </w:r>
          </w:p>
        </w:tc>
      </w:tr>
      <w:tr>
        <w:tc>
          <w:tcPr>
            <w:tcW w:type="dxa" w:w="2340"/>
          </w:tcPr>
          <w:p>
            <w:pPr>
              <w:spacing w:line="240" w:lineRule="auto"/>
            </w:pPr>
            <w:r>
              <w:rPr>
                <w:sz w:val="18"/>
              </w:rPr>
            </w:r>
            <w:r>
              <w:rPr>
                <w:sz w:val="18"/>
              </w:rPr>
              <w:t>Coefficient of variation</w:t>
            </w:r>
          </w:p>
        </w:tc>
        <w:tc>
          <w:tcPr>
            <w:tcW w:type="dxa" w:w="2340"/>
          </w:tcPr>
          <w:p>
            <w:pPr>
              <w:spacing w:line="240" w:lineRule="auto"/>
            </w:pPr>
            <w:r>
              <w:rPr>
                <w:sz w:val="18"/>
              </w:rPr>
            </w:r>
            <w:r>
              <w:rPr>
                <w:b/>
                <w:sz w:val="18"/>
              </w:rPr>
              <w:t>54.2%</w:t>
            </w:r>
          </w:p>
        </w:tc>
        <w:tc>
          <w:tcPr>
            <w:tcW w:type="dxa" w:w="2340"/>
          </w:tcPr>
          <w:p>
            <w:pPr>
              <w:spacing w:line="240" w:lineRule="auto"/>
            </w:pPr>
            <w:r>
              <w:rPr>
                <w:sz w:val="18"/>
              </w:rPr>
            </w:r>
            <w:r>
              <w:rPr>
                <w:b/>
                <w:sz w:val="18"/>
              </w:rPr>
              <w:t>82.9%</w:t>
            </w:r>
          </w:p>
        </w:tc>
        <w:tc>
          <w:tcPr>
            <w:tcW w:type="dxa" w:w="2340"/>
          </w:tcPr>
          <w:p>
            <w:pPr>
              <w:spacing w:line="240" w:lineRule="auto"/>
            </w:pPr>
            <w:r>
              <w:rPr>
                <w:sz w:val="18"/>
              </w:rPr>
            </w:r>
            <w:r>
              <w:rPr>
                <w:sz w:val="18"/>
              </w:rPr>
              <w:t>54.1%</w:t>
            </w:r>
          </w:p>
        </w:tc>
      </w:tr>
    </w:tbl>
    <w:p>
      <w:pPr>
        <w:spacing w:after="200" w:line="240" w:lineRule="auto"/>
        <w:jc w:val="center"/>
      </w:pPr>
      <w:r>
        <w:rPr>
          <w:i/>
          <w:color w:val="7B8994"/>
          <w:sz w:val="20"/>
        </w:rPr>
        <w:t>Table 4. What was asked</w:t>
      </w:r>
    </w:p>
    <w:p>
      <w:pPr>
        <w:pStyle w:val="Heading3"/>
      </w:pPr>
      <w:r>
        <w:t>What each statistic is actually for</w:t>
      </w:r>
    </w:p>
    <w:p>
      <w:r>
        <w:rPr>
          <w:b/>
        </w:rPr>
        <w:t>Mean vs median — the skew test.</w:t>
      </w:r>
      <w:r>
        <w:t xml:space="preserve"> If they are close, the distribution is symmetric. If the mean is well above the median, a few large values are pulling it up (right skew).</w:t>
      </w:r>
    </w:p>
    <w:p>
      <w:pPr>
        <w:pStyle w:val="ListBullet"/>
      </w:pPr>
      <w:r>
        <w:t xml:space="preserve">Amount: mean 5,178 ≈ median 5,152 → </w:t>
      </w:r>
      <w:r>
        <w:rPr>
          <w:b/>
        </w:rPr>
        <w:t>symmetric</w:t>
      </w:r>
    </w:p>
    <w:p>
      <w:pPr>
        <w:pStyle w:val="ListBullet"/>
      </w:pPr>
      <w:r>
        <w:t xml:space="preserve">Profit: mean 1,349 ≫ median 1,014 → </w:t>
      </w:r>
      <w:r>
        <w:rPr>
          <w:b/>
        </w:rPr>
        <w:t>right-skewed</w:t>
      </w:r>
    </w:p>
    <w:p>
      <w:r>
        <w:t xml:space="preserve">That single comparison is the most useful thing on the sheet, and it is why the report says the </w:t>
      </w:r>
      <w:r>
        <w:rPr>
          <w:i/>
        </w:rPr>
        <w:t>median</w:t>
      </w:r>
      <w:r>
        <w:t xml:space="preserve"> is the honest figure to quote for a typical order's profit.</w:t>
      </w:r>
    </w:p>
    <w:p>
      <w:r>
        <w:rPr>
          <w:b/>
        </w:rPr>
        <w:t>Mode</w:t>
      </w:r>
      <w:r>
        <w:t xml:space="preserve"> is the most frequent value. Useful for Quantity (mode 14 out of 20 possible values) and close to meaningless for a continuous variable like Amount, where the "mode" of 717 appears just 6 times in 1,194 rows. Say that rather than reporting it as if it mattered — knowing when a statistic does not apply is worth marks.</w:t>
      </w:r>
    </w:p>
    <w:p>
      <w:r>
        <w:rPr>
          <w:b/>
        </w:rPr>
        <w:t>Standard deviation vs variance.</w:t>
      </w:r>
      <w:r>
        <w:t xml:space="preserve"> Variance is the standard deviation squared. Same information, but variance is in </w:t>
      </w:r>
      <w:r>
        <w:rPr>
          <w:i/>
        </w:rPr>
        <w:t>squared</w:t>
      </w:r>
      <w:r>
        <w:t xml:space="preserve"> units (currency²), which is meaningless to a business reader. Quote the standard deviation; report the variance because the brief asks for it.</w:t>
      </w:r>
    </w:p>
    <w:p>
      <w:r>
        <w:rPr>
          <w:b/>
        </w:rPr>
        <w:t>Coefficient of variation</w:t>
      </w:r>
      <w:r>
        <w:t xml:space="preserve"> is standard deviation ÷ mean, expressed as a percentage. It lets you compare spread across variables with different units. This is the one that produces a real finding: Profit's </w:t>
      </w:r>
      <w:r>
        <w:rPr>
          <w:b/>
        </w:rPr>
        <w:t>82.9%</w:t>
      </w:r>
      <w:r>
        <w:t xml:space="preserve"> against Amount's </w:t>
      </w:r>
      <w:r>
        <w:rPr>
          <w:b/>
        </w:rPr>
        <w:t>54.2%</w:t>
      </w:r>
      <w:r>
        <w:t xml:space="preserve"> says profit is far less predictable than revenue — two orders of the same value can return very different profits.</w:t>
      </w:r>
    </w:p>
    <w:p>
      <w:r>
        <w:rPr>
          <w:b/>
        </w:rPr>
        <w:t>Quartiles and IQR.</w:t>
      </w:r>
      <w:r>
        <w:t xml:space="preserve"> Q1 is the value 25% of rows fall below, Q3 is 75%. The IQR is the middle half, and unlike the range it ignores extremes.</w:t>
      </w:r>
    </w:p>
    <w:p>
      <w:pPr>
        <w:pStyle w:val="Heading3"/>
      </w:pPr>
      <w:r>
        <w:t>The histogram is the real finding</w:t>
      </w:r>
    </w:p>
    <w:p>
      <w:r>
        <w:t xml:space="preserve">The </w:t>
      </w:r>
      <w:r>
        <w:rPr>
          <w:b/>
        </w:rPr>
        <w:t>Frequency</w:t>
      </w:r>
      <w:r>
        <w:t xml:space="preserve"> sheet bins Amount into ten bands of 1,000 and counts each with </w:t>
      </w:r>
      <w:r>
        <w:rPr>
          <w:rFonts w:ascii="Consolas" w:hAnsi="Consolas"/>
          <w:color w:val="2F6F9F"/>
          <w:sz w:val="18"/>
        </w:rPr>
        <w:t>COUNTIFS</w:t>
      </w:r>
      <w:r>
        <w:t xml:space="preserve"> (not the </w:t>
      </w:r>
      <w:r>
        <w:rPr>
          <w:rFonts w:ascii="Consolas" w:hAnsi="Consolas"/>
          <w:color w:val="2F6F9F"/>
          <w:sz w:val="18"/>
        </w:rPr>
        <w:t>FREQUENCY</w:t>
      </w:r>
      <w:r>
        <w:t xml:space="preserve"> array function, so each cell is independent and auditable).</w:t>
      </w:r>
    </w:p>
    <w:p>
      <w:r>
        <w:t xml:space="preserve">The shape is </w:t>
      </w:r>
      <w:r>
        <w:rPr>
          <w:b/>
        </w:rPr>
        <w:t>flat, not bell-shaped</w:t>
      </w:r>
      <w:r>
        <w:t>. A normal distribution peaks in the middle and thins at both ends. This one is roughly level from 508 to 9,992 — which is what a random number generator produces, and further evidence the dataset is synthetic, consistent with the four signals documented in Checkpoint 1.</w:t>
      </w:r>
    </w:p>
    <w:p>
      <w:r>
        <w:t xml:space="preserve">The business reading: </w:t>
      </w:r>
      <w:r>
        <w:rPr>
          <w:b/>
        </w:rPr>
        <w:t>there is no "typical" order size</w:t>
      </w:r>
      <w:r>
        <w:t xml:space="preserve"> to design around, and no premium segment to separate out.</w:t>
      </w:r>
    </w:p>
    <w:p>
      <w:r>
        <w:br w:type="page"/>
      </w:r>
    </w:p>
    <w:p>
      <w:pPr>
        <w:pStyle w:val="Heading2"/>
      </w:pPr>
      <w:r>
        <w:t>5. Task 2.3 — correlation</w:t>
      </w:r>
    </w:p>
    <w:p>
      <w:pPr>
        <w:pStyle w:val="Heading3"/>
      </w:pPr>
      <w:r>
        <w:t>What was asked</w:t>
      </w:r>
    </w:p>
    <w:p>
      <w:r>
        <w:t>Two pairs of variables. For each: the Pearson coefficient, a scatter plot with a trendline, and an interpretation of direction, strength and business meaning.</w:t>
      </w:r>
    </w:p>
    <w:p>
      <w:pPr>
        <w:pStyle w:val="Heading3"/>
      </w:pPr>
      <w:r>
        <w:t>What r actually means</w:t>
      </w:r>
    </w:p>
    <w:p>
      <w:r>
        <w:t xml:space="preserve">Pearson's </w:t>
      </w:r>
      <w:r>
        <w:rPr>
          <w:b/>
        </w:rPr>
        <w:t>r</w:t>
      </w:r>
      <w:r>
        <w:t xml:space="preserve"> runs from −1 to +1:</w:t>
      </w:r>
    </w:p>
    <w:p>
      <w:pPr>
        <w:pStyle w:val="ListBullet"/>
      </w:pPr>
      <w:r>
        <w:rPr>
          <w:b/>
        </w:rPr>
        <w:t>Sign</w:t>
      </w:r>
      <w:r>
        <w:t xml:space="preserve"> is direction. Positive = they rise together; negative = one rises as the other falls.</w:t>
      </w:r>
    </w:p>
    <w:p>
      <w:pPr>
        <w:pStyle w:val="ListBullet"/>
      </w:pPr>
      <w:r>
        <w:rPr>
          <w:b/>
        </w:rPr>
        <w:t>Size</w:t>
      </w:r>
      <w:r>
        <w:t xml:space="preserve"> is strength. Conventional bands: 0.7+ strong, 0.4–0.7 moderate, below 0.4 weak.</w:t>
      </w:r>
    </w:p>
    <w:p>
      <w:pPr>
        <w:pStyle w:val="ListBullet"/>
      </w:pPr>
      <w:r>
        <w:rPr>
          <w:b/>
        </w:rPr>
        <w:t>r²</w:t>
      </w:r>
      <w:r>
        <w:t xml:space="preserve"> is the share of variation in one variable that moves with the other. r = 0.9227 gives r² = 0.8514, so about </w:t>
      </w:r>
      <w:r>
        <w:rPr>
          <w:b/>
        </w:rPr>
        <w:t>85%</w:t>
      </w:r>
      <w:r>
        <w:t>.</w:t>
      </w:r>
    </w:p>
    <w:p>
      <w:pPr>
        <w:pStyle w:val="ListBullet"/>
      </w:pPr>
      <w:r>
        <w:t xml:space="preserve">The </w:t>
      </w:r>
      <w:r>
        <w:rPr>
          <w:b/>
        </w:rPr>
        <w:t>p-value</w:t>
      </w:r>
      <w:r>
        <w:t xml:space="preserve"> answers a different question: could a correlation this large have arisen by chance if the true correlation were zero? Below 0.05 means no, probably not.</w:t>
      </w:r>
    </w:p>
    <w:p>
      <w:pPr>
        <w:pStyle w:val="Heading3"/>
      </w:pPr>
      <w:r>
        <w:t>Pair 1 — monthly orders vs monthly revenue</w:t>
      </w:r>
    </w:p>
    <w:p>
      <w:r>
        <w:rPr>
          <w:b/>
        </w:rPr>
        <w:t>r = +0.9227, r² = 0.8514, p = 1.98 × 10⁻²⁴, n = 57 months. Strong positive.</w:t>
      </w:r>
    </w:p>
    <w:p>
      <w:r>
        <w:t>Months with more orders have proportionally more revenue, and order count alone tracks about 85% of the variation in monthly revenue.</w:t>
      </w:r>
    </w:p>
    <w:p>
      <w:r>
        <w:t xml:space="preserve">This is the statistical form of the Checkpoint 1 finding. CP1 </w:t>
      </w:r>
      <w:r>
        <w:rPr>
          <w:i/>
        </w:rPr>
        <w:t>observed</w:t>
      </w:r>
      <w:r>
        <w:t xml:space="preserve"> that revenue fell while average order value stayed flat and </w:t>
      </w:r>
      <w:r>
        <w:rPr>
          <w:i/>
        </w:rPr>
        <w:t>inferred</w:t>
      </w:r>
      <w:r>
        <w:t xml:space="preserve"> that order count was doing the work. This tests the inference and confirms it.</w:t>
      </w:r>
    </w:p>
    <w:p>
      <w:pPr>
        <w:pStyle w:val="Heading3"/>
      </w:pPr>
      <w:r>
        <w:t>Pair 2 — line quantity vs line amount</w:t>
      </w:r>
    </w:p>
    <w:p>
      <w:r>
        <w:rPr>
          <w:b/>
        </w:rPr>
        <w:t>r = +0.0446, r² = 0.0020, p = 0.123, n = 1,194. Negligible — not significant.</w:t>
      </w:r>
    </w:p>
    <w:p>
      <w:r>
        <w:t xml:space="preserve">Essentially no relationship. Units sold explains </w:t>
      </w:r>
      <w:r>
        <w:rPr>
          <w:b/>
        </w:rPr>
        <w:t>0.2%</w:t>
      </w:r>
      <w:r>
        <w:t xml:space="preserve"> of the variation in order value, and at p = 0.123 we </w:t>
      </w:r>
      <w:r>
        <w:rPr>
          <w:b/>
        </w:rPr>
        <w:t>cannot reject</w:t>
      </w:r>
      <w:r>
        <w:t xml:space="preserve"> the hypothesis that the true correlation is zero.</w:t>
      </w:r>
    </w:p>
    <w:p>
      <w:r>
        <w:rPr>
          <w:b/>
        </w:rPr>
        <w:t>A negative result is still a result, and this one is the more useful of the two.</w:t>
      </w:r>
      <w:r>
        <w:t xml:space="preserve"> The intuitive assumption — sell more units, earn more revenue — is false here, because unit price varies so widely across the twelve sub-categories that volume carries no information about value. Practically: an incentive scheme based on units shifted would not raise revenue, and "units sold" should not be used as a performance measure.</w:t>
      </w:r>
    </w:p>
    <w:p>
      <w:pPr>
        <w:pStyle w:val="Heading3"/>
      </w:pPr>
      <w:r>
        <w:t>Supporting check — amount vs profit</w:t>
      </w:r>
    </w:p>
    <w:p>
      <w:r>
        <w:rPr>
          <w:b/>
        </w:rPr>
        <w:t>r = +0.6753, r² = 0.4560, p &lt; 0.001.</w:t>
      </w:r>
      <w:r>
        <w:t xml:space="preserve"> Moderate-to-strong, but notably </w:t>
      </w:r>
      <w:r>
        <w:rPr>
          <w:i/>
        </w:rPr>
        <w:t>not</w:t>
      </w:r>
      <w:r>
        <w:t xml:space="preserve"> near 1.0: only </w:t>
      </w:r>
      <w:r>
        <w:rPr>
          <w:b/>
        </w:rPr>
        <w:t>46%</w:t>
      </w:r>
      <w:r>
        <w:t xml:space="preserve"> of profit variation tracks revenue. The other 54% is margin differences between products — which is the same story the coefficient of variation told in Task 2.2, arrived at a different way.</w:t>
      </w:r>
    </w:p>
    <w:p>
      <w:pPr>
        <w:pStyle w:val="Heading3"/>
      </w:pPr>
      <w:r>
        <w:t>The caveat you must state</w:t>
      </w:r>
    </w:p>
    <w:p>
      <w:r>
        <w:rPr>
          <w:b/>
        </w:rPr>
        <w:t>Correlation is not causation.</w:t>
      </w:r>
      <w:r>
        <w:t xml:space="preserve"> A strong r says two things move together. It does not say one causes the other, and it cannot rule out a third factor driving both. Say this about Pair 1 explicitly: more orders and more revenue move together, but that does not prove that pushing order count up would mechanically raise revenue — if the extra orders were won by discounting, the average order value would fall and the relationship would not hold.</w:t>
      </w:r>
    </w:p>
    <w:p>
      <w:r>
        <w:br w:type="page"/>
      </w:r>
    </w:p>
    <w:p>
      <w:pPr>
        <w:pStyle w:val="Heading2"/>
      </w:pPr>
      <w:r>
        <w:t>6. Task 2.4 — regression</w:t>
      </w:r>
    </w:p>
    <w:p>
      <w:pPr>
        <w:pStyle w:val="Heading3"/>
      </w:pPr>
      <w:r>
        <w:t>What was asked</w:t>
      </w:r>
    </w:p>
    <w:p>
      <w:r>
        <w:t>One dependent variable (Y) and one predictor (X); the equation, R², a significance test on the slope, at least one forecast, and a discussion of limitations.</w:t>
      </w:r>
    </w:p>
    <w:p>
      <w:pPr>
        <w:pStyle w:val="Heading3"/>
      </w:pPr>
      <w:r>
        <w:t>The variables, and why</w:t>
      </w:r>
    </w:p>
    <w:p>
      <w:pPr>
        <w:pStyle w:val="ListBullet"/>
      </w:pPr>
      <w:r>
        <w:rPr>
          <w:b/>
        </w:rPr>
        <w:t>Y (dependent):</w:t>
      </w:r>
      <w:r>
        <w:t xml:space="preserve"> monthly revenue</w:t>
      </w:r>
    </w:p>
    <w:p>
      <w:pPr>
        <w:pStyle w:val="ListBullet"/>
      </w:pPr>
      <w:r>
        <w:rPr>
          <w:b/>
        </w:rPr>
        <w:t>X (predictor):</w:t>
      </w:r>
      <w:r>
        <w:t xml:space="preserve"> number of orders in that month</w:t>
      </w:r>
    </w:p>
    <w:p>
      <w:r>
        <w:t xml:space="preserve">Three reasons: it tests the central Checkpoint 1 claim rather than asserting it; it had by far the strongest correlation of any pair examined; and it is </w:t>
      </w:r>
      <w:r>
        <w:rPr>
          <w:b/>
        </w:rPr>
        <w:t>actionable</w:t>
      </w:r>
      <w:r>
        <w:t xml:space="preserve"> — a business can influence how many orders it wins far more readily than how large each one is.</w:t>
      </w:r>
    </w:p>
    <w:p>
      <w:pPr>
        <w:pStyle w:val="Heading3"/>
      </w:pPr>
      <w:r>
        <w:t>The output</w:t>
      </w:r>
    </w:p>
    <w:tbl>
      <w:tblPr>
        <w:tblStyle w:val="LightGrid-Accent1"/>
        <w:tblW w:type="auto" w:w="0"/>
        <w:jc w:val="center"/>
        <w:tblLayout w:type="autofit"/>
        <w:tblLook w:firstColumn="1" w:firstRow="1" w:lastColumn="0" w:lastRow="0" w:noHBand="0" w:noVBand="1" w:val="04A0"/>
      </w:tblPr>
      <w:tblGrid>
        <w:gridCol w:w="3120"/>
        <w:gridCol w:w="3120"/>
        <w:gridCol w:w="3120"/>
      </w:tblGrid>
      <w:tr>
        <w:tc>
          <w:tcPr>
            <w:tcW w:type="dxa" w:w="3120"/>
          </w:tcPr>
          <w:p>
            <w:r>
              <w:rPr>
                <w:b/>
              </w:rPr>
            </w:r>
            <w:r>
              <w:rPr>
                <w:b/>
              </w:rPr>
              <w:t>Statistic</w:t>
            </w:r>
          </w:p>
        </w:tc>
        <w:tc>
          <w:tcPr>
            <w:tcW w:type="dxa" w:w="3120"/>
          </w:tcPr>
          <w:p>
            <w:r>
              <w:rPr>
                <w:b/>
              </w:rPr>
            </w:r>
            <w:r>
              <w:rPr>
                <w:b/>
              </w:rPr>
              <w:t>Value</w:t>
            </w:r>
          </w:p>
        </w:tc>
        <w:tc>
          <w:tcPr>
            <w:tcW w:type="dxa" w:w="3120"/>
          </w:tcPr>
          <w:p>
            <w:r>
              <w:rPr>
                <w:b/>
              </w:rPr>
            </w:r>
            <w:r>
              <w:rPr>
                <w:b/>
              </w:rPr>
              <w:t>What it is</w:t>
            </w:r>
          </w:p>
        </w:tc>
      </w:tr>
      <w:tr>
        <w:tc>
          <w:tcPr>
            <w:tcW w:type="dxa" w:w="3120"/>
          </w:tcPr>
          <w:p>
            <w:pPr>
              <w:spacing w:line="240" w:lineRule="auto"/>
            </w:pPr>
            <w:r>
              <w:rPr>
                <w:sz w:val="18"/>
              </w:rPr>
            </w:r>
            <w:r>
              <w:rPr>
                <w:sz w:val="18"/>
              </w:rPr>
              <w:t>n</w:t>
            </w:r>
          </w:p>
        </w:tc>
        <w:tc>
          <w:tcPr>
            <w:tcW w:type="dxa" w:w="3120"/>
          </w:tcPr>
          <w:p>
            <w:pPr>
              <w:spacing w:line="240" w:lineRule="auto"/>
            </w:pPr>
            <w:r>
              <w:rPr>
                <w:sz w:val="18"/>
              </w:rPr>
            </w:r>
            <w:r>
              <w:rPr>
                <w:sz w:val="18"/>
              </w:rPr>
              <w:t>57</w:t>
            </w:r>
          </w:p>
        </w:tc>
        <w:tc>
          <w:tcPr>
            <w:tcW w:type="dxa" w:w="3120"/>
          </w:tcPr>
          <w:p>
            <w:pPr>
              <w:spacing w:line="240" w:lineRule="auto"/>
            </w:pPr>
            <w:r>
              <w:rPr>
                <w:sz w:val="18"/>
              </w:rPr>
            </w:r>
            <w:r>
              <w:rPr>
                <w:sz w:val="18"/>
              </w:rPr>
              <w:t>Months in the sample</w:t>
            </w:r>
          </w:p>
        </w:tc>
      </w:tr>
      <w:tr>
        <w:tc>
          <w:tcPr>
            <w:tcW w:type="dxa" w:w="3120"/>
          </w:tcPr>
          <w:p>
            <w:pPr>
              <w:spacing w:line="240" w:lineRule="auto"/>
            </w:pPr>
            <w:r>
              <w:rPr>
                <w:sz w:val="18"/>
              </w:rPr>
            </w:r>
            <w:r>
              <w:rPr>
                <w:b/>
                <w:sz w:val="18"/>
              </w:rPr>
              <w:t>Slope (b)</w:t>
            </w:r>
          </w:p>
        </w:tc>
        <w:tc>
          <w:tcPr>
            <w:tcW w:type="dxa" w:w="3120"/>
          </w:tcPr>
          <w:p>
            <w:pPr>
              <w:spacing w:line="240" w:lineRule="auto"/>
            </w:pPr>
            <w:r>
              <w:rPr>
                <w:sz w:val="18"/>
              </w:rPr>
            </w:r>
            <w:r>
              <w:rPr>
                <w:b/>
                <w:sz w:val="18"/>
              </w:rPr>
              <w:t>5,224.25</w:t>
            </w:r>
          </w:p>
        </w:tc>
        <w:tc>
          <w:tcPr>
            <w:tcW w:type="dxa" w:w="3120"/>
          </w:tcPr>
          <w:p>
            <w:pPr>
              <w:spacing w:line="240" w:lineRule="auto"/>
            </w:pPr>
            <w:r>
              <w:rPr>
                <w:sz w:val="18"/>
              </w:rPr>
            </w:r>
            <w:r>
              <w:rPr>
                <w:sz w:val="18"/>
              </w:rPr>
              <w:t>Revenue added per extra order</w:t>
            </w:r>
          </w:p>
        </w:tc>
      </w:tr>
      <w:tr>
        <w:tc>
          <w:tcPr>
            <w:tcW w:type="dxa" w:w="3120"/>
          </w:tcPr>
          <w:p>
            <w:pPr>
              <w:spacing w:line="240" w:lineRule="auto"/>
            </w:pPr>
            <w:r>
              <w:rPr>
                <w:sz w:val="18"/>
              </w:rPr>
            </w:r>
            <w:r>
              <w:rPr>
                <w:sz w:val="18"/>
              </w:rPr>
              <w:t>Intercept (a)</w:t>
            </w:r>
          </w:p>
        </w:tc>
        <w:tc>
          <w:tcPr>
            <w:tcW w:type="dxa" w:w="3120"/>
          </w:tcPr>
          <w:p>
            <w:pPr>
              <w:spacing w:line="240" w:lineRule="auto"/>
            </w:pPr>
            <w:r>
              <w:rPr>
                <w:sz w:val="18"/>
              </w:rPr>
            </w:r>
            <w:r>
              <w:rPr>
                <w:sz w:val="18"/>
              </w:rPr>
              <w:t>−1,353.65</w:t>
            </w:r>
          </w:p>
        </w:tc>
        <w:tc>
          <w:tcPr>
            <w:tcW w:type="dxa" w:w="3120"/>
          </w:tcPr>
          <w:p>
            <w:pPr>
              <w:spacing w:line="240" w:lineRule="auto"/>
            </w:pPr>
            <w:r>
              <w:rPr>
                <w:sz w:val="18"/>
              </w:rPr>
            </w:r>
            <w:r>
              <w:rPr>
                <w:sz w:val="18"/>
              </w:rPr>
              <w:t>Predicted revenue at zero orders</w:t>
            </w:r>
          </w:p>
        </w:tc>
      </w:tr>
      <w:tr>
        <w:tc>
          <w:tcPr>
            <w:tcW w:type="dxa" w:w="3120"/>
          </w:tcPr>
          <w:p>
            <w:pPr>
              <w:spacing w:line="240" w:lineRule="auto"/>
            </w:pPr>
            <w:r>
              <w:rPr>
                <w:sz w:val="18"/>
              </w:rPr>
            </w:r>
            <w:r>
              <w:rPr>
                <w:sz w:val="18"/>
              </w:rPr>
              <w:t>r</w:t>
            </w:r>
          </w:p>
        </w:tc>
        <w:tc>
          <w:tcPr>
            <w:tcW w:type="dxa" w:w="3120"/>
          </w:tcPr>
          <w:p>
            <w:pPr>
              <w:spacing w:line="240" w:lineRule="auto"/>
            </w:pPr>
            <w:r>
              <w:rPr>
                <w:sz w:val="18"/>
              </w:rPr>
            </w:r>
            <w:r>
              <w:rPr>
                <w:sz w:val="18"/>
              </w:rPr>
              <w:t>0.9227</w:t>
            </w:r>
          </w:p>
        </w:tc>
        <w:tc>
          <w:tcPr>
            <w:tcW w:type="dxa" w:w="3120"/>
          </w:tcPr>
          <w:p>
            <w:pPr>
              <w:spacing w:line="240" w:lineRule="auto"/>
            </w:pPr>
            <w:r>
              <w:rPr>
                <w:sz w:val="18"/>
              </w:rPr>
            </w:r>
            <w:r>
              <w:rPr>
                <w:sz w:val="18"/>
              </w:rPr>
              <w:t>Correlation</w:t>
            </w:r>
          </w:p>
        </w:tc>
      </w:tr>
      <w:tr>
        <w:tc>
          <w:tcPr>
            <w:tcW w:type="dxa" w:w="3120"/>
          </w:tcPr>
          <w:p>
            <w:pPr>
              <w:spacing w:line="240" w:lineRule="auto"/>
            </w:pPr>
            <w:r>
              <w:rPr>
                <w:sz w:val="18"/>
              </w:rPr>
            </w:r>
            <w:r>
              <w:rPr>
                <w:b/>
                <w:sz w:val="18"/>
              </w:rPr>
              <w:t>R²</w:t>
            </w:r>
          </w:p>
        </w:tc>
        <w:tc>
          <w:tcPr>
            <w:tcW w:type="dxa" w:w="3120"/>
          </w:tcPr>
          <w:p>
            <w:pPr>
              <w:spacing w:line="240" w:lineRule="auto"/>
            </w:pPr>
            <w:r>
              <w:rPr>
                <w:sz w:val="18"/>
              </w:rPr>
            </w:r>
            <w:r>
              <w:rPr>
                <w:b/>
                <w:sz w:val="18"/>
              </w:rPr>
              <w:t>0.8514</w:t>
            </w:r>
          </w:p>
        </w:tc>
        <w:tc>
          <w:tcPr>
            <w:tcW w:type="dxa" w:w="3120"/>
          </w:tcPr>
          <w:p>
            <w:pPr>
              <w:spacing w:line="240" w:lineRule="auto"/>
            </w:pPr>
            <w:r>
              <w:rPr>
                <w:sz w:val="18"/>
              </w:rPr>
            </w:r>
            <w:r>
              <w:rPr>
                <w:sz w:val="18"/>
              </w:rPr>
              <w:t>Share of revenue variation explained</w:t>
            </w:r>
          </w:p>
        </w:tc>
      </w:tr>
      <w:tr>
        <w:tc>
          <w:tcPr>
            <w:tcW w:type="dxa" w:w="3120"/>
          </w:tcPr>
          <w:p>
            <w:pPr>
              <w:spacing w:line="240" w:lineRule="auto"/>
            </w:pPr>
            <w:r>
              <w:rPr>
                <w:sz w:val="18"/>
              </w:rPr>
            </w:r>
            <w:r>
              <w:rPr>
                <w:sz w:val="18"/>
              </w:rPr>
              <w:t>Std error of estimate</w:t>
            </w:r>
          </w:p>
        </w:tc>
        <w:tc>
          <w:tcPr>
            <w:tcW w:type="dxa" w:w="3120"/>
          </w:tcPr>
          <w:p>
            <w:pPr>
              <w:spacing w:line="240" w:lineRule="auto"/>
            </w:pPr>
            <w:r>
              <w:rPr>
                <w:sz w:val="18"/>
              </w:rPr>
            </w:r>
            <w:r>
              <w:rPr>
                <w:sz w:val="18"/>
              </w:rPr>
              <w:t>15,099.14</w:t>
            </w:r>
          </w:p>
        </w:tc>
        <w:tc>
          <w:tcPr>
            <w:tcW w:type="dxa" w:w="3120"/>
          </w:tcPr>
          <w:p>
            <w:pPr>
              <w:spacing w:line="240" w:lineRule="auto"/>
            </w:pPr>
            <w:r>
              <w:rPr>
                <w:sz w:val="18"/>
              </w:rPr>
            </w:r>
            <w:r>
              <w:rPr>
                <w:sz w:val="18"/>
              </w:rPr>
              <w:t>Typical prediction error</w:t>
            </w:r>
          </w:p>
        </w:tc>
      </w:tr>
      <w:tr>
        <w:tc>
          <w:tcPr>
            <w:tcW w:type="dxa" w:w="3120"/>
          </w:tcPr>
          <w:p>
            <w:pPr>
              <w:spacing w:line="240" w:lineRule="auto"/>
            </w:pPr>
            <w:r>
              <w:rPr>
                <w:sz w:val="18"/>
              </w:rPr>
            </w:r>
            <w:r>
              <w:rPr>
                <w:sz w:val="18"/>
              </w:rPr>
              <w:t>Std error of slope</w:t>
            </w:r>
          </w:p>
        </w:tc>
        <w:tc>
          <w:tcPr>
            <w:tcW w:type="dxa" w:w="3120"/>
          </w:tcPr>
          <w:p>
            <w:pPr>
              <w:spacing w:line="240" w:lineRule="auto"/>
            </w:pPr>
            <w:r>
              <w:rPr>
                <w:sz w:val="18"/>
              </w:rPr>
            </w:r>
            <w:r>
              <w:rPr>
                <w:sz w:val="18"/>
              </w:rPr>
              <w:t>294.35</w:t>
            </w:r>
          </w:p>
        </w:tc>
        <w:tc>
          <w:tcPr>
            <w:tcW w:type="dxa" w:w="3120"/>
          </w:tcPr>
          <w:p>
            <w:pPr>
              <w:spacing w:line="240" w:lineRule="auto"/>
            </w:pPr>
            <w:r>
              <w:rPr>
                <w:sz w:val="18"/>
              </w:rPr>
            </w:r>
            <w:r>
              <w:rPr>
                <w:sz w:val="18"/>
              </w:rPr>
              <w:t>Uncertainty in the slope</w:t>
            </w:r>
          </w:p>
        </w:tc>
      </w:tr>
      <w:tr>
        <w:tc>
          <w:tcPr>
            <w:tcW w:type="dxa" w:w="3120"/>
          </w:tcPr>
          <w:p>
            <w:pPr>
              <w:spacing w:line="240" w:lineRule="auto"/>
            </w:pPr>
            <w:r>
              <w:rPr>
                <w:sz w:val="18"/>
              </w:rPr>
            </w:r>
            <w:r>
              <w:rPr>
                <w:b/>
                <w:sz w:val="18"/>
              </w:rPr>
              <w:t>t statistic</w:t>
            </w:r>
          </w:p>
        </w:tc>
        <w:tc>
          <w:tcPr>
            <w:tcW w:type="dxa" w:w="3120"/>
          </w:tcPr>
          <w:p>
            <w:pPr>
              <w:spacing w:line="240" w:lineRule="auto"/>
            </w:pPr>
            <w:r>
              <w:rPr>
                <w:sz w:val="18"/>
              </w:rPr>
            </w:r>
            <w:r>
              <w:rPr>
                <w:b/>
                <w:sz w:val="18"/>
              </w:rPr>
              <w:t>17.75</w:t>
            </w:r>
          </w:p>
        </w:tc>
        <w:tc>
          <w:tcPr>
            <w:tcW w:type="dxa" w:w="3120"/>
          </w:tcPr>
          <w:p>
            <w:pPr>
              <w:spacing w:line="240" w:lineRule="auto"/>
            </w:pPr>
            <w:r>
              <w:rPr>
                <w:sz w:val="18"/>
              </w:rPr>
            </w:r>
            <w:r>
              <w:rPr>
                <w:sz w:val="18"/>
              </w:rPr>
              <w:t>Slope ÷ its standard error</w:t>
            </w:r>
          </w:p>
        </w:tc>
      </w:tr>
      <w:tr>
        <w:tc>
          <w:tcPr>
            <w:tcW w:type="dxa" w:w="3120"/>
          </w:tcPr>
          <w:p>
            <w:pPr>
              <w:spacing w:line="240" w:lineRule="auto"/>
            </w:pPr>
            <w:r>
              <w:rPr>
                <w:sz w:val="18"/>
              </w:rPr>
            </w:r>
            <w:r>
              <w:rPr>
                <w:sz w:val="18"/>
              </w:rPr>
              <w:t>Degrees of freedom</w:t>
            </w:r>
          </w:p>
        </w:tc>
        <w:tc>
          <w:tcPr>
            <w:tcW w:type="dxa" w:w="3120"/>
          </w:tcPr>
          <w:p>
            <w:pPr>
              <w:spacing w:line="240" w:lineRule="auto"/>
            </w:pPr>
            <w:r>
              <w:rPr>
                <w:sz w:val="18"/>
              </w:rPr>
            </w:r>
            <w:r>
              <w:rPr>
                <w:sz w:val="18"/>
              </w:rPr>
              <w:t>55</w:t>
            </w:r>
          </w:p>
        </w:tc>
        <w:tc>
          <w:tcPr>
            <w:tcW w:type="dxa" w:w="3120"/>
          </w:tcPr>
          <w:p>
            <w:pPr>
              <w:spacing w:line="240" w:lineRule="auto"/>
            </w:pPr>
            <w:r>
              <w:rPr>
                <w:sz w:val="18"/>
              </w:rPr>
            </w:r>
            <w:r>
              <w:rPr>
                <w:sz w:val="18"/>
              </w:rPr>
              <w:t>n − 2</w:t>
            </w:r>
          </w:p>
        </w:tc>
      </w:tr>
      <w:tr>
        <w:tc>
          <w:tcPr>
            <w:tcW w:type="dxa" w:w="3120"/>
          </w:tcPr>
          <w:p>
            <w:pPr>
              <w:spacing w:line="240" w:lineRule="auto"/>
            </w:pPr>
            <w:r>
              <w:rPr>
                <w:sz w:val="18"/>
              </w:rPr>
            </w:r>
            <w:r>
              <w:rPr>
                <w:b/>
                <w:sz w:val="18"/>
              </w:rPr>
              <w:t>p-value</w:t>
            </w:r>
          </w:p>
        </w:tc>
        <w:tc>
          <w:tcPr>
            <w:tcW w:type="dxa" w:w="3120"/>
          </w:tcPr>
          <w:p>
            <w:pPr>
              <w:spacing w:line="240" w:lineRule="auto"/>
            </w:pPr>
            <w:r>
              <w:rPr>
                <w:sz w:val="18"/>
              </w:rPr>
            </w:r>
            <w:r>
              <w:rPr>
                <w:b/>
                <w:sz w:val="18"/>
              </w:rPr>
              <w:t>1.98 × 10⁻²⁴</w:t>
            </w:r>
          </w:p>
        </w:tc>
        <w:tc>
          <w:tcPr>
            <w:tcW w:type="dxa" w:w="3120"/>
          </w:tcPr>
          <w:p>
            <w:pPr>
              <w:spacing w:line="240" w:lineRule="auto"/>
            </w:pPr>
            <w:r>
              <w:rPr>
                <w:sz w:val="18"/>
              </w:rPr>
            </w:r>
            <w:r>
              <w:rPr>
                <w:sz w:val="18"/>
              </w:rPr>
              <w:t>Chance of this slope if the truth were zero</w:t>
            </w:r>
          </w:p>
        </w:tc>
      </w:tr>
    </w:tbl>
    <w:p>
      <w:pPr>
        <w:spacing w:after="200" w:line="240" w:lineRule="auto"/>
        <w:jc w:val="center"/>
      </w:pPr>
      <w:r>
        <w:rPr>
          <w:i/>
          <w:color w:val="7B8994"/>
          <w:sz w:val="20"/>
        </w:rPr>
        <w:t>Table 5. The output</w:t>
      </w:r>
    </w:p>
    <w:p>
      <w:pPr>
        <w:pStyle w:val="Heading3"/>
      </w:pPr>
      <w:r>
        <w:t>The equation</w:t>
      </w:r>
    </w:p>
    <w:p>
      <w:pPr>
        <w:ind w:left="432"/>
      </w:pPr>
      <w:r>
        <w:rPr>
          <w:b/>
          <w:i/>
        </w:rPr>
        <w:t>Monthly Revenue = −1,353.65 + 5,224.25 × (Orders in month)</w:t>
      </w:r>
    </w:p>
    <w:p>
      <w:pPr>
        <w:pStyle w:val="Heading3"/>
      </w:pPr>
      <w:r>
        <w:t>Reading it properly</w:t>
      </w:r>
    </w:p>
    <w:p>
      <w:r>
        <w:rPr>
          <w:b/>
        </w:rPr>
        <w:t>The slope</w:t>
      </w:r>
      <w:r>
        <w:t xml:space="preserve"> says each additional order in a month is associated with about </w:t>
      </w:r>
      <w:r>
        <w:rPr>
          <w:b/>
        </w:rPr>
        <w:t>5,224</w:t>
      </w:r>
      <w:r>
        <w:t xml:space="preserve"> more revenue.</w:t>
      </w:r>
    </w:p>
    <w:p>
      <w:r>
        <w:t xml:space="preserve">Now the detail worth leading with in a defense: the average transaction line in this dataset is worth </w:t>
      </w:r>
      <w:r>
        <w:rPr>
          <w:b/>
        </w:rPr>
        <w:t>5,178</w:t>
      </w:r>
      <w:r>
        <w:t xml:space="preserve">. The slope and the average order value agree to within </w:t>
      </w:r>
      <w:r>
        <w:rPr>
          <w:b/>
        </w:rPr>
        <w:t>1%</w:t>
      </w:r>
      <w:r>
        <w:t xml:space="preserve">. That is exactly what should happen if revenue is simply order count multiplied by a stable average order size — so the model is </w:t>
      </w:r>
      <w:r>
        <w:rPr>
          <w:i/>
        </w:rPr>
        <w:t>consistent with</w:t>
      </w:r>
      <w:r>
        <w:t xml:space="preserve"> the data, not merely fitted to it. Two independent routes to the same number is the strongest evidence in the whole checkpoint.</w:t>
      </w:r>
    </w:p>
    <w:p>
      <w:r>
        <w:rPr>
          <w:b/>
        </w:rPr>
        <w:t>R² = 0.8514</w:t>
      </w:r>
      <w:r>
        <w:t xml:space="preserve"> means order count explains </w:t>
      </w:r>
      <w:r>
        <w:rPr>
          <w:b/>
        </w:rPr>
        <w:t>85.1%</w:t>
      </w:r>
      <w:r>
        <w:t xml:space="preserve"> of the month-to-month variation in revenue. The remaining 14.9% is product mix, seasonality and noise.</w:t>
      </w:r>
    </w:p>
    <w:p>
      <w:r>
        <w:rPr>
          <w:b/>
        </w:rPr>
        <w:t>The t statistic and p-value.</w:t>
      </w:r>
      <w:r>
        <w:t xml:space="preserve"> The </w:t>
      </w:r>
      <w:r>
        <w:rPr>
          <w:b/>
        </w:rPr>
        <w:t>null hypothesis</w:t>
      </w:r>
      <w:r>
        <w:t xml:space="preserve"> is that the true slope is zero — that order count tells you nothing about revenue. The t statistic is the slope divided by its own uncertainty: 5,224.25 ÷ 294.35 = </w:t>
      </w:r>
      <w:r>
        <w:rPr>
          <w:b/>
        </w:rPr>
        <w:t>17.75</w:t>
      </w:r>
      <w:r>
        <w:t xml:space="preserve">. A t of about 2 is the usual threshold for significance, so 17.75 is enormous. The p-value converts that to a probability: </w:t>
      </w:r>
      <w:r>
        <w:rPr>
          <w:b/>
        </w:rPr>
        <w:t>1.98 × 10⁻²⁴</w:t>
      </w:r>
      <w:r>
        <w:t xml:space="preserve">, far below 0.05, so we </w:t>
      </w:r>
      <w:r>
        <w:rPr>
          <w:b/>
        </w:rPr>
        <w:t>reject the null hypothesis</w:t>
      </w:r>
      <w:r>
        <w:t>.</w:t>
      </w:r>
    </w:p>
    <w:p>
      <w:r>
        <w:rPr>
          <w:b/>
        </w:rPr>
        <w:t>The intercept is meaningless here, and you should say so.</w:t>
      </w:r>
      <w:r>
        <w:t xml:space="preserve"> −1,353.65 is the predicted revenue at zero orders — both impossible and far outside the observed range (no month had fewer than 9 orders). It is a mathematical artefact of fitting a line, not a business quantity. Volunteering this shows you understand the model rather than just reporting its output.</w:t>
      </w:r>
    </w:p>
    <w:p>
      <w:pPr>
        <w:pStyle w:val="Heading3"/>
      </w:pPr>
      <w:r>
        <w:t>The forecast, and what it is worth</w:t>
      </w:r>
    </w:p>
    <w:tbl>
      <w:tblPr>
        <w:tblStyle w:val="LightGrid-Accent1"/>
        <w:tblW w:type="auto" w:w="0"/>
        <w:jc w:val="center"/>
        <w:tblLayout w:type="autofit"/>
        <w:tblLook w:firstColumn="1" w:firstRow="1" w:lastColumn="0" w:lastRow="0" w:noHBand="0" w:noVBand="1" w:val="04A0"/>
      </w:tblPr>
      <w:tblGrid>
        <w:gridCol w:w="4680"/>
        <w:gridCol w:w="4680"/>
      </w:tblGrid>
      <w:tr>
        <w:tc>
          <w:tcPr>
            <w:tcW w:type="dxa" w:w="4680"/>
          </w:tcPr>
          <w:p>
            <w:r>
              <w:rPr>
                <w:b/>
              </w:rPr>
            </w:r>
            <w:r>
              <w:rPr>
                <w:b/>
              </w:rPr>
              <w:t>Orders in month</w:t>
            </w:r>
          </w:p>
        </w:tc>
        <w:tc>
          <w:tcPr>
            <w:tcW w:type="dxa" w:w="4680"/>
          </w:tcPr>
          <w:p>
            <w:r>
              <w:rPr>
                <w:b/>
              </w:rPr>
            </w:r>
            <w:r>
              <w:rPr>
                <w:b/>
              </w:rPr>
              <w:t>Predicted revenue</w:t>
            </w:r>
          </w:p>
        </w:tc>
      </w:tr>
      <w:tr>
        <w:tc>
          <w:tcPr>
            <w:tcW w:type="dxa" w:w="4680"/>
          </w:tcPr>
          <w:p>
            <w:pPr>
              <w:spacing w:line="240" w:lineRule="auto"/>
            </w:pPr>
            <w:r>
              <w:rPr>
                <w:sz w:val="18"/>
              </w:rPr>
            </w:r>
            <w:r>
              <w:rPr>
                <w:sz w:val="18"/>
              </w:rPr>
              <w:t>15</w:t>
            </w:r>
          </w:p>
        </w:tc>
        <w:tc>
          <w:tcPr>
            <w:tcW w:type="dxa" w:w="4680"/>
          </w:tcPr>
          <w:p>
            <w:pPr>
              <w:spacing w:line="240" w:lineRule="auto"/>
            </w:pPr>
            <w:r>
              <w:rPr>
                <w:sz w:val="18"/>
              </w:rPr>
            </w:r>
            <w:r>
              <w:rPr>
                <w:sz w:val="18"/>
              </w:rPr>
              <w:t>77,010</w:t>
            </w:r>
          </w:p>
        </w:tc>
      </w:tr>
      <w:tr>
        <w:tc>
          <w:tcPr>
            <w:tcW w:type="dxa" w:w="4680"/>
          </w:tcPr>
          <w:p>
            <w:pPr>
              <w:spacing w:line="240" w:lineRule="auto"/>
            </w:pPr>
            <w:r>
              <w:rPr>
                <w:sz w:val="18"/>
              </w:rPr>
            </w:r>
            <w:r>
              <w:rPr>
                <w:sz w:val="18"/>
              </w:rPr>
              <w:t>20</w:t>
            </w:r>
          </w:p>
        </w:tc>
        <w:tc>
          <w:tcPr>
            <w:tcW w:type="dxa" w:w="4680"/>
          </w:tcPr>
          <w:p>
            <w:pPr>
              <w:spacing w:line="240" w:lineRule="auto"/>
            </w:pPr>
            <w:r>
              <w:rPr>
                <w:sz w:val="18"/>
              </w:rPr>
            </w:r>
            <w:r>
              <w:rPr>
                <w:sz w:val="18"/>
              </w:rPr>
              <w:t>103,131</w:t>
            </w:r>
          </w:p>
        </w:tc>
      </w:tr>
      <w:tr>
        <w:tc>
          <w:tcPr>
            <w:tcW w:type="dxa" w:w="4680"/>
          </w:tcPr>
          <w:p>
            <w:pPr>
              <w:spacing w:line="240" w:lineRule="auto"/>
            </w:pPr>
            <w:r>
              <w:rPr>
                <w:sz w:val="18"/>
              </w:rPr>
            </w:r>
            <w:r>
              <w:rPr>
                <w:sz w:val="18"/>
              </w:rPr>
              <w:t>25</w:t>
            </w:r>
          </w:p>
        </w:tc>
        <w:tc>
          <w:tcPr>
            <w:tcW w:type="dxa" w:w="4680"/>
          </w:tcPr>
          <w:p>
            <w:pPr>
              <w:spacing w:line="240" w:lineRule="auto"/>
            </w:pPr>
            <w:r>
              <w:rPr>
                <w:sz w:val="18"/>
              </w:rPr>
            </w:r>
            <w:r>
              <w:rPr>
                <w:sz w:val="18"/>
              </w:rPr>
              <w:t>129,253</w:t>
            </w:r>
          </w:p>
        </w:tc>
      </w:tr>
      <w:tr>
        <w:tc>
          <w:tcPr>
            <w:tcW w:type="dxa" w:w="4680"/>
          </w:tcPr>
          <w:p>
            <w:pPr>
              <w:spacing w:line="240" w:lineRule="auto"/>
            </w:pPr>
            <w:r>
              <w:rPr>
                <w:sz w:val="18"/>
              </w:rPr>
            </w:r>
            <w:r>
              <w:rPr>
                <w:sz w:val="18"/>
              </w:rPr>
              <w:t>30</w:t>
            </w:r>
          </w:p>
        </w:tc>
        <w:tc>
          <w:tcPr>
            <w:tcW w:type="dxa" w:w="4680"/>
          </w:tcPr>
          <w:p>
            <w:pPr>
              <w:spacing w:line="240" w:lineRule="auto"/>
            </w:pPr>
            <w:r>
              <w:rPr>
                <w:sz w:val="18"/>
              </w:rPr>
            </w:r>
            <w:r>
              <w:rPr>
                <w:sz w:val="18"/>
              </w:rPr>
              <w:t>155,374</w:t>
            </w:r>
          </w:p>
        </w:tc>
      </w:tr>
    </w:tbl>
    <w:p>
      <w:pPr>
        <w:spacing w:after="200" w:line="240" w:lineRule="auto"/>
        <w:jc w:val="center"/>
      </w:pPr>
      <w:r>
        <w:rPr>
          <w:i/>
          <w:color w:val="7B8994"/>
          <w:sz w:val="20"/>
        </w:rPr>
        <w:t>Table 6. The forecast, and what it is worth</w:t>
      </w:r>
    </w:p>
    <w:p>
      <w:r>
        <w:t xml:space="preserve">2024 ran at </w:t>
      </w:r>
      <w:r>
        <w:rPr>
          <w:b/>
        </w:rPr>
        <w:t>20.0</w:t>
      </w:r>
      <w:r>
        <w:t xml:space="preserve"> orders per month against </w:t>
      </w:r>
      <w:r>
        <w:rPr>
          <w:b/>
        </w:rPr>
        <w:t>24.0</w:t>
      </w:r>
      <w:r>
        <w:t xml:space="preserve"> in 2022. The model puts the value of closing that four-order gap at roughly </w:t>
      </w:r>
      <w:r>
        <w:rPr>
          <w:b/>
        </w:rPr>
        <w:t>20,900 per month, or 250,000 a year</w:t>
      </w:r>
      <w:r>
        <w:t xml:space="preserve"> — which is very close to the </w:t>
      </w:r>
      <w:r>
        <w:rPr>
          <w:b/>
        </w:rPr>
        <w:t>257,297</w:t>
      </w:r>
      <w:r>
        <w:t xml:space="preserve"> annual shortfall measured directly in Checkpoint 1 by a completely different method. Two independent methods agreeing is a good sign the number is sound.</w:t>
      </w:r>
    </w:p>
    <w:p>
      <w:pPr>
        <w:pStyle w:val="Heading3"/>
      </w:pPr>
      <w:r>
        <w:t>The six limitations</w:t>
      </w:r>
    </w:p>
    <w:p>
      <w:pPr>
        <w:pStyle w:val="ListNumber"/>
      </w:pPr>
      <w:r>
        <w:rPr>
          <w:b/>
        </w:rPr>
        <w:t>Linearity</w:t>
      </w:r>
      <w:r>
        <w:t xml:space="preserve"> — assumed to be a straight line; the scatter supports it over the observed range.</w:t>
      </w:r>
    </w:p>
    <w:p>
      <w:pPr>
        <w:pStyle w:val="ListNumber"/>
      </w:pPr>
      <w:r>
        <w:rPr>
          <w:b/>
        </w:rPr>
        <w:t>Independence</w:t>
      </w:r>
      <w:r>
        <w:t xml:space="preserve"> — each month assumed independent of the last. </w:t>
      </w:r>
      <w:r>
        <w:rPr>
          <w:b/>
        </w:rPr>
        <w:t>This is the weakest assumption.</w:t>
      </w:r>
      <w:r>
        <w:t xml:space="preserve"> Monthly sales series are usually autocorrelated, and that inflates apparent significance. With t = 17.75 the conclusion survives comfortably, but read the p-value as "clearly significant" rather than as a precise probability.</w:t>
      </w:r>
    </w:p>
    <w:p>
      <w:pPr>
        <w:pStyle w:val="ListNumber"/>
      </w:pPr>
      <w:r>
        <w:rPr>
          <w:b/>
        </w:rPr>
        <w:t>Range of validity</w:t>
      </w:r>
      <w:r>
        <w:t xml:space="preserve"> — X was observed between 9 and 45 orders. Anything outside that, the intercept included, is extrapolation.</w:t>
      </w:r>
    </w:p>
    <w:p>
      <w:pPr>
        <w:pStyle w:val="ListNumber"/>
      </w:pPr>
      <w:r>
        <w:rPr>
          <w:b/>
        </w:rPr>
        <w:t>Correlation is not causation</w:t>
      </w:r>
      <w:r>
        <w:t xml:space="preserve"> — see above.</w:t>
      </w:r>
    </w:p>
    <w:p>
      <w:pPr>
        <w:pStyle w:val="ListNumber"/>
      </w:pPr>
      <w:r>
        <w:rPr>
          <w:b/>
        </w:rPr>
        <w:t>One predictor only</w:t>
      </w:r>
      <w:r>
        <w:t xml:space="preserve"> — cannot capture seasonality, product mix, or the Printer supply problem. Multiple regression in Checkpoint 4 is the extension.</w:t>
      </w:r>
    </w:p>
    <w:p>
      <w:pPr>
        <w:pStyle w:val="ListNumber"/>
      </w:pPr>
      <w:r>
        <w:rPr>
          <w:b/>
        </w:rPr>
        <w:t>Synthetic data</w:t>
      </w:r>
      <w:r>
        <w:t xml:space="preserve"> — the coefficients describe this file, not a real market.</w:t>
      </w:r>
    </w:p>
    <w:p>
      <w:r>
        <w:br w:type="page"/>
      </w:r>
    </w:p>
    <w:p>
      <w:pPr>
        <w:pStyle w:val="Heading2"/>
      </w:pPr>
      <w:r>
        <w:t>7. Task 2.5 — trend and seasonality</w:t>
      </w:r>
    </w:p>
    <w:p>
      <w:pPr>
        <w:pStyle w:val="Heading3"/>
      </w:pPr>
      <w:r>
        <w:t>What was asked</w:t>
      </w:r>
    </w:p>
    <w:p>
      <w:r>
        <w:t>Plot the data over time, identify the trend, project 3–6 periods, and discuss reliability and assumptions.</w:t>
      </w:r>
    </w:p>
    <w:p>
      <w:pPr>
        <w:pStyle w:val="Heading3"/>
      </w:pPr>
      <w:r>
        <w:t>The analysis window: 57 months</w:t>
      </w:r>
    </w:p>
    <w:p>
      <w:r>
        <w:t xml:space="preserve">The file runs </w:t>
      </w:r>
      <w:r>
        <w:rPr>
          <w:b/>
        </w:rPr>
        <w:t>22 March 2020 to 15 March 2025</w:t>
      </w:r>
      <w:r>
        <w:t>, so both ends are partial. Three windows are excluded:</w:t>
      </w:r>
    </w:p>
    <w:p>
      <w:pPr>
        <w:pStyle w:val="ListBullet"/>
      </w:pPr>
      <w:r>
        <w:rPr>
          <w:b/>
        </w:rPr>
        <w:t>March 2020</w:t>
      </w:r>
      <w:r>
        <w:t xml:space="preserve"> — 10 days of trading only</w:t>
      </w:r>
    </w:p>
    <w:p>
      <w:pPr>
        <w:pStyle w:val="ListBullet"/>
      </w:pPr>
      <w:r>
        <w:rPr>
          <w:b/>
        </w:rPr>
        <w:t>March 2025</w:t>
      </w:r>
      <w:r>
        <w:t xml:space="preserve"> — 15 days only</w:t>
      </w:r>
    </w:p>
    <w:p>
      <w:pPr>
        <w:pStyle w:val="ListBullet"/>
      </w:pPr>
      <w:r>
        <w:rPr>
          <w:b/>
        </w:rPr>
        <w:t>All of 2025</w:t>
      </w:r>
      <w:r>
        <w:t xml:space="preserve"> for year-on-year work</w:t>
      </w:r>
    </w:p>
    <w:p>
      <w:r>
        <w:t xml:space="preserve">leaving </w:t>
      </w:r>
      <w:r>
        <w:rPr>
          <w:b/>
        </w:rPr>
        <w:t>April 2020 to December 2024 = 57 whole months</w:t>
      </w:r>
      <w:r>
        <w:t xml:space="preserve">. January and February 2025 are complete months in a partial year, so they are </w:t>
      </w:r>
      <w:r>
        <w:rPr>
          <w:b/>
        </w:rPr>
        <w:t>held back</w:t>
      </w:r>
      <w:r>
        <w:t xml:space="preserve"> and used only to check the forecast.</w:t>
      </w:r>
    </w:p>
    <w:p>
      <w:r>
        <w:t>This matters: leaving the 10-day March 2020 in a monthly average pulled March's seasonal index from 1.025 down to 0.876 — a 15% distortion that would have made an average month look weak.</w:t>
      </w:r>
    </w:p>
    <w:p>
      <w:pPr>
        <w:pStyle w:val="Heading3"/>
      </w:pPr>
      <w:r>
        <w:t>Step 1 — is there a trend to project?</w:t>
      </w:r>
    </w:p>
    <w:p>
      <w:r>
        <w:t>Regressing revenue on a simple time index t = 1, 2, 3…:</w:t>
      </w:r>
    </w:p>
    <w:tbl>
      <w:tblPr>
        <w:tblStyle w:val="LightGrid-Accent1"/>
        <w:tblW w:type="auto" w:w="0"/>
        <w:jc w:val="center"/>
        <w:tblLayout w:type="autofit"/>
        <w:tblLook w:firstColumn="1" w:firstRow="1" w:lastColumn="0" w:lastRow="0" w:noHBand="0" w:noVBand="1" w:val="04A0"/>
      </w:tblPr>
      <w:tblGrid>
        <w:gridCol w:w="4680"/>
        <w:gridCol w:w="4680"/>
      </w:tblGrid>
      <w:tr>
        <w:tc>
          <w:tcPr>
            <w:tcW w:type="dxa" w:w="4680"/>
          </w:tcPr>
          <w:p>
            <w:r>
              <w:rPr>
                <w:b/>
              </w:rPr>
            </w:r>
            <w:r>
              <w:rPr>
                <w:b/>
              </w:rPr>
              <w:t>Statistic</w:t>
            </w:r>
          </w:p>
        </w:tc>
        <w:tc>
          <w:tcPr>
            <w:tcW w:type="dxa" w:w="4680"/>
          </w:tcPr>
          <w:p>
            <w:r>
              <w:rPr>
                <w:b/>
              </w:rPr>
            </w:r>
            <w:r>
              <w:rPr>
                <w:b/>
              </w:rPr>
              <w:t>Value</w:t>
            </w:r>
          </w:p>
        </w:tc>
      </w:tr>
      <w:tr>
        <w:tc>
          <w:tcPr>
            <w:tcW w:type="dxa" w:w="4680"/>
          </w:tcPr>
          <w:p>
            <w:pPr>
              <w:spacing w:line="240" w:lineRule="auto"/>
            </w:pPr>
            <w:r>
              <w:rPr>
                <w:sz w:val="18"/>
              </w:rPr>
            </w:r>
            <w:r>
              <w:rPr>
                <w:sz w:val="18"/>
              </w:rPr>
              <w:t>Slope</w:t>
            </w:r>
          </w:p>
        </w:tc>
        <w:tc>
          <w:tcPr>
            <w:tcW w:type="dxa" w:w="4680"/>
          </w:tcPr>
          <w:p>
            <w:pPr>
              <w:spacing w:line="240" w:lineRule="auto"/>
            </w:pPr>
            <w:r>
              <w:rPr>
                <w:sz w:val="18"/>
              </w:rPr>
            </w:r>
            <w:r>
              <w:rPr>
                <w:sz w:val="18"/>
              </w:rPr>
              <w:t>+206.0 per month</w:t>
            </w:r>
          </w:p>
        </w:tc>
      </w:tr>
      <w:tr>
        <w:tc>
          <w:tcPr>
            <w:tcW w:type="dxa" w:w="4680"/>
          </w:tcPr>
          <w:p>
            <w:pPr>
              <w:spacing w:line="240" w:lineRule="auto"/>
            </w:pPr>
            <w:r>
              <w:rPr>
                <w:sz w:val="18"/>
              </w:rPr>
            </w:r>
            <w:r>
              <w:rPr>
                <w:b/>
                <w:sz w:val="18"/>
              </w:rPr>
              <w:t>R²</w:t>
            </w:r>
          </w:p>
        </w:tc>
        <w:tc>
          <w:tcPr>
            <w:tcW w:type="dxa" w:w="4680"/>
          </w:tcPr>
          <w:p>
            <w:pPr>
              <w:spacing w:line="240" w:lineRule="auto"/>
            </w:pPr>
            <w:r>
              <w:rPr>
                <w:sz w:val="18"/>
              </w:rPr>
            </w:r>
            <w:r>
              <w:rPr>
                <w:b/>
                <w:sz w:val="18"/>
              </w:rPr>
              <w:t>0.0078</w:t>
            </w:r>
          </w:p>
        </w:tc>
      </w:tr>
      <w:tr>
        <w:tc>
          <w:tcPr>
            <w:tcW w:type="dxa" w:w="4680"/>
          </w:tcPr>
          <w:p>
            <w:pPr>
              <w:spacing w:line="240" w:lineRule="auto"/>
            </w:pPr>
            <w:r>
              <w:rPr>
                <w:sz w:val="18"/>
              </w:rPr>
            </w:r>
            <w:r>
              <w:rPr>
                <w:b/>
                <w:sz w:val="18"/>
              </w:rPr>
              <w:t>p-value</w:t>
            </w:r>
          </w:p>
        </w:tc>
        <w:tc>
          <w:tcPr>
            <w:tcW w:type="dxa" w:w="4680"/>
          </w:tcPr>
          <w:p>
            <w:pPr>
              <w:spacing w:line="240" w:lineRule="auto"/>
            </w:pPr>
            <w:r>
              <w:rPr>
                <w:sz w:val="18"/>
              </w:rPr>
            </w:r>
            <w:r>
              <w:rPr>
                <w:b/>
                <w:sz w:val="18"/>
              </w:rPr>
              <w:t>0.515</w:t>
            </w:r>
          </w:p>
        </w:tc>
      </w:tr>
    </w:tbl>
    <w:p>
      <w:pPr>
        <w:spacing w:after="200" w:line="240" w:lineRule="auto"/>
        <w:jc w:val="center"/>
      </w:pPr>
      <w:r>
        <w:rPr>
          <w:i/>
          <w:color w:val="7B8994"/>
          <w:sz w:val="20"/>
        </w:rPr>
        <w:t>Table 7. Step 1 — is there a trend to project?</w:t>
      </w:r>
    </w:p>
    <w:p>
      <w:r>
        <w:t xml:space="preserve">Time explains </w:t>
      </w:r>
      <w:r>
        <w:rPr>
          <w:b/>
        </w:rPr>
        <w:t>less than 1%</w:t>
      </w:r>
      <w:r>
        <w:t xml:space="preserve"> of the variation, and at p = 0.515 the apparent upward slope is indistinguishable from noise.</w:t>
      </w:r>
    </w:p>
    <w:p>
      <w:r>
        <w:rPr>
          <w:b/>
        </w:rPr>
        <w:t>This is a finding, not a failure.</w:t>
      </w:r>
      <w:r>
        <w:t xml:space="preserve"> The series is not a trend — it is a </w:t>
      </w:r>
      <w:r>
        <w:rPr>
          <w:b/>
        </w:rPr>
        <w:t>growth phase followed by a plateau</w:t>
      </w:r>
      <w:r>
        <w:t xml:space="preserve">. Fitting one straight line across a structural break produces a slope that describes neither regime. So </w:t>
      </w:r>
      <w:r>
        <w:rPr>
          <w:b/>
        </w:rPr>
        <w:t>no growth rate is projected</w:t>
      </w:r>
      <w:r>
        <w:t>. Forecasting a slope the data does not support is the easiest way to be badly wrong, and saying so is worth more than producing a confident-looking number.</w:t>
      </w:r>
    </w:p>
    <w:p>
      <w:pPr>
        <w:pStyle w:val="Heading3"/>
      </w:pPr>
      <w:r>
        <w:t>Step 2 — the seasonal index</w:t>
      </w:r>
    </w:p>
    <w:p>
      <w:r>
        <w:t>Each calendar month's average revenue divided by the overall average month. 1.00 = an average month.</w:t>
      </w:r>
    </w:p>
    <w:tbl>
      <w:tblPr>
        <w:tblStyle w:val="LightGrid-Accent1"/>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Pr>
          <w:p>
            <w:r>
              <w:rPr>
                <w:b/>
              </w:rPr>
            </w:r>
            <w:r>
              <w:rPr>
                <w:b/>
              </w:rPr>
              <w:t>Month</w:t>
            </w:r>
          </w:p>
        </w:tc>
        <w:tc>
          <w:tcPr>
            <w:tcW w:type="dxa" w:w="1872"/>
          </w:tcPr>
          <w:p>
            <w:r>
              <w:rPr>
                <w:b/>
              </w:rPr>
            </w:r>
            <w:r>
              <w:rPr>
                <w:b/>
              </w:rPr>
              <w:t>Index</w:t>
            </w:r>
          </w:p>
        </w:tc>
        <w:tc>
          <w:tcPr>
            <w:tcW w:type="dxa" w:w="1872"/>
          </w:tcPr>
          <w:p>
            <w:r>
              <w:rPr>
                <w:b/>
              </w:rPr>
            </w:r>
          </w:p>
        </w:tc>
        <w:tc>
          <w:tcPr>
            <w:tcW w:type="dxa" w:w="1872"/>
          </w:tcPr>
          <w:p>
            <w:r>
              <w:rPr>
                <w:b/>
              </w:rPr>
            </w:r>
            <w:r>
              <w:rPr>
                <w:b/>
              </w:rPr>
              <w:t>Month</w:t>
            </w:r>
          </w:p>
        </w:tc>
        <w:tc>
          <w:tcPr>
            <w:tcW w:type="dxa" w:w="1872"/>
          </w:tcPr>
          <w:p>
            <w:r>
              <w:rPr>
                <w:b/>
              </w:rPr>
            </w:r>
            <w:r>
              <w:rPr>
                <w:b/>
              </w:rPr>
              <w:t>Index</w:t>
            </w:r>
          </w:p>
        </w:tc>
      </w:tr>
      <w:tr>
        <w:tc>
          <w:tcPr>
            <w:tcW w:type="dxa" w:w="1872"/>
          </w:tcPr>
          <w:p>
            <w:pPr>
              <w:spacing w:line="240" w:lineRule="auto"/>
            </w:pPr>
            <w:r>
              <w:rPr>
                <w:sz w:val="18"/>
              </w:rPr>
            </w:r>
            <w:r>
              <w:rPr>
                <w:sz w:val="18"/>
              </w:rPr>
              <w:t>January</w:t>
            </w:r>
          </w:p>
        </w:tc>
        <w:tc>
          <w:tcPr>
            <w:tcW w:type="dxa" w:w="1872"/>
          </w:tcPr>
          <w:p>
            <w:pPr>
              <w:spacing w:line="240" w:lineRule="auto"/>
            </w:pPr>
            <w:r>
              <w:rPr>
                <w:sz w:val="18"/>
              </w:rPr>
            </w:r>
            <w:r>
              <w:rPr>
                <w:b/>
                <w:sz w:val="18"/>
              </w:rPr>
              <w:t>0.679</w:t>
            </w:r>
          </w:p>
        </w:tc>
        <w:tc>
          <w:tcPr>
            <w:tcW w:type="dxa" w:w="1872"/>
          </w:tcPr>
          <w:p>
            <w:pPr>
              <w:spacing w:line="240" w:lineRule="auto"/>
            </w:pPr>
            <w:r>
              <w:rPr>
                <w:sz w:val="18"/>
              </w:rPr>
            </w:r>
          </w:p>
        </w:tc>
        <w:tc>
          <w:tcPr>
            <w:tcW w:type="dxa" w:w="1872"/>
          </w:tcPr>
          <w:p>
            <w:pPr>
              <w:spacing w:line="240" w:lineRule="auto"/>
            </w:pPr>
            <w:r>
              <w:rPr>
                <w:sz w:val="18"/>
              </w:rPr>
            </w:r>
            <w:r>
              <w:rPr>
                <w:sz w:val="18"/>
              </w:rPr>
              <w:t>July</w:t>
            </w:r>
          </w:p>
        </w:tc>
        <w:tc>
          <w:tcPr>
            <w:tcW w:type="dxa" w:w="1872"/>
          </w:tcPr>
          <w:p>
            <w:pPr>
              <w:spacing w:line="240" w:lineRule="auto"/>
            </w:pPr>
            <w:r>
              <w:rPr>
                <w:sz w:val="18"/>
              </w:rPr>
            </w:r>
            <w:r>
              <w:rPr>
                <w:sz w:val="18"/>
              </w:rPr>
              <w:t>0.966</w:t>
            </w:r>
          </w:p>
        </w:tc>
      </w:tr>
      <w:tr>
        <w:tc>
          <w:tcPr>
            <w:tcW w:type="dxa" w:w="1872"/>
          </w:tcPr>
          <w:p>
            <w:pPr>
              <w:spacing w:line="240" w:lineRule="auto"/>
            </w:pPr>
            <w:r>
              <w:rPr>
                <w:sz w:val="18"/>
              </w:rPr>
            </w:r>
            <w:r>
              <w:rPr>
                <w:sz w:val="18"/>
              </w:rPr>
              <w:t>February</w:t>
            </w:r>
          </w:p>
        </w:tc>
        <w:tc>
          <w:tcPr>
            <w:tcW w:type="dxa" w:w="1872"/>
          </w:tcPr>
          <w:p>
            <w:pPr>
              <w:spacing w:line="240" w:lineRule="auto"/>
            </w:pPr>
            <w:r>
              <w:rPr>
                <w:sz w:val="18"/>
              </w:rPr>
            </w:r>
            <w:r>
              <w:rPr>
                <w:sz w:val="18"/>
              </w:rPr>
              <w:t>0.889</w:t>
            </w:r>
          </w:p>
        </w:tc>
        <w:tc>
          <w:tcPr>
            <w:tcW w:type="dxa" w:w="1872"/>
          </w:tcPr>
          <w:p>
            <w:pPr>
              <w:spacing w:line="240" w:lineRule="auto"/>
            </w:pPr>
            <w:r>
              <w:rPr>
                <w:sz w:val="18"/>
              </w:rPr>
            </w:r>
          </w:p>
        </w:tc>
        <w:tc>
          <w:tcPr>
            <w:tcW w:type="dxa" w:w="1872"/>
          </w:tcPr>
          <w:p>
            <w:pPr>
              <w:spacing w:line="240" w:lineRule="auto"/>
            </w:pPr>
            <w:r>
              <w:rPr>
                <w:sz w:val="18"/>
              </w:rPr>
            </w:r>
            <w:r>
              <w:rPr>
                <w:sz w:val="18"/>
              </w:rPr>
              <w:t>August</w:t>
            </w:r>
          </w:p>
        </w:tc>
        <w:tc>
          <w:tcPr>
            <w:tcW w:type="dxa" w:w="1872"/>
          </w:tcPr>
          <w:p>
            <w:pPr>
              <w:spacing w:line="240" w:lineRule="auto"/>
            </w:pPr>
            <w:r>
              <w:rPr>
                <w:sz w:val="18"/>
              </w:rPr>
            </w:r>
            <w:r>
              <w:rPr>
                <w:sz w:val="18"/>
              </w:rPr>
              <w:t>1.006</w:t>
            </w:r>
          </w:p>
        </w:tc>
      </w:tr>
      <w:tr>
        <w:tc>
          <w:tcPr>
            <w:tcW w:type="dxa" w:w="1872"/>
          </w:tcPr>
          <w:p>
            <w:pPr>
              <w:spacing w:line="240" w:lineRule="auto"/>
            </w:pPr>
            <w:r>
              <w:rPr>
                <w:sz w:val="18"/>
              </w:rPr>
            </w:r>
            <w:r>
              <w:rPr>
                <w:sz w:val="18"/>
              </w:rPr>
              <w:t>March</w:t>
            </w:r>
          </w:p>
        </w:tc>
        <w:tc>
          <w:tcPr>
            <w:tcW w:type="dxa" w:w="1872"/>
          </w:tcPr>
          <w:p>
            <w:pPr>
              <w:spacing w:line="240" w:lineRule="auto"/>
            </w:pPr>
            <w:r>
              <w:rPr>
                <w:sz w:val="18"/>
              </w:rPr>
            </w:r>
            <w:r>
              <w:rPr>
                <w:sz w:val="18"/>
              </w:rPr>
              <w:t>1.025</w:t>
            </w:r>
          </w:p>
        </w:tc>
        <w:tc>
          <w:tcPr>
            <w:tcW w:type="dxa" w:w="1872"/>
          </w:tcPr>
          <w:p>
            <w:pPr>
              <w:spacing w:line="240" w:lineRule="auto"/>
            </w:pPr>
            <w:r>
              <w:rPr>
                <w:sz w:val="18"/>
              </w:rPr>
            </w:r>
          </w:p>
        </w:tc>
        <w:tc>
          <w:tcPr>
            <w:tcW w:type="dxa" w:w="1872"/>
          </w:tcPr>
          <w:p>
            <w:pPr>
              <w:spacing w:line="240" w:lineRule="auto"/>
            </w:pPr>
            <w:r>
              <w:rPr>
                <w:sz w:val="18"/>
              </w:rPr>
            </w:r>
            <w:r>
              <w:rPr>
                <w:sz w:val="18"/>
              </w:rPr>
              <w:t>September</w:t>
            </w:r>
          </w:p>
        </w:tc>
        <w:tc>
          <w:tcPr>
            <w:tcW w:type="dxa" w:w="1872"/>
          </w:tcPr>
          <w:p>
            <w:pPr>
              <w:spacing w:line="240" w:lineRule="auto"/>
            </w:pPr>
            <w:r>
              <w:rPr>
                <w:sz w:val="18"/>
              </w:rPr>
            </w:r>
            <w:r>
              <w:rPr>
                <w:sz w:val="18"/>
              </w:rPr>
              <w:t>0.793</w:t>
            </w:r>
          </w:p>
        </w:tc>
      </w:tr>
      <w:tr>
        <w:tc>
          <w:tcPr>
            <w:tcW w:type="dxa" w:w="1872"/>
          </w:tcPr>
          <w:p>
            <w:pPr>
              <w:spacing w:line="240" w:lineRule="auto"/>
            </w:pPr>
            <w:r>
              <w:rPr>
                <w:sz w:val="18"/>
              </w:rPr>
            </w:r>
            <w:r>
              <w:rPr>
                <w:sz w:val="18"/>
              </w:rPr>
              <w:t>April</w:t>
            </w:r>
          </w:p>
        </w:tc>
        <w:tc>
          <w:tcPr>
            <w:tcW w:type="dxa" w:w="1872"/>
          </w:tcPr>
          <w:p>
            <w:pPr>
              <w:spacing w:line="240" w:lineRule="auto"/>
            </w:pPr>
            <w:r>
              <w:rPr>
                <w:sz w:val="18"/>
              </w:rPr>
            </w:r>
            <w:r>
              <w:rPr>
                <w:sz w:val="18"/>
              </w:rPr>
              <w:t>1.103</w:t>
            </w:r>
          </w:p>
        </w:tc>
        <w:tc>
          <w:tcPr>
            <w:tcW w:type="dxa" w:w="1872"/>
          </w:tcPr>
          <w:p>
            <w:pPr>
              <w:spacing w:line="240" w:lineRule="auto"/>
            </w:pPr>
            <w:r>
              <w:rPr>
                <w:sz w:val="18"/>
              </w:rPr>
            </w:r>
          </w:p>
        </w:tc>
        <w:tc>
          <w:tcPr>
            <w:tcW w:type="dxa" w:w="1872"/>
          </w:tcPr>
          <w:p>
            <w:pPr>
              <w:spacing w:line="240" w:lineRule="auto"/>
            </w:pPr>
            <w:r>
              <w:rPr>
                <w:sz w:val="18"/>
              </w:rPr>
            </w:r>
            <w:r>
              <w:rPr>
                <w:sz w:val="18"/>
              </w:rPr>
              <w:t>October</w:t>
            </w:r>
          </w:p>
        </w:tc>
        <w:tc>
          <w:tcPr>
            <w:tcW w:type="dxa" w:w="1872"/>
          </w:tcPr>
          <w:p>
            <w:pPr>
              <w:spacing w:line="240" w:lineRule="auto"/>
            </w:pPr>
            <w:r>
              <w:rPr>
                <w:sz w:val="18"/>
              </w:rPr>
            </w:r>
            <w:r>
              <w:rPr>
                <w:b/>
                <w:sz w:val="18"/>
              </w:rPr>
              <w:t>1.229</w:t>
            </w:r>
          </w:p>
        </w:tc>
      </w:tr>
      <w:tr>
        <w:tc>
          <w:tcPr>
            <w:tcW w:type="dxa" w:w="1872"/>
          </w:tcPr>
          <w:p>
            <w:pPr>
              <w:spacing w:line="240" w:lineRule="auto"/>
            </w:pPr>
            <w:r>
              <w:rPr>
                <w:sz w:val="18"/>
              </w:rPr>
            </w:r>
            <w:r>
              <w:rPr>
                <w:sz w:val="18"/>
              </w:rPr>
              <w:t>May</w:t>
            </w:r>
          </w:p>
        </w:tc>
        <w:tc>
          <w:tcPr>
            <w:tcW w:type="dxa" w:w="1872"/>
          </w:tcPr>
          <w:p>
            <w:pPr>
              <w:spacing w:line="240" w:lineRule="auto"/>
            </w:pPr>
            <w:r>
              <w:rPr>
                <w:sz w:val="18"/>
              </w:rPr>
            </w:r>
            <w:r>
              <w:rPr>
                <w:sz w:val="18"/>
              </w:rPr>
              <w:t>1.131</w:t>
            </w:r>
          </w:p>
        </w:tc>
        <w:tc>
          <w:tcPr>
            <w:tcW w:type="dxa" w:w="1872"/>
          </w:tcPr>
          <w:p>
            <w:pPr>
              <w:spacing w:line="240" w:lineRule="auto"/>
            </w:pPr>
            <w:r>
              <w:rPr>
                <w:sz w:val="18"/>
              </w:rPr>
            </w:r>
          </w:p>
        </w:tc>
        <w:tc>
          <w:tcPr>
            <w:tcW w:type="dxa" w:w="1872"/>
          </w:tcPr>
          <w:p>
            <w:pPr>
              <w:spacing w:line="240" w:lineRule="auto"/>
            </w:pPr>
            <w:r>
              <w:rPr>
                <w:sz w:val="18"/>
              </w:rPr>
            </w:r>
            <w:r>
              <w:rPr>
                <w:sz w:val="18"/>
              </w:rPr>
              <w:t>November</w:t>
            </w:r>
          </w:p>
        </w:tc>
        <w:tc>
          <w:tcPr>
            <w:tcW w:type="dxa" w:w="1872"/>
          </w:tcPr>
          <w:p>
            <w:pPr>
              <w:spacing w:line="240" w:lineRule="auto"/>
            </w:pPr>
            <w:r>
              <w:rPr>
                <w:sz w:val="18"/>
              </w:rPr>
            </w:r>
            <w:r>
              <w:rPr>
                <w:sz w:val="18"/>
              </w:rPr>
              <w:t>0.878</w:t>
            </w:r>
          </w:p>
        </w:tc>
      </w:tr>
      <w:tr>
        <w:tc>
          <w:tcPr>
            <w:tcW w:type="dxa" w:w="1872"/>
          </w:tcPr>
          <w:p>
            <w:pPr>
              <w:spacing w:line="240" w:lineRule="auto"/>
            </w:pPr>
            <w:r>
              <w:rPr>
                <w:sz w:val="18"/>
              </w:rPr>
            </w:r>
            <w:r>
              <w:rPr>
                <w:sz w:val="18"/>
              </w:rPr>
              <w:t>June</w:t>
            </w:r>
          </w:p>
        </w:tc>
        <w:tc>
          <w:tcPr>
            <w:tcW w:type="dxa" w:w="1872"/>
          </w:tcPr>
          <w:p>
            <w:pPr>
              <w:spacing w:line="240" w:lineRule="auto"/>
            </w:pPr>
            <w:r>
              <w:rPr>
                <w:sz w:val="18"/>
              </w:rPr>
            </w:r>
            <w:r>
              <w:rPr>
                <w:sz w:val="18"/>
              </w:rPr>
              <w:t>1.028</w:t>
            </w:r>
          </w:p>
        </w:tc>
        <w:tc>
          <w:tcPr>
            <w:tcW w:type="dxa" w:w="1872"/>
          </w:tcPr>
          <w:p>
            <w:pPr>
              <w:spacing w:line="240" w:lineRule="auto"/>
            </w:pPr>
            <w:r>
              <w:rPr>
                <w:sz w:val="18"/>
              </w:rPr>
            </w:r>
          </w:p>
        </w:tc>
        <w:tc>
          <w:tcPr>
            <w:tcW w:type="dxa" w:w="1872"/>
          </w:tcPr>
          <w:p>
            <w:pPr>
              <w:spacing w:line="240" w:lineRule="auto"/>
            </w:pPr>
            <w:r>
              <w:rPr>
                <w:sz w:val="18"/>
              </w:rPr>
            </w:r>
            <w:r>
              <w:rPr>
                <w:sz w:val="18"/>
              </w:rPr>
              <w:t>December</w:t>
            </w:r>
          </w:p>
        </w:tc>
        <w:tc>
          <w:tcPr>
            <w:tcW w:type="dxa" w:w="1872"/>
          </w:tcPr>
          <w:p>
            <w:pPr>
              <w:spacing w:line="240" w:lineRule="auto"/>
            </w:pPr>
            <w:r>
              <w:rPr>
                <w:sz w:val="18"/>
              </w:rPr>
            </w:r>
            <w:r>
              <w:rPr>
                <w:b/>
                <w:sz w:val="18"/>
              </w:rPr>
              <w:t>1.273</w:t>
            </w:r>
          </w:p>
        </w:tc>
      </w:tr>
    </w:tbl>
    <w:p>
      <w:pPr>
        <w:spacing w:after="200" w:line="240" w:lineRule="auto"/>
        <w:jc w:val="center"/>
      </w:pPr>
      <w:r>
        <w:rPr>
          <w:i/>
          <w:color w:val="7B8994"/>
          <w:sz w:val="20"/>
        </w:rPr>
        <w:t>Table 8. Step 2 — the seasonal index</w:t>
      </w:r>
    </w:p>
    <w:p>
      <w:r>
        <w:t>December and October are the strongest; January is the weakest at barely half a December.</w:t>
      </w:r>
    </w:p>
    <w:p>
      <w:pPr>
        <w:pStyle w:val="Heading3"/>
      </w:pPr>
      <w:r>
        <w:t>Step 3 — the forecast</w:t>
      </w:r>
    </w:p>
    <w:p>
      <w:r>
        <w:t xml:space="preserve">With no reliable trend, the forecast is </w:t>
      </w:r>
      <w:r>
        <w:rPr>
          <w:b/>
        </w:rPr>
        <w:t>recent level × seasonal index</w:t>
      </w:r>
      <w:r>
        <w:t>, where the level is the mean of the last 24 months (</w:t>
      </w:r>
      <w:r>
        <w:rPr>
          <w:b/>
        </w:rPr>
        <w:t>101,342</w:t>
      </w:r>
      <w:r>
        <w:t>).</w:t>
      </w:r>
    </w:p>
    <w:tbl>
      <w:tblPr>
        <w:tblStyle w:val="LightGrid-Accent1"/>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Pr>
          <w:p>
            <w:r>
              <w:rPr>
                <w:b/>
              </w:rPr>
            </w:r>
            <w:r>
              <w:rPr>
                <w:b/>
              </w:rPr>
              <w:t>Period</w:t>
            </w:r>
          </w:p>
        </w:tc>
        <w:tc>
          <w:tcPr>
            <w:tcW w:type="dxa" w:w="1872"/>
          </w:tcPr>
          <w:p>
            <w:r>
              <w:rPr>
                <w:b/>
              </w:rPr>
            </w:r>
            <w:r>
              <w:rPr>
                <w:b/>
              </w:rPr>
              <w:t>Index</w:t>
            </w:r>
          </w:p>
        </w:tc>
        <w:tc>
          <w:tcPr>
            <w:tcW w:type="dxa" w:w="1872"/>
          </w:tcPr>
          <w:p>
            <w:r>
              <w:rPr>
                <w:b/>
              </w:rPr>
            </w:r>
            <w:r>
              <w:rPr>
                <w:b/>
              </w:rPr>
              <w:t>Forecast</w:t>
            </w:r>
          </w:p>
        </w:tc>
        <w:tc>
          <w:tcPr>
            <w:tcW w:type="dxa" w:w="1872"/>
          </w:tcPr>
          <w:p>
            <w:r>
              <w:rPr>
                <w:b/>
              </w:rPr>
            </w:r>
            <w:r>
              <w:rPr>
                <w:b/>
              </w:rPr>
              <w:t>Actual</w:t>
            </w:r>
          </w:p>
        </w:tc>
        <w:tc>
          <w:tcPr>
            <w:tcW w:type="dxa" w:w="1872"/>
          </w:tcPr>
          <w:p>
            <w:r>
              <w:rPr>
                <w:b/>
              </w:rPr>
            </w:r>
            <w:r>
              <w:rPr>
                <w:b/>
              </w:rPr>
              <w:t>Error</w:t>
            </w:r>
          </w:p>
        </w:tc>
      </w:tr>
      <w:tr>
        <w:tc>
          <w:tcPr>
            <w:tcW w:type="dxa" w:w="1872"/>
          </w:tcPr>
          <w:p>
            <w:pPr>
              <w:spacing w:line="240" w:lineRule="auto"/>
            </w:pPr>
            <w:r>
              <w:rPr>
                <w:sz w:val="18"/>
              </w:rPr>
            </w:r>
            <w:r>
              <w:rPr>
                <w:sz w:val="18"/>
              </w:rPr>
              <w:t>2025-01</w:t>
            </w:r>
          </w:p>
        </w:tc>
        <w:tc>
          <w:tcPr>
            <w:tcW w:type="dxa" w:w="1872"/>
          </w:tcPr>
          <w:p>
            <w:pPr>
              <w:spacing w:line="240" w:lineRule="auto"/>
            </w:pPr>
            <w:r>
              <w:rPr>
                <w:sz w:val="18"/>
              </w:rPr>
            </w:r>
            <w:r>
              <w:rPr>
                <w:sz w:val="18"/>
              </w:rPr>
              <w:t>0.679</w:t>
            </w:r>
          </w:p>
        </w:tc>
        <w:tc>
          <w:tcPr>
            <w:tcW w:type="dxa" w:w="1872"/>
          </w:tcPr>
          <w:p>
            <w:pPr>
              <w:spacing w:line="240" w:lineRule="auto"/>
            </w:pPr>
            <w:r>
              <w:rPr>
                <w:sz w:val="18"/>
              </w:rPr>
            </w:r>
            <w:r>
              <w:rPr>
                <w:sz w:val="18"/>
              </w:rPr>
              <w:t>68,853</w:t>
            </w:r>
          </w:p>
        </w:tc>
        <w:tc>
          <w:tcPr>
            <w:tcW w:type="dxa" w:w="1872"/>
          </w:tcPr>
          <w:p>
            <w:pPr>
              <w:spacing w:line="240" w:lineRule="auto"/>
            </w:pPr>
            <w:r>
              <w:rPr>
                <w:sz w:val="18"/>
              </w:rPr>
            </w:r>
            <w:r>
              <w:rPr>
                <w:sz w:val="18"/>
              </w:rPr>
              <w:t>112,906</w:t>
            </w:r>
          </w:p>
        </w:tc>
        <w:tc>
          <w:tcPr>
            <w:tcW w:type="dxa" w:w="1872"/>
          </w:tcPr>
          <w:p>
            <w:pPr>
              <w:spacing w:line="240" w:lineRule="auto"/>
            </w:pPr>
            <w:r>
              <w:rPr>
                <w:sz w:val="18"/>
              </w:rPr>
            </w:r>
            <w:r>
              <w:rPr>
                <w:b/>
                <w:sz w:val="18"/>
              </w:rPr>
              <w:t>−39.0%</w:t>
            </w:r>
          </w:p>
        </w:tc>
      </w:tr>
      <w:tr>
        <w:tc>
          <w:tcPr>
            <w:tcW w:type="dxa" w:w="1872"/>
          </w:tcPr>
          <w:p>
            <w:pPr>
              <w:spacing w:line="240" w:lineRule="auto"/>
            </w:pPr>
            <w:r>
              <w:rPr>
                <w:sz w:val="18"/>
              </w:rPr>
            </w:r>
            <w:r>
              <w:rPr>
                <w:sz w:val="18"/>
              </w:rPr>
              <w:t>2025-02</w:t>
            </w:r>
          </w:p>
        </w:tc>
        <w:tc>
          <w:tcPr>
            <w:tcW w:type="dxa" w:w="1872"/>
          </w:tcPr>
          <w:p>
            <w:pPr>
              <w:spacing w:line="240" w:lineRule="auto"/>
            </w:pPr>
            <w:r>
              <w:rPr>
                <w:sz w:val="18"/>
              </w:rPr>
            </w:r>
            <w:r>
              <w:rPr>
                <w:sz w:val="18"/>
              </w:rPr>
              <w:t>0.889</w:t>
            </w:r>
          </w:p>
        </w:tc>
        <w:tc>
          <w:tcPr>
            <w:tcW w:type="dxa" w:w="1872"/>
          </w:tcPr>
          <w:p>
            <w:pPr>
              <w:spacing w:line="240" w:lineRule="auto"/>
            </w:pPr>
            <w:r>
              <w:rPr>
                <w:sz w:val="18"/>
              </w:rPr>
            </w:r>
            <w:r>
              <w:rPr>
                <w:sz w:val="18"/>
              </w:rPr>
              <w:t>90,064</w:t>
            </w:r>
          </w:p>
        </w:tc>
        <w:tc>
          <w:tcPr>
            <w:tcW w:type="dxa" w:w="1872"/>
          </w:tcPr>
          <w:p>
            <w:pPr>
              <w:spacing w:line="240" w:lineRule="auto"/>
            </w:pPr>
            <w:r>
              <w:rPr>
                <w:sz w:val="18"/>
              </w:rPr>
            </w:r>
            <w:r>
              <w:rPr>
                <w:sz w:val="18"/>
              </w:rPr>
              <w:t>84,712</w:t>
            </w:r>
          </w:p>
        </w:tc>
        <w:tc>
          <w:tcPr>
            <w:tcW w:type="dxa" w:w="1872"/>
          </w:tcPr>
          <w:p>
            <w:pPr>
              <w:spacing w:line="240" w:lineRule="auto"/>
            </w:pPr>
            <w:r>
              <w:rPr>
                <w:sz w:val="18"/>
              </w:rPr>
            </w:r>
            <w:r>
              <w:rPr>
                <w:b/>
                <w:sz w:val="18"/>
              </w:rPr>
              <w:t>+6.3%</w:t>
            </w:r>
          </w:p>
        </w:tc>
      </w:tr>
      <w:tr>
        <w:tc>
          <w:tcPr>
            <w:tcW w:type="dxa" w:w="1872"/>
          </w:tcPr>
          <w:p>
            <w:pPr>
              <w:spacing w:line="240" w:lineRule="auto"/>
            </w:pPr>
            <w:r>
              <w:rPr>
                <w:sz w:val="18"/>
              </w:rPr>
            </w:r>
            <w:r>
              <w:rPr>
                <w:sz w:val="18"/>
              </w:rPr>
              <w:t>2025-03</w:t>
            </w:r>
          </w:p>
        </w:tc>
        <w:tc>
          <w:tcPr>
            <w:tcW w:type="dxa" w:w="1872"/>
          </w:tcPr>
          <w:p>
            <w:pPr>
              <w:spacing w:line="240" w:lineRule="auto"/>
            </w:pPr>
            <w:r>
              <w:rPr>
                <w:sz w:val="18"/>
              </w:rPr>
            </w:r>
            <w:r>
              <w:rPr>
                <w:sz w:val="18"/>
              </w:rPr>
              <w:t>1.025</w:t>
            </w:r>
          </w:p>
        </w:tc>
        <w:tc>
          <w:tcPr>
            <w:tcW w:type="dxa" w:w="1872"/>
          </w:tcPr>
          <w:p>
            <w:pPr>
              <w:spacing w:line="240" w:lineRule="auto"/>
            </w:pPr>
            <w:r>
              <w:rPr>
                <w:sz w:val="18"/>
              </w:rPr>
            </w:r>
            <w:r>
              <w:rPr>
                <w:sz w:val="18"/>
              </w:rPr>
              <w:t>103,870</w:t>
            </w:r>
          </w:p>
        </w:tc>
        <w:tc>
          <w:tcPr>
            <w:tcW w:type="dxa" w:w="1872"/>
          </w:tcPr>
          <w:p>
            <w:pPr>
              <w:spacing w:line="240" w:lineRule="auto"/>
            </w:pPr>
            <w:r>
              <w:rPr>
                <w:sz w:val="18"/>
              </w:rPr>
            </w:r>
            <w:r>
              <w:rPr>
                <w:i/>
                <w:sz w:val="18"/>
              </w:rPr>
              <w:t>(partial month)</w:t>
            </w:r>
          </w:p>
        </w:tc>
        <w:tc>
          <w:tcPr>
            <w:tcW w:type="dxa" w:w="1872"/>
          </w:tcPr>
          <w:p>
            <w:pPr>
              <w:spacing w:line="240" w:lineRule="auto"/>
            </w:pPr>
            <w:r>
              <w:rPr>
                <w:sz w:val="18"/>
              </w:rPr>
            </w:r>
            <w:r>
              <w:rPr>
                <w:sz w:val="18"/>
              </w:rPr>
              <w:t>—</w:t>
            </w:r>
          </w:p>
        </w:tc>
      </w:tr>
      <w:tr>
        <w:tc>
          <w:tcPr>
            <w:tcW w:type="dxa" w:w="1872"/>
          </w:tcPr>
          <w:p>
            <w:pPr>
              <w:spacing w:line="240" w:lineRule="auto"/>
            </w:pPr>
            <w:r>
              <w:rPr>
                <w:sz w:val="18"/>
              </w:rPr>
            </w:r>
            <w:r>
              <w:rPr>
                <w:sz w:val="18"/>
              </w:rPr>
              <w:t>2025-04</w:t>
            </w:r>
          </w:p>
        </w:tc>
        <w:tc>
          <w:tcPr>
            <w:tcW w:type="dxa" w:w="1872"/>
          </w:tcPr>
          <w:p>
            <w:pPr>
              <w:spacing w:line="240" w:lineRule="auto"/>
            </w:pPr>
            <w:r>
              <w:rPr>
                <w:sz w:val="18"/>
              </w:rPr>
            </w:r>
            <w:r>
              <w:rPr>
                <w:sz w:val="18"/>
              </w:rPr>
              <w:t>1.103</w:t>
            </w:r>
          </w:p>
        </w:tc>
        <w:tc>
          <w:tcPr>
            <w:tcW w:type="dxa" w:w="1872"/>
          </w:tcPr>
          <w:p>
            <w:pPr>
              <w:spacing w:line="240" w:lineRule="auto"/>
            </w:pPr>
            <w:r>
              <w:rPr>
                <w:sz w:val="18"/>
              </w:rPr>
            </w:r>
            <w:r>
              <w:rPr>
                <w:sz w:val="18"/>
              </w:rPr>
              <w:t>111,806</w:t>
            </w:r>
          </w:p>
        </w:tc>
        <w:tc>
          <w:tcPr>
            <w:tcW w:type="dxa" w:w="1872"/>
          </w:tcPr>
          <w:p>
            <w:pPr>
              <w:spacing w:line="240" w:lineRule="auto"/>
            </w:pPr>
            <w:r>
              <w:rPr>
                <w:sz w:val="18"/>
              </w:rPr>
            </w:r>
            <w:r>
              <w:rPr>
                <w:sz w:val="18"/>
              </w:rPr>
              <w:t>—</w:t>
            </w:r>
          </w:p>
        </w:tc>
        <w:tc>
          <w:tcPr>
            <w:tcW w:type="dxa" w:w="1872"/>
          </w:tcPr>
          <w:p>
            <w:pPr>
              <w:spacing w:line="240" w:lineRule="auto"/>
            </w:pPr>
            <w:r>
              <w:rPr>
                <w:sz w:val="18"/>
              </w:rPr>
            </w:r>
            <w:r>
              <w:rPr>
                <w:sz w:val="18"/>
              </w:rPr>
              <w:t>—</w:t>
            </w:r>
          </w:p>
        </w:tc>
      </w:tr>
      <w:tr>
        <w:tc>
          <w:tcPr>
            <w:tcW w:type="dxa" w:w="1872"/>
          </w:tcPr>
          <w:p>
            <w:pPr>
              <w:spacing w:line="240" w:lineRule="auto"/>
            </w:pPr>
            <w:r>
              <w:rPr>
                <w:sz w:val="18"/>
              </w:rPr>
            </w:r>
            <w:r>
              <w:rPr>
                <w:sz w:val="18"/>
              </w:rPr>
              <w:t>2025-05</w:t>
            </w:r>
          </w:p>
        </w:tc>
        <w:tc>
          <w:tcPr>
            <w:tcW w:type="dxa" w:w="1872"/>
          </w:tcPr>
          <w:p>
            <w:pPr>
              <w:spacing w:line="240" w:lineRule="auto"/>
            </w:pPr>
            <w:r>
              <w:rPr>
                <w:sz w:val="18"/>
              </w:rPr>
            </w:r>
            <w:r>
              <w:rPr>
                <w:sz w:val="18"/>
              </w:rPr>
              <w:t>1.131</w:t>
            </w:r>
          </w:p>
        </w:tc>
        <w:tc>
          <w:tcPr>
            <w:tcW w:type="dxa" w:w="1872"/>
          </w:tcPr>
          <w:p>
            <w:pPr>
              <w:spacing w:line="240" w:lineRule="auto"/>
            </w:pPr>
            <w:r>
              <w:rPr>
                <w:sz w:val="18"/>
              </w:rPr>
            </w:r>
            <w:r>
              <w:rPr>
                <w:sz w:val="18"/>
              </w:rPr>
              <w:t>114,574</w:t>
            </w:r>
          </w:p>
        </w:tc>
        <w:tc>
          <w:tcPr>
            <w:tcW w:type="dxa" w:w="1872"/>
          </w:tcPr>
          <w:p>
            <w:pPr>
              <w:spacing w:line="240" w:lineRule="auto"/>
            </w:pPr>
            <w:r>
              <w:rPr>
                <w:sz w:val="18"/>
              </w:rPr>
            </w:r>
            <w:r>
              <w:rPr>
                <w:sz w:val="18"/>
              </w:rPr>
              <w:t>—</w:t>
            </w:r>
          </w:p>
        </w:tc>
        <w:tc>
          <w:tcPr>
            <w:tcW w:type="dxa" w:w="1872"/>
          </w:tcPr>
          <w:p>
            <w:pPr>
              <w:spacing w:line="240" w:lineRule="auto"/>
            </w:pPr>
            <w:r>
              <w:rPr>
                <w:sz w:val="18"/>
              </w:rPr>
            </w:r>
            <w:r>
              <w:rPr>
                <w:sz w:val="18"/>
              </w:rPr>
              <w:t>—</w:t>
            </w:r>
          </w:p>
        </w:tc>
      </w:tr>
      <w:tr>
        <w:tc>
          <w:tcPr>
            <w:tcW w:type="dxa" w:w="1872"/>
          </w:tcPr>
          <w:p>
            <w:pPr>
              <w:spacing w:line="240" w:lineRule="auto"/>
            </w:pPr>
            <w:r>
              <w:rPr>
                <w:sz w:val="18"/>
              </w:rPr>
            </w:r>
            <w:r>
              <w:rPr>
                <w:sz w:val="18"/>
              </w:rPr>
              <w:t>2025-06</w:t>
            </w:r>
          </w:p>
        </w:tc>
        <w:tc>
          <w:tcPr>
            <w:tcW w:type="dxa" w:w="1872"/>
          </w:tcPr>
          <w:p>
            <w:pPr>
              <w:spacing w:line="240" w:lineRule="auto"/>
            </w:pPr>
            <w:r>
              <w:rPr>
                <w:sz w:val="18"/>
              </w:rPr>
            </w:r>
            <w:r>
              <w:rPr>
                <w:sz w:val="18"/>
              </w:rPr>
              <w:t>1.028</w:t>
            </w:r>
          </w:p>
        </w:tc>
        <w:tc>
          <w:tcPr>
            <w:tcW w:type="dxa" w:w="1872"/>
          </w:tcPr>
          <w:p>
            <w:pPr>
              <w:spacing w:line="240" w:lineRule="auto"/>
            </w:pPr>
            <w:r>
              <w:rPr>
                <w:sz w:val="18"/>
              </w:rPr>
            </w:r>
            <w:r>
              <w:rPr>
                <w:sz w:val="18"/>
              </w:rPr>
              <w:t>104,156</w:t>
            </w:r>
          </w:p>
        </w:tc>
        <w:tc>
          <w:tcPr>
            <w:tcW w:type="dxa" w:w="1872"/>
          </w:tcPr>
          <w:p>
            <w:pPr>
              <w:spacing w:line="240" w:lineRule="auto"/>
            </w:pPr>
            <w:r>
              <w:rPr>
                <w:sz w:val="18"/>
              </w:rPr>
            </w:r>
            <w:r>
              <w:rPr>
                <w:sz w:val="18"/>
              </w:rPr>
              <w:t>—</w:t>
            </w:r>
          </w:p>
        </w:tc>
        <w:tc>
          <w:tcPr>
            <w:tcW w:type="dxa" w:w="1872"/>
          </w:tcPr>
          <w:p>
            <w:pPr>
              <w:spacing w:line="240" w:lineRule="auto"/>
            </w:pPr>
            <w:r>
              <w:rPr>
                <w:sz w:val="18"/>
              </w:rPr>
            </w:r>
            <w:r>
              <w:rPr>
                <w:sz w:val="18"/>
              </w:rPr>
              <w:t>—</w:t>
            </w:r>
          </w:p>
        </w:tc>
      </w:tr>
    </w:tbl>
    <w:p>
      <w:pPr>
        <w:spacing w:after="200" w:line="240" w:lineRule="auto"/>
        <w:jc w:val="center"/>
      </w:pPr>
      <w:r>
        <w:rPr>
          <w:i/>
          <w:color w:val="7B8994"/>
          <w:sz w:val="20"/>
        </w:rPr>
        <w:t>Table 9. Step 3 — the forecast</w:t>
      </w:r>
    </w:p>
    <w:p>
      <w:pPr>
        <w:pStyle w:val="Heading3"/>
      </w:pPr>
      <w:r>
        <w:t>Step 4 — the honest check</w:t>
      </w:r>
    </w:p>
    <w:p>
      <w:r>
        <w:t>Compared against a naive alternative that ignores seasonality and predicts the recent average every month:</w:t>
      </w:r>
    </w:p>
    <w:tbl>
      <w:tblPr>
        <w:tblStyle w:val="LightGrid-Accent1"/>
        <w:tblW w:type="auto" w:w="0"/>
        <w:jc w:val="center"/>
        <w:tblLayout w:type="autofit"/>
        <w:tblLook w:firstColumn="1" w:firstRow="1" w:lastColumn="0" w:lastRow="0" w:noHBand="0" w:noVBand="1" w:val="04A0"/>
      </w:tblPr>
      <w:tblGrid>
        <w:gridCol w:w="2340"/>
        <w:gridCol w:w="2340"/>
        <w:gridCol w:w="2340"/>
        <w:gridCol w:w="2340"/>
      </w:tblGrid>
      <w:tr>
        <w:tc>
          <w:tcPr>
            <w:tcW w:type="dxa" w:w="2340"/>
          </w:tcPr>
          <w:p>
            <w:r>
              <w:rPr>
                <w:b/>
              </w:rPr>
            </w:r>
            <w:r>
              <w:rPr>
                <w:b/>
              </w:rPr>
              <w:t>Model</w:t>
            </w:r>
          </w:p>
        </w:tc>
        <w:tc>
          <w:tcPr>
            <w:tcW w:type="dxa" w:w="2340"/>
          </w:tcPr>
          <w:p>
            <w:r>
              <w:rPr>
                <w:b/>
              </w:rPr>
            </w:r>
            <w:r>
              <w:rPr>
                <w:b/>
              </w:rPr>
              <w:t>Jan</w:t>
            </w:r>
          </w:p>
        </w:tc>
        <w:tc>
          <w:tcPr>
            <w:tcW w:type="dxa" w:w="2340"/>
          </w:tcPr>
          <w:p>
            <w:r>
              <w:rPr>
                <w:b/>
              </w:rPr>
            </w:r>
            <w:r>
              <w:rPr>
                <w:b/>
              </w:rPr>
              <w:t>Feb</w:t>
            </w:r>
          </w:p>
        </w:tc>
        <w:tc>
          <w:tcPr>
            <w:tcW w:type="dxa" w:w="2340"/>
          </w:tcPr>
          <w:p>
            <w:r>
              <w:rPr>
                <w:b/>
              </w:rPr>
            </w:r>
            <w:r>
              <w:rPr>
                <w:b/>
              </w:rPr>
              <w:t>Mean absolute error</w:t>
            </w:r>
          </w:p>
        </w:tc>
      </w:tr>
      <w:tr>
        <w:tc>
          <w:tcPr>
            <w:tcW w:type="dxa" w:w="2340"/>
          </w:tcPr>
          <w:p>
            <w:pPr>
              <w:spacing w:line="240" w:lineRule="auto"/>
            </w:pPr>
            <w:r>
              <w:rPr>
                <w:sz w:val="18"/>
              </w:rPr>
            </w:r>
            <w:r>
              <w:rPr>
                <w:sz w:val="18"/>
              </w:rPr>
              <w:t>Seasonal</w:t>
            </w:r>
          </w:p>
        </w:tc>
        <w:tc>
          <w:tcPr>
            <w:tcW w:type="dxa" w:w="2340"/>
          </w:tcPr>
          <w:p>
            <w:pPr>
              <w:spacing w:line="240" w:lineRule="auto"/>
            </w:pPr>
            <w:r>
              <w:rPr>
                <w:sz w:val="18"/>
              </w:rPr>
            </w:r>
            <w:r>
              <w:rPr>
                <w:sz w:val="18"/>
              </w:rPr>
              <w:t>−39.0%</w:t>
            </w:r>
          </w:p>
        </w:tc>
        <w:tc>
          <w:tcPr>
            <w:tcW w:type="dxa" w:w="2340"/>
          </w:tcPr>
          <w:p>
            <w:pPr>
              <w:spacing w:line="240" w:lineRule="auto"/>
            </w:pPr>
            <w:r>
              <w:rPr>
                <w:sz w:val="18"/>
              </w:rPr>
            </w:r>
            <w:r>
              <w:rPr>
                <w:sz w:val="18"/>
              </w:rPr>
              <w:t>+6.3%</w:t>
            </w:r>
          </w:p>
        </w:tc>
        <w:tc>
          <w:tcPr>
            <w:tcW w:type="dxa" w:w="2340"/>
          </w:tcPr>
          <w:p>
            <w:pPr>
              <w:spacing w:line="240" w:lineRule="auto"/>
            </w:pPr>
            <w:r>
              <w:rPr>
                <w:sz w:val="18"/>
              </w:rPr>
            </w:r>
            <w:r>
              <w:rPr>
                <w:b/>
                <w:sz w:val="18"/>
              </w:rPr>
              <w:t>22.7%</w:t>
            </w:r>
          </w:p>
        </w:tc>
      </w:tr>
      <w:tr>
        <w:tc>
          <w:tcPr>
            <w:tcW w:type="dxa" w:w="2340"/>
          </w:tcPr>
          <w:p>
            <w:pPr>
              <w:spacing w:line="240" w:lineRule="auto"/>
            </w:pPr>
            <w:r>
              <w:rPr>
                <w:sz w:val="18"/>
              </w:rPr>
            </w:r>
            <w:r>
              <w:rPr>
                <w:sz w:val="18"/>
              </w:rPr>
              <w:t>Flat</w:t>
            </w:r>
          </w:p>
        </w:tc>
        <w:tc>
          <w:tcPr>
            <w:tcW w:type="dxa" w:w="2340"/>
          </w:tcPr>
          <w:p>
            <w:pPr>
              <w:spacing w:line="240" w:lineRule="auto"/>
            </w:pPr>
            <w:r>
              <w:rPr>
                <w:sz w:val="18"/>
              </w:rPr>
            </w:r>
            <w:r>
              <w:rPr>
                <w:sz w:val="18"/>
              </w:rPr>
              <w:t>−10.2%</w:t>
            </w:r>
          </w:p>
        </w:tc>
        <w:tc>
          <w:tcPr>
            <w:tcW w:type="dxa" w:w="2340"/>
          </w:tcPr>
          <w:p>
            <w:pPr>
              <w:spacing w:line="240" w:lineRule="auto"/>
            </w:pPr>
            <w:r>
              <w:rPr>
                <w:sz w:val="18"/>
              </w:rPr>
            </w:r>
            <w:r>
              <w:rPr>
                <w:sz w:val="18"/>
              </w:rPr>
              <w:t>+19.6%</w:t>
            </w:r>
          </w:p>
        </w:tc>
        <w:tc>
          <w:tcPr>
            <w:tcW w:type="dxa" w:w="2340"/>
          </w:tcPr>
          <w:p>
            <w:pPr>
              <w:spacing w:line="240" w:lineRule="auto"/>
            </w:pPr>
            <w:r>
              <w:rPr>
                <w:sz w:val="18"/>
              </w:rPr>
            </w:r>
            <w:r>
              <w:rPr>
                <w:b/>
                <w:sz w:val="18"/>
              </w:rPr>
              <w:t>14.9%</w:t>
            </w:r>
          </w:p>
        </w:tc>
      </w:tr>
    </w:tbl>
    <w:p>
      <w:pPr>
        <w:spacing w:after="200" w:line="240" w:lineRule="auto"/>
        <w:jc w:val="center"/>
      </w:pPr>
      <w:r>
        <w:rPr>
          <w:i/>
          <w:color w:val="7B8994"/>
          <w:sz w:val="20"/>
        </w:rPr>
        <w:t>Table 10. Step 4 — the honest check</w:t>
      </w:r>
    </w:p>
    <w:p>
      <w:r>
        <w:rPr>
          <w:b/>
        </w:rPr>
        <w:t>The seasonal model did not win.</w:t>
      </w:r>
      <w:r>
        <w:t xml:space="preserve"> Better in February, much worse in January, and on average the simpler flat forecast was more accurate over these two months.</w:t>
      </w:r>
    </w:p>
    <w:p>
      <w:r>
        <w:t xml:space="preserve">The cause is identifiable: January is historically the weakest month at index 0.679, but </w:t>
      </w:r>
      <w:r>
        <w:rPr>
          <w:b/>
        </w:rPr>
        <w:t>January 2025 came in at 112,906 — above the recent average level, not 32% below it.</w:t>
      </w:r>
      <w:r>
        <w:t xml:space="preserve"> Either the seasonal pattern has broken, or January 2025 was unusual. Two observations cannot tell those apart.</w:t>
      </w:r>
    </w:p>
    <w:p>
      <w:r>
        <w:rPr>
          <w:b/>
        </w:rPr>
        <w:t>The conclusion to state: with two comparable months, no forecasting method can be validated here.</w:t>
      </w:r>
      <w:r>
        <w:t xml:space="preserve"> This is reported as a sanity check, not as evidence the model works. What it does establish is that the seasonal adjustment is not obviously earning its complexity — worth knowing before anyone plans inventory on it.</w:t>
      </w:r>
    </w:p>
    <w:p>
      <w:r>
        <w:t>Reporting a check that your own model failed is a strength. The alternative — presenting a forecast with no validation at all — is what most submissions do, and it is weaker.</w:t>
      </w:r>
    </w:p>
    <w:p>
      <w:r>
        <w:br w:type="page"/>
      </w:r>
    </w:p>
    <w:p>
      <w:pPr>
        <w:pStyle w:val="Heading2"/>
      </w:pPr>
      <w:r>
        <w:t>8. Statistics reference</w:t>
      </w:r>
    </w:p>
    <w:tbl>
      <w:tblPr>
        <w:tblStyle w:val="LightGrid-Accent1"/>
        <w:tblW w:type="auto" w:w="0"/>
        <w:jc w:val="center"/>
        <w:tblLayout w:type="autofit"/>
        <w:tblLook w:firstColumn="1" w:firstRow="1" w:lastColumn="0" w:lastRow="0" w:noHBand="0" w:noVBand="1" w:val="04A0"/>
      </w:tblPr>
      <w:tblGrid>
        <w:gridCol w:w="3120"/>
        <w:gridCol w:w="3120"/>
        <w:gridCol w:w="3120"/>
      </w:tblGrid>
      <w:tr>
        <w:tc>
          <w:tcPr>
            <w:tcW w:type="dxa" w:w="3120"/>
          </w:tcPr>
          <w:p>
            <w:r>
              <w:rPr>
                <w:b/>
              </w:rPr>
            </w:r>
            <w:r>
              <w:rPr>
                <w:b/>
              </w:rPr>
              <w:t>Term</w:t>
            </w:r>
          </w:p>
        </w:tc>
        <w:tc>
          <w:tcPr>
            <w:tcW w:type="dxa" w:w="3120"/>
          </w:tcPr>
          <w:p>
            <w:r>
              <w:rPr>
                <w:b/>
              </w:rPr>
            </w:r>
            <w:r>
              <w:rPr>
                <w:b/>
              </w:rPr>
              <w:t>Meaning</w:t>
            </w:r>
          </w:p>
        </w:tc>
        <w:tc>
          <w:tcPr>
            <w:tcW w:type="dxa" w:w="3120"/>
          </w:tcPr>
          <w:p>
            <w:r>
              <w:rPr>
                <w:b/>
              </w:rPr>
            </w:r>
            <w:r>
              <w:rPr>
                <w:b/>
              </w:rPr>
              <w:t>Where</w:t>
            </w:r>
          </w:p>
        </w:tc>
      </w:tr>
      <w:tr>
        <w:tc>
          <w:tcPr>
            <w:tcW w:type="dxa" w:w="3120"/>
          </w:tcPr>
          <w:p>
            <w:pPr>
              <w:spacing w:line="240" w:lineRule="auto"/>
            </w:pPr>
            <w:r>
              <w:rPr>
                <w:sz w:val="18"/>
              </w:rPr>
            </w:r>
            <w:r>
              <w:rPr>
                <w:sz w:val="18"/>
              </w:rPr>
              <w:t>Mean</w:t>
            </w:r>
          </w:p>
        </w:tc>
        <w:tc>
          <w:tcPr>
            <w:tcW w:type="dxa" w:w="3120"/>
          </w:tcPr>
          <w:p>
            <w:pPr>
              <w:spacing w:line="240" w:lineRule="auto"/>
            </w:pPr>
            <w:r>
              <w:rPr>
                <w:sz w:val="18"/>
              </w:rPr>
            </w:r>
            <w:r>
              <w:rPr>
                <w:sz w:val="18"/>
              </w:rPr>
              <w:t>Arithmetic average</w:t>
            </w:r>
          </w:p>
        </w:tc>
        <w:tc>
          <w:tcPr>
            <w:tcW w:type="dxa" w:w="3120"/>
          </w:tcPr>
          <w:p>
            <w:pPr>
              <w:spacing w:line="240" w:lineRule="auto"/>
            </w:pPr>
            <w:r>
              <w:rPr>
                <w:sz w:val="18"/>
              </w:rPr>
            </w:r>
            <w:r>
              <w:rPr>
                <w:sz w:val="18"/>
              </w:rPr>
              <w:t>2.2</w:t>
            </w:r>
          </w:p>
        </w:tc>
      </w:tr>
      <w:tr>
        <w:tc>
          <w:tcPr>
            <w:tcW w:type="dxa" w:w="3120"/>
          </w:tcPr>
          <w:p>
            <w:pPr>
              <w:spacing w:line="240" w:lineRule="auto"/>
            </w:pPr>
            <w:r>
              <w:rPr>
                <w:sz w:val="18"/>
              </w:rPr>
            </w:r>
            <w:r>
              <w:rPr>
                <w:sz w:val="18"/>
              </w:rPr>
              <w:t>Median</w:t>
            </w:r>
          </w:p>
        </w:tc>
        <w:tc>
          <w:tcPr>
            <w:tcW w:type="dxa" w:w="3120"/>
          </w:tcPr>
          <w:p>
            <w:pPr>
              <w:spacing w:line="240" w:lineRule="auto"/>
            </w:pPr>
            <w:r>
              <w:rPr>
                <w:sz w:val="18"/>
              </w:rPr>
            </w:r>
            <w:r>
              <w:rPr>
                <w:sz w:val="18"/>
              </w:rPr>
              <w:t>Middle value; robust to outliers</w:t>
            </w:r>
          </w:p>
        </w:tc>
        <w:tc>
          <w:tcPr>
            <w:tcW w:type="dxa" w:w="3120"/>
          </w:tcPr>
          <w:p>
            <w:pPr>
              <w:spacing w:line="240" w:lineRule="auto"/>
            </w:pPr>
            <w:r>
              <w:rPr>
                <w:sz w:val="18"/>
              </w:rPr>
            </w:r>
            <w:r>
              <w:rPr>
                <w:sz w:val="18"/>
              </w:rPr>
              <w:t>2.2</w:t>
            </w:r>
          </w:p>
        </w:tc>
      </w:tr>
      <w:tr>
        <w:tc>
          <w:tcPr>
            <w:tcW w:type="dxa" w:w="3120"/>
          </w:tcPr>
          <w:p>
            <w:pPr>
              <w:spacing w:line="240" w:lineRule="auto"/>
            </w:pPr>
            <w:r>
              <w:rPr>
                <w:sz w:val="18"/>
              </w:rPr>
            </w:r>
            <w:r>
              <w:rPr>
                <w:sz w:val="18"/>
              </w:rPr>
              <w:t>Mode</w:t>
            </w:r>
          </w:p>
        </w:tc>
        <w:tc>
          <w:tcPr>
            <w:tcW w:type="dxa" w:w="3120"/>
          </w:tcPr>
          <w:p>
            <w:pPr>
              <w:spacing w:line="240" w:lineRule="auto"/>
            </w:pPr>
            <w:r>
              <w:rPr>
                <w:sz w:val="18"/>
              </w:rPr>
            </w:r>
            <w:r>
              <w:rPr>
                <w:sz w:val="18"/>
              </w:rPr>
              <w:t>Most frequent value</w:t>
            </w:r>
          </w:p>
        </w:tc>
        <w:tc>
          <w:tcPr>
            <w:tcW w:type="dxa" w:w="3120"/>
          </w:tcPr>
          <w:p>
            <w:pPr>
              <w:spacing w:line="240" w:lineRule="auto"/>
            </w:pPr>
            <w:r>
              <w:rPr>
                <w:sz w:val="18"/>
              </w:rPr>
            </w:r>
            <w:r>
              <w:rPr>
                <w:sz w:val="18"/>
              </w:rPr>
              <w:t>2.2</w:t>
            </w:r>
          </w:p>
        </w:tc>
      </w:tr>
      <w:tr>
        <w:tc>
          <w:tcPr>
            <w:tcW w:type="dxa" w:w="3120"/>
          </w:tcPr>
          <w:p>
            <w:pPr>
              <w:spacing w:line="240" w:lineRule="auto"/>
            </w:pPr>
            <w:r>
              <w:rPr>
                <w:sz w:val="18"/>
              </w:rPr>
            </w:r>
            <w:r>
              <w:rPr>
                <w:sz w:val="18"/>
              </w:rPr>
              <w:t>Standard deviation</w:t>
            </w:r>
          </w:p>
        </w:tc>
        <w:tc>
          <w:tcPr>
            <w:tcW w:type="dxa" w:w="3120"/>
          </w:tcPr>
          <w:p>
            <w:pPr>
              <w:spacing w:line="240" w:lineRule="auto"/>
            </w:pPr>
            <w:r>
              <w:rPr>
                <w:sz w:val="18"/>
              </w:rPr>
            </w:r>
            <w:r>
              <w:rPr>
                <w:sz w:val="18"/>
              </w:rPr>
              <w:t>Typical distance from the mean</w:t>
            </w:r>
          </w:p>
        </w:tc>
        <w:tc>
          <w:tcPr>
            <w:tcW w:type="dxa" w:w="3120"/>
          </w:tcPr>
          <w:p>
            <w:pPr>
              <w:spacing w:line="240" w:lineRule="auto"/>
            </w:pPr>
            <w:r>
              <w:rPr>
                <w:sz w:val="18"/>
              </w:rPr>
            </w:r>
            <w:r>
              <w:rPr>
                <w:sz w:val="18"/>
              </w:rPr>
              <w:t>2.2</w:t>
            </w:r>
          </w:p>
        </w:tc>
      </w:tr>
      <w:tr>
        <w:tc>
          <w:tcPr>
            <w:tcW w:type="dxa" w:w="3120"/>
          </w:tcPr>
          <w:p>
            <w:pPr>
              <w:spacing w:line="240" w:lineRule="auto"/>
            </w:pPr>
            <w:r>
              <w:rPr>
                <w:sz w:val="18"/>
              </w:rPr>
            </w:r>
            <w:r>
              <w:rPr>
                <w:sz w:val="18"/>
              </w:rPr>
              <w:t>Variance</w:t>
            </w:r>
          </w:p>
        </w:tc>
        <w:tc>
          <w:tcPr>
            <w:tcW w:type="dxa" w:w="3120"/>
          </w:tcPr>
          <w:p>
            <w:pPr>
              <w:spacing w:line="240" w:lineRule="auto"/>
            </w:pPr>
            <w:r>
              <w:rPr>
                <w:sz w:val="18"/>
              </w:rPr>
            </w:r>
            <w:r>
              <w:rPr>
                <w:sz w:val="18"/>
              </w:rPr>
              <w:t>Standard deviation squared</w:t>
            </w:r>
          </w:p>
        </w:tc>
        <w:tc>
          <w:tcPr>
            <w:tcW w:type="dxa" w:w="3120"/>
          </w:tcPr>
          <w:p>
            <w:pPr>
              <w:spacing w:line="240" w:lineRule="auto"/>
            </w:pPr>
            <w:r>
              <w:rPr>
                <w:sz w:val="18"/>
              </w:rPr>
            </w:r>
            <w:r>
              <w:rPr>
                <w:sz w:val="18"/>
              </w:rPr>
              <w:t>2.2</w:t>
            </w:r>
          </w:p>
        </w:tc>
      </w:tr>
      <w:tr>
        <w:tc>
          <w:tcPr>
            <w:tcW w:type="dxa" w:w="3120"/>
          </w:tcPr>
          <w:p>
            <w:pPr>
              <w:spacing w:line="240" w:lineRule="auto"/>
            </w:pPr>
            <w:r>
              <w:rPr>
                <w:sz w:val="18"/>
              </w:rPr>
            </w:r>
            <w:r>
              <w:rPr>
                <w:sz w:val="18"/>
              </w:rPr>
              <w:t>Range</w:t>
            </w:r>
          </w:p>
        </w:tc>
        <w:tc>
          <w:tcPr>
            <w:tcW w:type="dxa" w:w="3120"/>
          </w:tcPr>
          <w:p>
            <w:pPr>
              <w:spacing w:line="240" w:lineRule="auto"/>
            </w:pPr>
            <w:r>
              <w:rPr>
                <w:sz w:val="18"/>
              </w:rPr>
            </w:r>
            <w:r>
              <w:rPr>
                <w:sz w:val="18"/>
              </w:rPr>
              <w:t>Max − min</w:t>
            </w:r>
          </w:p>
        </w:tc>
        <w:tc>
          <w:tcPr>
            <w:tcW w:type="dxa" w:w="3120"/>
          </w:tcPr>
          <w:p>
            <w:pPr>
              <w:spacing w:line="240" w:lineRule="auto"/>
            </w:pPr>
            <w:r>
              <w:rPr>
                <w:sz w:val="18"/>
              </w:rPr>
            </w:r>
            <w:r>
              <w:rPr>
                <w:sz w:val="18"/>
              </w:rPr>
              <w:t>2.2</w:t>
            </w:r>
          </w:p>
        </w:tc>
      </w:tr>
      <w:tr>
        <w:tc>
          <w:tcPr>
            <w:tcW w:type="dxa" w:w="3120"/>
          </w:tcPr>
          <w:p>
            <w:pPr>
              <w:spacing w:line="240" w:lineRule="auto"/>
            </w:pPr>
            <w:r>
              <w:rPr>
                <w:sz w:val="18"/>
              </w:rPr>
            </w:r>
            <w:r>
              <w:rPr>
                <w:sz w:val="18"/>
              </w:rPr>
              <w:t>Quartile / IQR</w:t>
            </w:r>
          </w:p>
        </w:tc>
        <w:tc>
          <w:tcPr>
            <w:tcW w:type="dxa" w:w="3120"/>
          </w:tcPr>
          <w:p>
            <w:pPr>
              <w:spacing w:line="240" w:lineRule="auto"/>
            </w:pPr>
            <w:r>
              <w:rPr>
                <w:sz w:val="18"/>
              </w:rPr>
            </w:r>
            <w:r>
              <w:rPr>
                <w:sz w:val="18"/>
              </w:rPr>
              <w:t>25th and 75th percentile; the middle half</w:t>
            </w:r>
          </w:p>
        </w:tc>
        <w:tc>
          <w:tcPr>
            <w:tcW w:type="dxa" w:w="3120"/>
          </w:tcPr>
          <w:p>
            <w:pPr>
              <w:spacing w:line="240" w:lineRule="auto"/>
            </w:pPr>
            <w:r>
              <w:rPr>
                <w:sz w:val="18"/>
              </w:rPr>
            </w:r>
            <w:r>
              <w:rPr>
                <w:sz w:val="18"/>
              </w:rPr>
              <w:t>2.2</w:t>
            </w:r>
          </w:p>
        </w:tc>
      </w:tr>
      <w:tr>
        <w:tc>
          <w:tcPr>
            <w:tcW w:type="dxa" w:w="3120"/>
          </w:tcPr>
          <w:p>
            <w:pPr>
              <w:spacing w:line="240" w:lineRule="auto"/>
            </w:pPr>
            <w:r>
              <w:rPr>
                <w:sz w:val="18"/>
              </w:rPr>
            </w:r>
            <w:r>
              <w:rPr>
                <w:sz w:val="18"/>
              </w:rPr>
              <w:t>Coefficient of variation</w:t>
            </w:r>
          </w:p>
        </w:tc>
        <w:tc>
          <w:tcPr>
            <w:tcW w:type="dxa" w:w="3120"/>
          </w:tcPr>
          <w:p>
            <w:pPr>
              <w:spacing w:line="240" w:lineRule="auto"/>
            </w:pPr>
            <w:r>
              <w:rPr>
                <w:sz w:val="18"/>
              </w:rPr>
            </w:r>
            <w:r>
              <w:rPr>
                <w:sz w:val="18"/>
              </w:rPr>
              <w:t>SD ÷ mean; compares spread across units</w:t>
            </w:r>
          </w:p>
        </w:tc>
        <w:tc>
          <w:tcPr>
            <w:tcW w:type="dxa" w:w="3120"/>
          </w:tcPr>
          <w:p>
            <w:pPr>
              <w:spacing w:line="240" w:lineRule="auto"/>
            </w:pPr>
            <w:r>
              <w:rPr>
                <w:sz w:val="18"/>
              </w:rPr>
            </w:r>
            <w:r>
              <w:rPr>
                <w:sz w:val="18"/>
              </w:rPr>
              <w:t>2.2</w:t>
            </w:r>
          </w:p>
        </w:tc>
      </w:tr>
      <w:tr>
        <w:tc>
          <w:tcPr>
            <w:tcW w:type="dxa" w:w="3120"/>
          </w:tcPr>
          <w:p>
            <w:pPr>
              <w:spacing w:line="240" w:lineRule="auto"/>
            </w:pPr>
            <w:r>
              <w:rPr>
                <w:sz w:val="18"/>
              </w:rPr>
            </w:r>
            <w:r>
              <w:rPr>
                <w:sz w:val="18"/>
              </w:rPr>
              <w:t>Skewness</w:t>
            </w:r>
          </w:p>
        </w:tc>
        <w:tc>
          <w:tcPr>
            <w:tcW w:type="dxa" w:w="3120"/>
          </w:tcPr>
          <w:p>
            <w:pPr>
              <w:spacing w:line="240" w:lineRule="auto"/>
            </w:pPr>
            <w:r>
              <w:rPr>
                <w:sz w:val="18"/>
              </w:rPr>
            </w:r>
            <w:r>
              <w:rPr>
                <w:sz w:val="18"/>
              </w:rPr>
              <w:t>Asymmetry; mean &gt; median means right-skewed</w:t>
            </w:r>
          </w:p>
        </w:tc>
        <w:tc>
          <w:tcPr>
            <w:tcW w:type="dxa" w:w="3120"/>
          </w:tcPr>
          <w:p>
            <w:pPr>
              <w:spacing w:line="240" w:lineRule="auto"/>
            </w:pPr>
            <w:r>
              <w:rPr>
                <w:sz w:val="18"/>
              </w:rPr>
            </w:r>
            <w:r>
              <w:rPr>
                <w:sz w:val="18"/>
              </w:rPr>
              <w:t>2.2</w:t>
            </w:r>
          </w:p>
        </w:tc>
      </w:tr>
      <w:tr>
        <w:tc>
          <w:tcPr>
            <w:tcW w:type="dxa" w:w="3120"/>
          </w:tcPr>
          <w:p>
            <w:pPr>
              <w:spacing w:line="240" w:lineRule="auto"/>
            </w:pPr>
            <w:r>
              <w:rPr>
                <w:sz w:val="18"/>
              </w:rPr>
            </w:r>
            <w:r>
              <w:rPr>
                <w:sz w:val="18"/>
              </w:rPr>
              <w:t>Pearson r</w:t>
            </w:r>
          </w:p>
        </w:tc>
        <w:tc>
          <w:tcPr>
            <w:tcW w:type="dxa" w:w="3120"/>
          </w:tcPr>
          <w:p>
            <w:pPr>
              <w:spacing w:line="240" w:lineRule="auto"/>
            </w:pPr>
            <w:r>
              <w:rPr>
                <w:sz w:val="18"/>
              </w:rPr>
            </w:r>
            <w:r>
              <w:rPr>
                <w:sz w:val="18"/>
              </w:rPr>
              <w:t>Linear correlation, −1 to +1</w:t>
            </w:r>
          </w:p>
        </w:tc>
        <w:tc>
          <w:tcPr>
            <w:tcW w:type="dxa" w:w="3120"/>
          </w:tcPr>
          <w:p>
            <w:pPr>
              <w:spacing w:line="240" w:lineRule="auto"/>
            </w:pPr>
            <w:r>
              <w:rPr>
                <w:sz w:val="18"/>
              </w:rPr>
            </w:r>
            <w:r>
              <w:rPr>
                <w:sz w:val="18"/>
              </w:rPr>
              <w:t>2.3</w:t>
            </w:r>
          </w:p>
        </w:tc>
      </w:tr>
      <w:tr>
        <w:tc>
          <w:tcPr>
            <w:tcW w:type="dxa" w:w="3120"/>
          </w:tcPr>
          <w:p>
            <w:pPr>
              <w:spacing w:line="240" w:lineRule="auto"/>
            </w:pPr>
            <w:r>
              <w:rPr>
                <w:sz w:val="18"/>
              </w:rPr>
            </w:r>
            <w:r>
              <w:rPr>
                <w:sz w:val="18"/>
              </w:rPr>
              <w:t>r²</w:t>
            </w:r>
          </w:p>
        </w:tc>
        <w:tc>
          <w:tcPr>
            <w:tcW w:type="dxa" w:w="3120"/>
          </w:tcPr>
          <w:p>
            <w:pPr>
              <w:spacing w:line="240" w:lineRule="auto"/>
            </w:pPr>
            <w:r>
              <w:rPr>
                <w:sz w:val="18"/>
              </w:rPr>
            </w:r>
            <w:r>
              <w:rPr>
                <w:sz w:val="18"/>
              </w:rPr>
              <w:t>Share of variation shared</w:t>
            </w:r>
          </w:p>
        </w:tc>
        <w:tc>
          <w:tcPr>
            <w:tcW w:type="dxa" w:w="3120"/>
          </w:tcPr>
          <w:p>
            <w:pPr>
              <w:spacing w:line="240" w:lineRule="auto"/>
            </w:pPr>
            <w:r>
              <w:rPr>
                <w:sz w:val="18"/>
              </w:rPr>
            </w:r>
            <w:r>
              <w:rPr>
                <w:sz w:val="18"/>
              </w:rPr>
              <w:t>2.3, 2.4</w:t>
            </w:r>
          </w:p>
        </w:tc>
      </w:tr>
      <w:tr>
        <w:tc>
          <w:tcPr>
            <w:tcW w:type="dxa" w:w="3120"/>
          </w:tcPr>
          <w:p>
            <w:pPr>
              <w:spacing w:line="240" w:lineRule="auto"/>
            </w:pPr>
            <w:r>
              <w:rPr>
                <w:sz w:val="18"/>
              </w:rPr>
            </w:r>
            <w:r>
              <w:rPr>
                <w:sz w:val="18"/>
              </w:rPr>
              <w:t>p-value</w:t>
            </w:r>
          </w:p>
        </w:tc>
        <w:tc>
          <w:tcPr>
            <w:tcW w:type="dxa" w:w="3120"/>
          </w:tcPr>
          <w:p>
            <w:pPr>
              <w:spacing w:line="240" w:lineRule="auto"/>
            </w:pPr>
            <w:r>
              <w:rPr>
                <w:sz w:val="18"/>
              </w:rPr>
            </w:r>
            <w:r>
              <w:rPr>
                <w:sz w:val="18"/>
              </w:rPr>
              <w:t>Chance of the result if the null were true</w:t>
            </w:r>
          </w:p>
        </w:tc>
        <w:tc>
          <w:tcPr>
            <w:tcW w:type="dxa" w:w="3120"/>
          </w:tcPr>
          <w:p>
            <w:pPr>
              <w:spacing w:line="240" w:lineRule="auto"/>
            </w:pPr>
            <w:r>
              <w:rPr>
                <w:sz w:val="18"/>
              </w:rPr>
            </w:r>
            <w:r>
              <w:rPr>
                <w:sz w:val="18"/>
              </w:rPr>
              <w:t>2.3, 2.4</w:t>
            </w:r>
          </w:p>
        </w:tc>
      </w:tr>
      <w:tr>
        <w:tc>
          <w:tcPr>
            <w:tcW w:type="dxa" w:w="3120"/>
          </w:tcPr>
          <w:p>
            <w:pPr>
              <w:spacing w:line="240" w:lineRule="auto"/>
            </w:pPr>
            <w:r>
              <w:rPr>
                <w:sz w:val="18"/>
              </w:rPr>
            </w:r>
            <w:r>
              <w:rPr>
                <w:sz w:val="18"/>
              </w:rPr>
              <w:t>Slope / intercept</w:t>
            </w:r>
          </w:p>
        </w:tc>
        <w:tc>
          <w:tcPr>
            <w:tcW w:type="dxa" w:w="3120"/>
          </w:tcPr>
          <w:p>
            <w:pPr>
              <w:spacing w:line="240" w:lineRule="auto"/>
            </w:pPr>
            <w:r>
              <w:rPr>
                <w:sz w:val="18"/>
              </w:rPr>
            </w:r>
            <w:r>
              <w:rPr>
                <w:sz w:val="18"/>
              </w:rPr>
              <w:t xml:space="preserve">The </w:t>
            </w:r>
            <w:r>
              <w:rPr>
                <w:rFonts w:ascii="Consolas" w:hAnsi="Consolas"/>
                <w:color w:val="2F6F9F"/>
                <w:sz w:val="18"/>
              </w:rPr>
              <w:t>b</w:t>
            </w:r>
            <w:r>
              <w:rPr>
                <w:sz w:val="18"/>
              </w:rPr>
              <w:t xml:space="preserve"> and </w:t>
            </w:r>
            <w:r>
              <w:rPr>
                <w:rFonts w:ascii="Consolas" w:hAnsi="Consolas"/>
                <w:color w:val="2F6F9F"/>
                <w:sz w:val="18"/>
              </w:rPr>
              <w:t>a</w:t>
            </w:r>
            <w:r>
              <w:rPr>
                <w:sz w:val="18"/>
              </w:rPr>
              <w:t xml:space="preserve"> in Y = a + bX</w:t>
            </w:r>
          </w:p>
        </w:tc>
        <w:tc>
          <w:tcPr>
            <w:tcW w:type="dxa" w:w="3120"/>
          </w:tcPr>
          <w:p>
            <w:pPr>
              <w:spacing w:line="240" w:lineRule="auto"/>
            </w:pPr>
            <w:r>
              <w:rPr>
                <w:sz w:val="18"/>
              </w:rPr>
            </w:r>
            <w:r>
              <w:rPr>
                <w:sz w:val="18"/>
              </w:rPr>
              <w:t>2.4</w:t>
            </w:r>
          </w:p>
        </w:tc>
      </w:tr>
      <w:tr>
        <w:tc>
          <w:tcPr>
            <w:tcW w:type="dxa" w:w="3120"/>
          </w:tcPr>
          <w:p>
            <w:pPr>
              <w:spacing w:line="240" w:lineRule="auto"/>
            </w:pPr>
            <w:r>
              <w:rPr>
                <w:sz w:val="18"/>
              </w:rPr>
            </w:r>
            <w:r>
              <w:rPr>
                <w:sz w:val="18"/>
              </w:rPr>
              <w:t>Standard error</w:t>
            </w:r>
          </w:p>
        </w:tc>
        <w:tc>
          <w:tcPr>
            <w:tcW w:type="dxa" w:w="3120"/>
          </w:tcPr>
          <w:p>
            <w:pPr>
              <w:spacing w:line="240" w:lineRule="auto"/>
            </w:pPr>
            <w:r>
              <w:rPr>
                <w:sz w:val="18"/>
              </w:rPr>
            </w:r>
            <w:r>
              <w:rPr>
                <w:sz w:val="18"/>
              </w:rPr>
              <w:t>Uncertainty in an estimate</w:t>
            </w:r>
          </w:p>
        </w:tc>
        <w:tc>
          <w:tcPr>
            <w:tcW w:type="dxa" w:w="3120"/>
          </w:tcPr>
          <w:p>
            <w:pPr>
              <w:spacing w:line="240" w:lineRule="auto"/>
            </w:pPr>
            <w:r>
              <w:rPr>
                <w:sz w:val="18"/>
              </w:rPr>
            </w:r>
            <w:r>
              <w:rPr>
                <w:sz w:val="18"/>
              </w:rPr>
              <w:t>2.4</w:t>
            </w:r>
          </w:p>
        </w:tc>
      </w:tr>
      <w:tr>
        <w:tc>
          <w:tcPr>
            <w:tcW w:type="dxa" w:w="3120"/>
          </w:tcPr>
          <w:p>
            <w:pPr>
              <w:spacing w:line="240" w:lineRule="auto"/>
            </w:pPr>
            <w:r>
              <w:rPr>
                <w:sz w:val="18"/>
              </w:rPr>
            </w:r>
            <w:r>
              <w:rPr>
                <w:sz w:val="18"/>
              </w:rPr>
              <w:t>t statistic</w:t>
            </w:r>
          </w:p>
        </w:tc>
        <w:tc>
          <w:tcPr>
            <w:tcW w:type="dxa" w:w="3120"/>
          </w:tcPr>
          <w:p>
            <w:pPr>
              <w:spacing w:line="240" w:lineRule="auto"/>
            </w:pPr>
            <w:r>
              <w:rPr>
                <w:sz w:val="18"/>
              </w:rPr>
            </w:r>
            <w:r>
              <w:rPr>
                <w:sz w:val="18"/>
              </w:rPr>
              <w:t>Estimate ÷ its standard error</w:t>
            </w:r>
          </w:p>
        </w:tc>
        <w:tc>
          <w:tcPr>
            <w:tcW w:type="dxa" w:w="3120"/>
          </w:tcPr>
          <w:p>
            <w:pPr>
              <w:spacing w:line="240" w:lineRule="auto"/>
            </w:pPr>
            <w:r>
              <w:rPr>
                <w:sz w:val="18"/>
              </w:rPr>
            </w:r>
            <w:r>
              <w:rPr>
                <w:sz w:val="18"/>
              </w:rPr>
              <w:t>2.4</w:t>
            </w:r>
          </w:p>
        </w:tc>
      </w:tr>
      <w:tr>
        <w:tc>
          <w:tcPr>
            <w:tcW w:type="dxa" w:w="3120"/>
          </w:tcPr>
          <w:p>
            <w:pPr>
              <w:spacing w:line="240" w:lineRule="auto"/>
            </w:pPr>
            <w:r>
              <w:rPr>
                <w:sz w:val="18"/>
              </w:rPr>
            </w:r>
            <w:r>
              <w:rPr>
                <w:sz w:val="18"/>
              </w:rPr>
              <w:t>Degrees of freedom</w:t>
            </w:r>
          </w:p>
        </w:tc>
        <w:tc>
          <w:tcPr>
            <w:tcW w:type="dxa" w:w="3120"/>
          </w:tcPr>
          <w:p>
            <w:pPr>
              <w:spacing w:line="240" w:lineRule="auto"/>
            </w:pPr>
            <w:r>
              <w:rPr>
                <w:sz w:val="18"/>
              </w:rPr>
            </w:r>
            <w:r>
              <w:rPr>
                <w:sz w:val="18"/>
              </w:rPr>
              <w:t>n − 2 for simple regression</w:t>
            </w:r>
          </w:p>
        </w:tc>
        <w:tc>
          <w:tcPr>
            <w:tcW w:type="dxa" w:w="3120"/>
          </w:tcPr>
          <w:p>
            <w:pPr>
              <w:spacing w:line="240" w:lineRule="auto"/>
            </w:pPr>
            <w:r>
              <w:rPr>
                <w:sz w:val="18"/>
              </w:rPr>
            </w:r>
            <w:r>
              <w:rPr>
                <w:sz w:val="18"/>
              </w:rPr>
              <w:t>2.4</w:t>
            </w:r>
          </w:p>
        </w:tc>
      </w:tr>
      <w:tr>
        <w:tc>
          <w:tcPr>
            <w:tcW w:type="dxa" w:w="3120"/>
          </w:tcPr>
          <w:p>
            <w:pPr>
              <w:spacing w:line="240" w:lineRule="auto"/>
            </w:pPr>
            <w:r>
              <w:rPr>
                <w:sz w:val="18"/>
              </w:rPr>
            </w:r>
            <w:r>
              <w:rPr>
                <w:sz w:val="18"/>
              </w:rPr>
              <w:t>Null hypothesis</w:t>
            </w:r>
          </w:p>
        </w:tc>
        <w:tc>
          <w:tcPr>
            <w:tcW w:type="dxa" w:w="3120"/>
          </w:tcPr>
          <w:p>
            <w:pPr>
              <w:spacing w:line="240" w:lineRule="auto"/>
            </w:pPr>
            <w:r>
              <w:rPr>
                <w:sz w:val="18"/>
              </w:rPr>
            </w:r>
            <w:r>
              <w:rPr>
                <w:sz w:val="18"/>
              </w:rPr>
              <w:t>"There is no relationship"</w:t>
            </w:r>
          </w:p>
        </w:tc>
        <w:tc>
          <w:tcPr>
            <w:tcW w:type="dxa" w:w="3120"/>
          </w:tcPr>
          <w:p>
            <w:pPr>
              <w:spacing w:line="240" w:lineRule="auto"/>
            </w:pPr>
            <w:r>
              <w:rPr>
                <w:sz w:val="18"/>
              </w:rPr>
            </w:r>
            <w:r>
              <w:rPr>
                <w:sz w:val="18"/>
              </w:rPr>
              <w:t>2.4</w:t>
            </w:r>
          </w:p>
        </w:tc>
      </w:tr>
      <w:tr>
        <w:tc>
          <w:tcPr>
            <w:tcW w:type="dxa" w:w="3120"/>
          </w:tcPr>
          <w:p>
            <w:pPr>
              <w:spacing w:line="240" w:lineRule="auto"/>
            </w:pPr>
            <w:r>
              <w:rPr>
                <w:sz w:val="18"/>
              </w:rPr>
            </w:r>
            <w:r>
              <w:rPr>
                <w:sz w:val="18"/>
              </w:rPr>
              <w:t>Seasonal index</w:t>
            </w:r>
          </w:p>
        </w:tc>
        <w:tc>
          <w:tcPr>
            <w:tcW w:type="dxa" w:w="3120"/>
          </w:tcPr>
          <w:p>
            <w:pPr>
              <w:spacing w:line="240" w:lineRule="auto"/>
            </w:pPr>
            <w:r>
              <w:rPr>
                <w:sz w:val="18"/>
              </w:rPr>
            </w:r>
            <w:r>
              <w:rPr>
                <w:sz w:val="18"/>
              </w:rPr>
              <w:t>Month's average ÷ overall average</w:t>
            </w:r>
          </w:p>
        </w:tc>
        <w:tc>
          <w:tcPr>
            <w:tcW w:type="dxa" w:w="3120"/>
          </w:tcPr>
          <w:p>
            <w:pPr>
              <w:spacing w:line="240" w:lineRule="auto"/>
            </w:pPr>
            <w:r>
              <w:rPr>
                <w:sz w:val="18"/>
              </w:rPr>
            </w:r>
            <w:r>
              <w:rPr>
                <w:sz w:val="18"/>
              </w:rPr>
              <w:t>2.5</w:t>
            </w:r>
          </w:p>
        </w:tc>
      </w:tr>
      <w:tr>
        <w:tc>
          <w:tcPr>
            <w:tcW w:type="dxa" w:w="3120"/>
          </w:tcPr>
          <w:p>
            <w:pPr>
              <w:spacing w:line="240" w:lineRule="auto"/>
            </w:pPr>
            <w:r>
              <w:rPr>
                <w:sz w:val="18"/>
              </w:rPr>
            </w:r>
            <w:r>
              <w:rPr>
                <w:sz w:val="18"/>
              </w:rPr>
              <w:t>Mean absolute error</w:t>
            </w:r>
          </w:p>
        </w:tc>
        <w:tc>
          <w:tcPr>
            <w:tcW w:type="dxa" w:w="3120"/>
          </w:tcPr>
          <w:p>
            <w:pPr>
              <w:spacing w:line="240" w:lineRule="auto"/>
            </w:pPr>
            <w:r>
              <w:rPr>
                <w:sz w:val="18"/>
              </w:rPr>
            </w:r>
            <w:r>
              <w:rPr>
                <w:sz w:val="18"/>
              </w:rPr>
              <w:t>Average error size, ignoring sign</w:t>
            </w:r>
          </w:p>
        </w:tc>
        <w:tc>
          <w:tcPr>
            <w:tcW w:type="dxa" w:w="3120"/>
          </w:tcPr>
          <w:p>
            <w:pPr>
              <w:spacing w:line="240" w:lineRule="auto"/>
            </w:pPr>
            <w:r>
              <w:rPr>
                <w:sz w:val="18"/>
              </w:rPr>
            </w:r>
            <w:r>
              <w:rPr>
                <w:sz w:val="18"/>
              </w:rPr>
              <w:t>2.5</w:t>
            </w:r>
          </w:p>
        </w:tc>
      </w:tr>
      <w:tr>
        <w:tc>
          <w:tcPr>
            <w:tcW w:type="dxa" w:w="3120"/>
          </w:tcPr>
          <w:p>
            <w:pPr>
              <w:spacing w:line="240" w:lineRule="auto"/>
            </w:pPr>
            <w:r>
              <w:rPr>
                <w:sz w:val="18"/>
              </w:rPr>
            </w:r>
            <w:r>
              <w:rPr>
                <w:sz w:val="18"/>
              </w:rPr>
              <w:t>Holdout</w:t>
            </w:r>
          </w:p>
        </w:tc>
        <w:tc>
          <w:tcPr>
            <w:tcW w:type="dxa" w:w="3120"/>
          </w:tcPr>
          <w:p>
            <w:pPr>
              <w:spacing w:line="240" w:lineRule="auto"/>
            </w:pPr>
            <w:r>
              <w:rPr>
                <w:sz w:val="18"/>
              </w:rPr>
            </w:r>
            <w:r>
              <w:rPr>
                <w:sz w:val="18"/>
              </w:rPr>
              <w:t>Data withheld to test a model</w:t>
            </w:r>
          </w:p>
        </w:tc>
        <w:tc>
          <w:tcPr>
            <w:tcW w:type="dxa" w:w="3120"/>
          </w:tcPr>
          <w:p>
            <w:pPr>
              <w:spacing w:line="240" w:lineRule="auto"/>
            </w:pPr>
            <w:r>
              <w:rPr>
                <w:sz w:val="18"/>
              </w:rPr>
            </w:r>
            <w:r>
              <w:rPr>
                <w:sz w:val="18"/>
              </w:rPr>
              <w:t>2.5</w:t>
            </w:r>
          </w:p>
        </w:tc>
      </w:tr>
    </w:tbl>
    <w:p>
      <w:pPr>
        <w:spacing w:after="200" w:line="240" w:lineRule="auto"/>
        <w:jc w:val="center"/>
      </w:pPr>
      <w:r>
        <w:rPr>
          <w:i/>
          <w:color w:val="7B8994"/>
          <w:sz w:val="20"/>
        </w:rPr>
        <w:t>Table 11. 8. Statistics reference</w:t>
      </w:r>
    </w:p>
    <w:p>
      <w:pPr>
        <w:pStyle w:val="Heading3"/>
      </w:pPr>
      <w:r>
        <w:t>Excel functions used</w:t>
      </w:r>
    </w:p>
    <w:p>
      <w:r>
        <w:rPr>
          <w:rFonts w:ascii="Consolas" w:hAnsi="Consolas"/>
          <w:color w:val="2F6F9F"/>
          <w:sz w:val="18"/>
        </w:rPr>
        <w:t>AVERAGE</w:t>
      </w:r>
      <w:r>
        <w:t xml:space="preserve"> </w:t>
      </w:r>
      <w:r>
        <w:rPr>
          <w:rFonts w:ascii="Consolas" w:hAnsi="Consolas"/>
          <w:color w:val="2F6F9F"/>
          <w:sz w:val="18"/>
        </w:rPr>
        <w:t>MEDIAN</w:t>
      </w:r>
      <w:r>
        <w:t xml:space="preserve"> </w:t>
      </w:r>
      <w:r>
        <w:rPr>
          <w:rFonts w:ascii="Consolas" w:hAnsi="Consolas"/>
          <w:color w:val="2F6F9F"/>
          <w:sz w:val="18"/>
        </w:rPr>
        <w:t>MODE</w:t>
      </w:r>
      <w:r>
        <w:t xml:space="preserve"> </w:t>
      </w:r>
      <w:r>
        <w:rPr>
          <w:rFonts w:ascii="Consolas" w:hAnsi="Consolas"/>
          <w:color w:val="2F6F9F"/>
          <w:sz w:val="18"/>
        </w:rPr>
        <w:t>STDEV</w:t>
      </w:r>
      <w:r>
        <w:t xml:space="preserve"> </w:t>
      </w:r>
      <w:r>
        <w:rPr>
          <w:rFonts w:ascii="Consolas" w:hAnsi="Consolas"/>
          <w:color w:val="2F6F9F"/>
          <w:sz w:val="18"/>
        </w:rPr>
        <w:t>VAR</w:t>
      </w:r>
      <w:r>
        <w:t xml:space="preserve"> </w:t>
      </w:r>
      <w:r>
        <w:rPr>
          <w:rFonts w:ascii="Consolas" w:hAnsi="Consolas"/>
          <w:color w:val="2F6F9F"/>
          <w:sz w:val="18"/>
        </w:rPr>
        <w:t>MIN</w:t>
      </w:r>
      <w:r>
        <w:t xml:space="preserve"> </w:t>
      </w:r>
      <w:r>
        <w:rPr>
          <w:rFonts w:ascii="Consolas" w:hAnsi="Consolas"/>
          <w:color w:val="2F6F9F"/>
          <w:sz w:val="18"/>
        </w:rPr>
        <w:t>MAX</w:t>
      </w:r>
      <w:r>
        <w:t xml:space="preserve"> </w:t>
      </w:r>
      <w:r>
        <w:rPr>
          <w:rFonts w:ascii="Consolas" w:hAnsi="Consolas"/>
          <w:color w:val="2F6F9F"/>
          <w:sz w:val="18"/>
        </w:rPr>
        <w:t>QUARTILE</w:t>
      </w:r>
      <w:r>
        <w:t xml:space="preserve"> </w:t>
      </w:r>
      <w:r>
        <w:rPr>
          <w:rFonts w:ascii="Consolas" w:hAnsi="Consolas"/>
          <w:color w:val="2F6F9F"/>
          <w:sz w:val="18"/>
        </w:rPr>
        <w:t>COUNT</w:t>
      </w:r>
      <w:r>
        <w:t xml:space="preserve"> </w:t>
      </w:r>
      <w:r>
        <w:rPr>
          <w:rFonts w:ascii="Consolas" w:hAnsi="Consolas"/>
          <w:color w:val="2F6F9F"/>
          <w:sz w:val="18"/>
        </w:rPr>
        <w:t>SUMIF</w:t>
      </w:r>
      <w:r>
        <w:t xml:space="preserve"> </w:t>
      </w:r>
      <w:r>
        <w:rPr>
          <w:rFonts w:ascii="Consolas" w:hAnsi="Consolas"/>
          <w:color w:val="2F6F9F"/>
          <w:sz w:val="18"/>
        </w:rPr>
        <w:t>SUMIFS</w:t>
      </w:r>
      <w:r>
        <w:t xml:space="preserve"> </w:t>
      </w:r>
      <w:r>
        <w:rPr>
          <w:rFonts w:ascii="Consolas" w:hAnsi="Consolas"/>
          <w:color w:val="2F6F9F"/>
          <w:sz w:val="18"/>
        </w:rPr>
        <w:t>COUNTIF</w:t>
      </w:r>
      <w:r>
        <w:t xml:space="preserve"> </w:t>
      </w:r>
      <w:r>
        <w:rPr>
          <w:rFonts w:ascii="Consolas" w:hAnsi="Consolas"/>
          <w:color w:val="2F6F9F"/>
          <w:sz w:val="18"/>
        </w:rPr>
        <w:t>COUNTIFS</w:t>
      </w:r>
      <w:r>
        <w:t xml:space="preserve"> </w:t>
      </w:r>
      <w:r>
        <w:rPr>
          <w:rFonts w:ascii="Consolas" w:hAnsi="Consolas"/>
          <w:color w:val="2F6F9F"/>
          <w:sz w:val="18"/>
        </w:rPr>
        <w:t>AVERAGEIF</w:t>
      </w:r>
      <w:r>
        <w:t xml:space="preserve"> </w:t>
      </w:r>
      <w:r>
        <w:rPr>
          <w:rFonts w:ascii="Consolas" w:hAnsi="Consolas"/>
          <w:color w:val="2F6F9F"/>
          <w:sz w:val="18"/>
        </w:rPr>
        <w:t>AVERAGEIFS</w:t>
      </w:r>
      <w:r>
        <w:t xml:space="preserve"> </w:t>
      </w:r>
      <w:r>
        <w:rPr>
          <w:rFonts w:ascii="Consolas" w:hAnsi="Consolas"/>
          <w:color w:val="2F6F9F"/>
          <w:sz w:val="18"/>
        </w:rPr>
        <w:t>CORREL</w:t>
      </w:r>
      <w:r>
        <w:t xml:space="preserve"> </w:t>
      </w:r>
      <w:r>
        <w:rPr>
          <w:rFonts w:ascii="Consolas" w:hAnsi="Consolas"/>
          <w:color w:val="2F6F9F"/>
          <w:sz w:val="18"/>
        </w:rPr>
        <w:t>SLOPE</w:t>
      </w:r>
      <w:r>
        <w:t xml:space="preserve"> </w:t>
      </w:r>
      <w:r>
        <w:rPr>
          <w:rFonts w:ascii="Consolas" w:hAnsi="Consolas"/>
          <w:color w:val="2F6F9F"/>
          <w:sz w:val="18"/>
        </w:rPr>
        <w:t>INTERCEPT</w:t>
      </w:r>
      <w:r>
        <w:t xml:space="preserve"> </w:t>
      </w:r>
      <w:r>
        <w:rPr>
          <w:rFonts w:ascii="Consolas" w:hAnsi="Consolas"/>
          <w:color w:val="2F6F9F"/>
          <w:sz w:val="18"/>
        </w:rPr>
        <w:t>RSQ</w:t>
      </w:r>
      <w:r>
        <w:t xml:space="preserve"> </w:t>
      </w:r>
      <w:r>
        <w:rPr>
          <w:rFonts w:ascii="Consolas" w:hAnsi="Consolas"/>
          <w:color w:val="2F6F9F"/>
          <w:sz w:val="18"/>
        </w:rPr>
        <w:t>STEYX</w:t>
      </w:r>
      <w:r>
        <w:t xml:space="preserve"> </w:t>
      </w:r>
      <w:r>
        <w:rPr>
          <w:rFonts w:ascii="Consolas" w:hAnsi="Consolas"/>
          <w:color w:val="2F6F9F"/>
          <w:sz w:val="18"/>
        </w:rPr>
        <w:t>DEVSQ</w:t>
      </w:r>
      <w:r>
        <w:t xml:space="preserve"> </w:t>
      </w:r>
      <w:r>
        <w:rPr>
          <w:rFonts w:ascii="Consolas" w:hAnsi="Consolas"/>
          <w:color w:val="2F6F9F"/>
          <w:sz w:val="18"/>
        </w:rPr>
        <w:t>TDIST</w:t>
      </w:r>
      <w:r>
        <w:t xml:space="preserve"> </w:t>
      </w:r>
      <w:r>
        <w:rPr>
          <w:rFonts w:ascii="Consolas" w:hAnsi="Consolas"/>
          <w:color w:val="2F6F9F"/>
          <w:sz w:val="18"/>
        </w:rPr>
        <w:t>VLOOKUP</w:t>
      </w:r>
      <w:r>
        <w:t xml:space="preserve"> </w:t>
      </w:r>
      <w:r>
        <w:rPr>
          <w:rFonts w:ascii="Consolas" w:hAnsi="Consolas"/>
          <w:color w:val="2F6F9F"/>
          <w:sz w:val="18"/>
        </w:rPr>
        <w:t>IF</w:t>
      </w:r>
      <w:r>
        <w:t xml:space="preserve"> </w:t>
      </w:r>
      <w:r>
        <w:rPr>
          <w:rFonts w:ascii="Consolas" w:hAnsi="Consolas"/>
          <w:color w:val="2F6F9F"/>
          <w:sz w:val="18"/>
        </w:rPr>
        <w:t>TEXT</w:t>
      </w:r>
      <w:r>
        <w:t xml:space="preserve"> </w:t>
      </w:r>
      <w:r>
        <w:rPr>
          <w:rFonts w:ascii="Consolas" w:hAnsi="Consolas"/>
          <w:color w:val="2F6F9F"/>
          <w:sz w:val="18"/>
        </w:rPr>
        <w:t>ROUND</w:t>
      </w:r>
      <w:r>
        <w:t xml:space="preserve"> </w:t>
      </w:r>
      <w:r>
        <w:rPr>
          <w:rFonts w:ascii="Consolas" w:hAnsi="Consolas"/>
          <w:color w:val="2F6F9F"/>
          <w:sz w:val="18"/>
        </w:rPr>
        <w:t>ABS</w:t>
      </w:r>
      <w:r>
        <w:t xml:space="preserve"> </w:t>
      </w:r>
      <w:r>
        <w:rPr>
          <w:rFonts w:ascii="Consolas" w:hAnsi="Consolas"/>
          <w:color w:val="2F6F9F"/>
          <w:sz w:val="18"/>
        </w:rPr>
        <w:t>SQRT</w:t>
      </w:r>
    </w:p>
    <w:p>
      <w:r>
        <w:t xml:space="preserve">All are Excel-2007-era functions, chosen deliberately so the workbook opens correctly in any Excel version and in Google Sheets. Newer functions such as </w:t>
      </w:r>
      <w:r>
        <w:rPr>
          <w:rFonts w:ascii="Consolas" w:hAnsi="Consolas"/>
          <w:color w:val="2F6F9F"/>
          <w:sz w:val="18"/>
        </w:rPr>
        <w:t>XLOOKUP</w:t>
      </w:r>
      <w:r>
        <w:t xml:space="preserve">, </w:t>
      </w:r>
      <w:r>
        <w:rPr>
          <w:rFonts w:ascii="Consolas" w:hAnsi="Consolas"/>
          <w:color w:val="2F6F9F"/>
          <w:sz w:val="18"/>
        </w:rPr>
        <w:t>FILTER</w:t>
      </w:r>
      <w:r>
        <w:t xml:space="preserve"> and </w:t>
      </w:r>
      <w:r>
        <w:rPr>
          <w:rFonts w:ascii="Consolas" w:hAnsi="Consolas"/>
          <w:color w:val="2F6F9F"/>
          <w:sz w:val="18"/>
        </w:rPr>
        <w:t>TEXTJOIN</w:t>
      </w:r>
      <w:r>
        <w:t xml:space="preserve"> are avoided.</w:t>
      </w:r>
    </w:p>
    <w:p>
      <w:pPr>
        <w:pStyle w:val="Heading3"/>
      </w:pPr>
      <w:r>
        <w:t>Three things people get wrong</w:t>
      </w:r>
    </w:p>
    <w:p>
      <w:pPr>
        <w:pStyle w:val="ListNumber"/>
      </w:pPr>
      <w:r>
        <w:rPr>
          <w:b/>
        </w:rPr>
        <w:t>r vs r².</w:t>
      </w:r>
      <w:r>
        <w:t xml:space="preserve"> r = 0.92 does not mean "92% explained". r² does — 85%.</w:t>
      </w:r>
    </w:p>
    <w:p>
      <w:pPr>
        <w:pStyle w:val="ListNumber"/>
      </w:pPr>
      <w:r>
        <w:rPr>
          <w:b/>
        </w:rPr>
        <w:t>A high p-value does not prove there is no relationship.</w:t>
      </w:r>
      <w:r>
        <w:t xml:space="preserve"> It means the data does not provide enough evidence to conclude there is one. Pair 2 shows "not significant", not "proven unrelated".</w:t>
      </w:r>
    </w:p>
    <w:p>
      <w:pPr>
        <w:pStyle w:val="ListNumber"/>
      </w:pPr>
      <w:r>
        <w:rPr>
          <w:b/>
        </w:rPr>
        <w:t>Significance is not importance.</w:t>
      </w:r>
      <w:r>
        <w:t xml:space="preserve"> With a big enough sample, a trivial relationship can be statistically significant. Always read the effect size (the slope, r²) alongside the p-value.</w:t>
      </w:r>
    </w:p>
    <w:p>
      <w:r>
        <w:br w:type="page"/>
      </w:r>
    </w:p>
    <w:p>
      <w:pPr>
        <w:pStyle w:val="Heading2"/>
      </w:pPr>
      <w:r>
        <w:t>9. The six findings</w:t>
      </w:r>
    </w:p>
    <w:tbl>
      <w:tblPr>
        <w:tblStyle w:val="LightGrid-Accent1"/>
        <w:tblW w:type="auto" w:w="0"/>
        <w:jc w:val="center"/>
        <w:tblLayout w:type="autofit"/>
        <w:tblLook w:firstColumn="1" w:firstRow="1" w:lastColumn="0" w:lastRow="0" w:noHBand="0" w:noVBand="1" w:val="04A0"/>
      </w:tblPr>
      <w:tblGrid>
        <w:gridCol w:w="3120"/>
        <w:gridCol w:w="3120"/>
        <w:gridCol w:w="3120"/>
      </w:tblGrid>
      <w:tr>
        <w:tc>
          <w:tcPr>
            <w:tcW w:type="dxa" w:w="3120"/>
          </w:tcPr>
          <w:p>
            <w:r>
              <w:rPr>
                <w:b/>
              </w:rPr>
            </w:r>
            <w:r>
              <w:rPr>
                <w:b/>
              </w:rPr>
              <w:t>#</w:t>
            </w:r>
          </w:p>
        </w:tc>
        <w:tc>
          <w:tcPr>
            <w:tcW w:type="dxa" w:w="3120"/>
          </w:tcPr>
          <w:p>
            <w:r>
              <w:rPr>
                <w:b/>
              </w:rPr>
            </w:r>
            <w:r>
              <w:rPr>
                <w:b/>
              </w:rPr>
              <w:t>Finding</w:t>
            </w:r>
          </w:p>
        </w:tc>
        <w:tc>
          <w:tcPr>
            <w:tcW w:type="dxa" w:w="3120"/>
          </w:tcPr>
          <w:p>
            <w:r>
              <w:rPr>
                <w:b/>
              </w:rPr>
            </w:r>
            <w:r>
              <w:rPr>
                <w:b/>
              </w:rPr>
              <w:t>How we know</w:t>
            </w:r>
          </w:p>
        </w:tc>
      </w:tr>
      <w:tr>
        <w:tc>
          <w:tcPr>
            <w:tcW w:type="dxa" w:w="3120"/>
          </w:tcPr>
          <w:p>
            <w:pPr>
              <w:spacing w:line="240" w:lineRule="auto"/>
            </w:pPr>
            <w:r>
              <w:rPr>
                <w:sz w:val="18"/>
              </w:rPr>
            </w:r>
            <w:r>
              <w:rPr>
                <w:sz w:val="18"/>
              </w:rPr>
              <w:t>1</w:t>
            </w:r>
          </w:p>
        </w:tc>
        <w:tc>
          <w:tcPr>
            <w:tcW w:type="dxa" w:w="3120"/>
          </w:tcPr>
          <w:p>
            <w:pPr>
              <w:spacing w:line="240" w:lineRule="auto"/>
            </w:pPr>
            <w:r>
              <w:rPr>
                <w:sz w:val="18"/>
              </w:rPr>
            </w:r>
            <w:r>
              <w:rPr>
                <w:b/>
                <w:sz w:val="18"/>
              </w:rPr>
              <w:t>Order count drives revenue</w:t>
            </w:r>
            <w:r>
              <w:rPr>
                <w:sz w:val="18"/>
              </w:rPr>
              <w:t xml:space="preserve"> — proven, not inferred</w:t>
            </w:r>
          </w:p>
        </w:tc>
        <w:tc>
          <w:tcPr>
            <w:tcW w:type="dxa" w:w="3120"/>
          </w:tcPr>
          <w:p>
            <w:pPr>
              <w:spacing w:line="240" w:lineRule="auto"/>
            </w:pPr>
            <w:r>
              <w:rPr>
                <w:sz w:val="18"/>
              </w:rPr>
            </w:r>
            <w:r>
              <w:rPr>
                <w:sz w:val="18"/>
              </w:rPr>
              <w:t>Regression: r = 0.923, R² = 0.851, p &lt; 0.001 over 57 months (2.3, 2.4)</w:t>
            </w:r>
          </w:p>
        </w:tc>
      </w:tr>
      <w:tr>
        <w:tc>
          <w:tcPr>
            <w:tcW w:type="dxa" w:w="3120"/>
          </w:tcPr>
          <w:p>
            <w:pPr>
              <w:spacing w:line="240" w:lineRule="auto"/>
            </w:pPr>
            <w:r>
              <w:rPr>
                <w:sz w:val="18"/>
              </w:rPr>
            </w:r>
            <w:r>
              <w:rPr>
                <w:sz w:val="18"/>
              </w:rPr>
              <w:t>2</w:t>
            </w:r>
          </w:p>
        </w:tc>
        <w:tc>
          <w:tcPr>
            <w:tcW w:type="dxa" w:w="3120"/>
          </w:tcPr>
          <w:p>
            <w:pPr>
              <w:spacing w:line="240" w:lineRule="auto"/>
            </w:pPr>
            <w:r>
              <w:rPr>
                <w:sz w:val="18"/>
              </w:rPr>
            </w:r>
            <w:r>
              <w:rPr>
                <w:b/>
                <w:sz w:val="18"/>
              </w:rPr>
              <w:t>Units sold predicts nothing</w:t>
            </w:r>
          </w:p>
        </w:tc>
        <w:tc>
          <w:tcPr>
            <w:tcW w:type="dxa" w:w="3120"/>
          </w:tcPr>
          <w:p>
            <w:pPr>
              <w:spacing w:line="240" w:lineRule="auto"/>
            </w:pPr>
            <w:r>
              <w:rPr>
                <w:sz w:val="18"/>
              </w:rPr>
            </w:r>
            <w:r>
              <w:rPr>
                <w:sz w:val="18"/>
              </w:rPr>
              <w:t>r = 0.045, p = 0.123 — not significant (2.3)</w:t>
            </w:r>
          </w:p>
        </w:tc>
      </w:tr>
      <w:tr>
        <w:tc>
          <w:tcPr>
            <w:tcW w:type="dxa" w:w="3120"/>
          </w:tcPr>
          <w:p>
            <w:pPr>
              <w:spacing w:line="240" w:lineRule="auto"/>
            </w:pPr>
            <w:r>
              <w:rPr>
                <w:sz w:val="18"/>
              </w:rPr>
            </w:r>
            <w:r>
              <w:rPr>
                <w:sz w:val="18"/>
              </w:rPr>
              <w:t>3</w:t>
            </w:r>
          </w:p>
        </w:tc>
        <w:tc>
          <w:tcPr>
            <w:tcW w:type="dxa" w:w="3120"/>
          </w:tcPr>
          <w:p>
            <w:pPr>
              <w:spacing w:line="240" w:lineRule="auto"/>
            </w:pPr>
            <w:r>
              <w:rPr>
                <w:sz w:val="18"/>
              </w:rPr>
            </w:r>
            <w:r>
              <w:rPr>
                <w:b/>
                <w:sz w:val="18"/>
              </w:rPr>
              <w:t>Revenue is a poor proxy for profit</w:t>
            </w:r>
          </w:p>
        </w:tc>
        <w:tc>
          <w:tcPr>
            <w:tcW w:type="dxa" w:w="3120"/>
          </w:tcPr>
          <w:p>
            <w:pPr>
              <w:spacing w:line="240" w:lineRule="auto"/>
            </w:pPr>
            <w:r>
              <w:rPr>
                <w:sz w:val="18"/>
              </w:rPr>
            </w:r>
            <w:r>
              <w:rPr>
                <w:sz w:val="18"/>
              </w:rPr>
              <w:t>Profit skew +0.94, CV 82.9% vs 54.2%; only 46% of profit variation tracks revenue (2.2, 2.3)</w:t>
            </w:r>
          </w:p>
        </w:tc>
      </w:tr>
      <w:tr>
        <w:tc>
          <w:tcPr>
            <w:tcW w:type="dxa" w:w="3120"/>
          </w:tcPr>
          <w:p>
            <w:pPr>
              <w:spacing w:line="240" w:lineRule="auto"/>
            </w:pPr>
            <w:r>
              <w:rPr>
                <w:sz w:val="18"/>
              </w:rPr>
            </w:r>
            <w:r>
              <w:rPr>
                <w:sz w:val="18"/>
              </w:rPr>
              <w:t>4</w:t>
            </w:r>
          </w:p>
        </w:tc>
        <w:tc>
          <w:tcPr>
            <w:tcW w:type="dxa" w:w="3120"/>
          </w:tcPr>
          <w:p>
            <w:pPr>
              <w:spacing w:line="240" w:lineRule="auto"/>
            </w:pPr>
            <w:r>
              <w:rPr>
                <w:sz w:val="18"/>
              </w:rPr>
            </w:r>
            <w:r>
              <w:rPr>
                <w:b/>
                <w:sz w:val="18"/>
              </w:rPr>
              <w:t>No linear trend exists to project</w:t>
            </w:r>
          </w:p>
        </w:tc>
        <w:tc>
          <w:tcPr>
            <w:tcW w:type="dxa" w:w="3120"/>
          </w:tcPr>
          <w:p>
            <w:pPr>
              <w:spacing w:line="240" w:lineRule="auto"/>
            </w:pPr>
            <w:r>
              <w:rPr>
                <w:sz w:val="18"/>
              </w:rPr>
            </w:r>
            <w:r>
              <w:rPr>
                <w:sz w:val="18"/>
              </w:rPr>
              <w:t>Time explains under 1%, p = 0.515 (2.5)</w:t>
            </w:r>
          </w:p>
        </w:tc>
      </w:tr>
      <w:tr>
        <w:tc>
          <w:tcPr>
            <w:tcW w:type="dxa" w:w="3120"/>
          </w:tcPr>
          <w:p>
            <w:pPr>
              <w:spacing w:line="240" w:lineRule="auto"/>
            </w:pPr>
            <w:r>
              <w:rPr>
                <w:sz w:val="18"/>
              </w:rPr>
            </w:r>
            <w:r>
              <w:rPr>
                <w:sz w:val="18"/>
              </w:rPr>
              <w:t>5</w:t>
            </w:r>
          </w:p>
        </w:tc>
        <w:tc>
          <w:tcPr>
            <w:tcW w:type="dxa" w:w="3120"/>
          </w:tcPr>
          <w:p>
            <w:pPr>
              <w:spacing w:line="240" w:lineRule="auto"/>
            </w:pPr>
            <w:r>
              <w:rPr>
                <w:sz w:val="18"/>
              </w:rPr>
            </w:r>
            <w:r>
              <w:rPr>
                <w:b/>
                <w:sz w:val="18"/>
              </w:rPr>
              <w:t>The four-order gap is worth ~250,000 a year</w:t>
            </w:r>
          </w:p>
        </w:tc>
        <w:tc>
          <w:tcPr>
            <w:tcW w:type="dxa" w:w="3120"/>
          </w:tcPr>
          <w:p>
            <w:pPr>
              <w:spacing w:line="240" w:lineRule="auto"/>
            </w:pPr>
            <w:r>
              <w:rPr>
                <w:sz w:val="18"/>
              </w:rPr>
            </w:r>
            <w:r>
              <w:rPr>
                <w:sz w:val="18"/>
              </w:rPr>
              <w:t>Slope × 4 × 12, corroborating CP1's 257,297 (2.4)</w:t>
            </w:r>
          </w:p>
        </w:tc>
      </w:tr>
      <w:tr>
        <w:tc>
          <w:tcPr>
            <w:tcW w:type="dxa" w:w="3120"/>
          </w:tcPr>
          <w:p>
            <w:pPr>
              <w:spacing w:line="240" w:lineRule="auto"/>
            </w:pPr>
            <w:r>
              <w:rPr>
                <w:sz w:val="18"/>
              </w:rPr>
            </w:r>
            <w:r>
              <w:rPr>
                <w:sz w:val="18"/>
              </w:rPr>
              <w:t>6</w:t>
            </w:r>
          </w:p>
        </w:tc>
        <w:tc>
          <w:tcPr>
            <w:tcW w:type="dxa" w:w="3120"/>
          </w:tcPr>
          <w:p>
            <w:pPr>
              <w:spacing w:line="240" w:lineRule="auto"/>
            </w:pPr>
            <w:r>
              <w:rPr>
                <w:sz w:val="18"/>
              </w:rPr>
            </w:r>
            <w:r>
              <w:rPr>
                <w:b/>
                <w:sz w:val="18"/>
              </w:rPr>
              <w:t>The seasonal forecast did not beat a flat average</w:t>
            </w:r>
          </w:p>
        </w:tc>
        <w:tc>
          <w:tcPr>
            <w:tcW w:type="dxa" w:w="3120"/>
          </w:tcPr>
          <w:p>
            <w:pPr>
              <w:spacing w:line="240" w:lineRule="auto"/>
            </w:pPr>
            <w:r>
              <w:rPr>
                <w:sz w:val="18"/>
              </w:rPr>
            </w:r>
            <w:r>
              <w:rPr>
                <w:sz w:val="18"/>
              </w:rPr>
              <w:t>MAE 22.7% vs 14.9% over two holdout months (2.5)</w:t>
            </w:r>
          </w:p>
        </w:tc>
      </w:tr>
    </w:tbl>
    <w:p>
      <w:pPr>
        <w:spacing w:after="200" w:line="240" w:lineRule="auto"/>
        <w:jc w:val="center"/>
      </w:pPr>
      <w:r>
        <w:rPr>
          <w:i/>
          <w:color w:val="7B8994"/>
          <w:sz w:val="20"/>
        </w:rPr>
        <w:t>Table 12. 9. The six findings</w:t>
      </w:r>
    </w:p>
    <w:p>
      <w:r>
        <w:t xml:space="preserve">Findings 1 and 5 both </w:t>
      </w:r>
      <w:r>
        <w:rPr>
          <w:b/>
        </w:rPr>
        <w:t>confirm Checkpoint 1 by a different route</w:t>
      </w:r>
      <w:r>
        <w:t xml:space="preserve">, which is the strongest thing this checkpoint does. Findings 2, 4 and 6 are all </w:t>
      </w:r>
      <w:r>
        <w:rPr>
          <w:i/>
        </w:rPr>
        <w:t>negative</w:t>
      </w:r>
      <w:r>
        <w:t xml:space="preserve"> results — things that turned out not to be true — and they are the ones that demonstrate actual analysis rather than confirmation.</w:t>
      </w:r>
    </w:p>
    <w:p>
      <w:pPr>
        <w:pStyle w:val="Heading3"/>
      </w:pPr>
      <w:r>
        <w:t>Where this points for Checkpoint 3</w:t>
      </w:r>
    </w:p>
    <w:p>
      <w:r>
        <w:t xml:space="preserve">Build the dashboard around </w:t>
      </w:r>
      <w:r>
        <w:rPr>
          <w:b/>
        </w:rPr>
        <w:t>order count</w:t>
      </w:r>
      <w:r>
        <w:t xml:space="preserve"> as the primary KPI rather than revenue, since it is the leading indicator and the actionable one. Segment on </w:t>
      </w:r>
      <w:r>
        <w:rPr>
          <w:b/>
        </w:rPr>
        <w:t>margin</w:t>
      </w:r>
      <w:r>
        <w:t xml:space="preserve"> rather than revenue, given how weakly the two are related.</w:t>
      </w:r>
    </w:p>
    <w:p>
      <w:r>
        <w:br w:type="page"/>
      </w:r>
    </w:p>
    <w:p>
      <w:pPr>
        <w:pStyle w:val="Heading2"/>
      </w:pPr>
      <w:r>
        <w:t>10. Likely defense questions</w:t>
      </w:r>
    </w:p>
    <w:p>
      <w:r>
        <w:rPr>
          <w:b/>
        </w:rPr>
        <w:t>What does R² = 0.85 actually mean?</w:t>
      </w:r>
      <w:r>
        <w:t xml:space="preserve"> That 85% of the month-to-month variation in revenue moves together with order count. The remaining 15% is product mix, seasonality and noise. It is </w:t>
      </w:r>
      <w:r>
        <w:rPr>
          <w:i/>
        </w:rPr>
        <w:t>not</w:t>
      </w:r>
      <w:r>
        <w:t xml:space="preserve"> a statement that order count causes 85% of revenue.</w:t>
      </w:r>
    </w:p>
    <w:p>
      <w:r>
        <w:rPr>
          <w:b/>
        </w:rPr>
        <w:t>Your p-value is 1.98 × 10⁻²⁴. What is the hypothesis being tested?</w:t>
      </w:r>
      <w:r>
        <w:t xml:space="preserve"> The null hypothesis that the true slope is zero — that order count tells us nothing about revenue. With t = 17.75 on 55 degrees of freedom, the probability of seeing a slope this large if the null were true is about 2 in 10²⁴, so we reject the null.</w:t>
      </w:r>
    </w:p>
    <w:p>
      <w:r>
        <w:rPr>
          <w:b/>
        </w:rPr>
        <w:t>Why is your intercept negative? Revenue cannot be negative.</w:t>
      </w:r>
      <w:r>
        <w:t xml:space="preserve"> Correct, and that is why the intercept is not a business quantity. It is where the fitted line crosses zero orders, which is far outside the observed range of 9 to 45 orders per month. It is a mathematical artefact of fitting a line.</w:t>
      </w:r>
    </w:p>
    <w:p>
      <w:r>
        <w:rPr>
          <w:b/>
        </w:rPr>
        <w:t>How do you know the regression is not just curve-fitting?</w:t>
      </w:r>
      <w:r>
        <w:t xml:space="preserve"> The slope came out at 5,224 and the average order value in the data is 5,178 — within 1%. Those are two independent routes to the same number, which is what should happen if revenue really is order count times a stable order size.</w:t>
      </w:r>
    </w:p>
    <w:p>
      <w:r>
        <w:rPr>
          <w:b/>
        </w:rPr>
        <w:t>Pair 2 has r = 0.045. Why include a correlation that shows nothing?</w:t>
      </w:r>
      <w:r>
        <w:t xml:space="preserve"> Because "nothing" is the finding. The intuitive assumption is that selling more units earns more revenue. Here it is false — unit prices vary so much across the twelve sub-categories that volume carries no information about value. That directly rules out a units-based sales target.</w:t>
      </w:r>
    </w:p>
    <w:p>
      <w:r>
        <w:rPr>
          <w:b/>
        </w:rPr>
        <w:t>Why did you not project a trend line for the forecast?</w:t>
      </w:r>
      <w:r>
        <w:t xml:space="preserve"> Because the trend test does not support one: R² = 0.008 and p = 0.515, so the apparent slope is indistinguishable from noise. The series is growth followed by a plateau, and a single straight line describes neither. Projecting it would be the easiest way to be badly wrong.</w:t>
      </w:r>
    </w:p>
    <w:p>
      <w:r>
        <w:rPr>
          <w:b/>
        </w:rPr>
        <w:t>Your forecast lost to a naive average. Is that not a failure?</w:t>
      </w:r>
      <w:r>
        <w:t xml:space="preserve"> It is an honest result. Over the only two complete holdout months, the seasonal model had a mean absolute error of 22.7% against the flat model's 14.9% — mostly because January 2025 came in far above its historical index. Two months cannot validate or invalidate a method, which is exactly what we say. Reporting a check the model failed is more useful than presenting an unvalidated forecast.</w:t>
      </w:r>
    </w:p>
    <w:p>
      <w:r>
        <w:rPr>
          <w:b/>
        </w:rPr>
        <w:t>Why 57 months rather than all 61?</w:t>
      </w:r>
      <w:r>
        <w:t xml:space="preserve"> Both ends of the file are partial. March 2020 has 10 days and March 2025 has 15, and a part-month is not a valid monthly observation — leaving March 2020 in pulled that month's seasonal index down 15%. January and February 2025 are complete months but sit in a partial year, so they are held back as the forecast check.</w:t>
      </w:r>
    </w:p>
    <w:p>
      <w:r>
        <w:rPr>
          <w:b/>
        </w:rPr>
        <w:t>Are these real PivotTables?</w:t>
      </w:r>
      <w:r>
        <w:t xml:space="preserve"> No — they are formula-driven cross-tabs using SUMIFS, COUNTIFS and AVERAGEIFS. They compute exactly what a PivotTable computes and recalculate live, and every cell is auditable, which a PivotTable's internals are not. Native PivotTables can be added in about two minutes each if required.</w:t>
      </w:r>
    </w:p>
    <w:p>
      <w:r>
        <w:rPr>
          <w:b/>
        </w:rPr>
        <w:t>Why does the histogram matter?</w:t>
      </w:r>
      <w:r>
        <w:t xml:space="preserve"> Because its shape is flat rather than bell-shaped. A normal distribution peaks in the middle; this one is roughly level across the whole range, which is what a random number generator produces. It is a fourth piece of evidence that the dataset is synthetic, and it means there is no typical order size to design around.</w:t>
      </w:r>
    </w:p>
    <w:p>
      <w:r>
        <w:br w:type="page"/>
      </w:r>
    </w:p>
    <w:p>
      <w:pPr>
        <w:pStyle w:val="Heading2"/>
      </w:pPr>
      <w:r>
        <w:t>11. Glossary</w:t>
      </w:r>
    </w:p>
    <w:p>
      <w:r>
        <w:rPr>
          <w:b/>
        </w:rPr>
        <w:t>Coefficient of variation</w:t>
      </w:r>
      <w:r>
        <w:t xml:space="preserve"> — standard deviation as a percentage of the mean, so spread can be compared across variables with different units.</w:t>
      </w:r>
    </w:p>
    <w:p>
      <w:r>
        <w:rPr>
          <w:b/>
        </w:rPr>
        <w:t>Correlation</w:t>
      </w:r>
      <w:r>
        <w:t xml:space="preserve"> — how strongly two variables move together, measured by r.</w:t>
      </w:r>
    </w:p>
    <w:p>
      <w:r>
        <w:rPr>
          <w:b/>
        </w:rPr>
        <w:t>Degrees of freedom</w:t>
      </w:r>
      <w:r>
        <w:t xml:space="preserve"> — n − 2 in simple regression, because two parameters (slope and intercept) are estimated from the data.</w:t>
      </w:r>
    </w:p>
    <w:p>
      <w:r>
        <w:rPr>
          <w:b/>
        </w:rPr>
        <w:t>Dependent variable (Y)</w:t>
      </w:r>
      <w:r>
        <w:t xml:space="preserve"> — the thing being predicted. </w:t>
      </w:r>
      <w:r>
        <w:rPr>
          <w:b/>
        </w:rPr>
        <w:t>Predictor (X)</w:t>
      </w:r>
      <w:r>
        <w:t xml:space="preserve"> — the thing predicting it.</w:t>
      </w:r>
    </w:p>
    <w:p>
      <w:r>
        <w:rPr>
          <w:b/>
        </w:rPr>
        <w:t>Holdout</w:t>
      </w:r>
      <w:r>
        <w:t xml:space="preserve"> — data deliberately withheld from the analysis so it can be used to test the model on values it has never seen.</w:t>
      </w:r>
    </w:p>
    <w:p>
      <w:r>
        <w:rPr>
          <w:b/>
        </w:rPr>
        <w:t>Mean absolute error (MAE)</w:t>
      </w:r>
      <w:r>
        <w:t xml:space="preserve"> — average size of the forecast errors, ignoring whether they are over or under.</w:t>
      </w:r>
    </w:p>
    <w:p>
      <w:r>
        <w:rPr>
          <w:b/>
        </w:rPr>
        <w:t>Null hypothesis</w:t>
      </w:r>
      <w:r>
        <w:t xml:space="preserve"> — the default assumption that there is no relationship. A significance test asks whether the data gives enough evidence to reject it.</w:t>
      </w:r>
    </w:p>
    <w:p>
      <w:r>
        <w:rPr>
          <w:b/>
        </w:rPr>
        <w:t>p-value</w:t>
      </w:r>
      <w:r>
        <w:t xml:space="preserve"> — the probability of seeing a result at least this extreme if the null hypothesis were true. Below 0.05 is conventionally "significant".</w:t>
      </w:r>
    </w:p>
    <w:p>
      <w:r>
        <w:rPr>
          <w:b/>
        </w:rPr>
        <w:t>Pearson r</w:t>
      </w:r>
      <w:r>
        <w:t xml:space="preserve"> — the linear correlation coefficient, from −1 to +1.</w:t>
      </w:r>
    </w:p>
    <w:p>
      <w:r>
        <w:rPr>
          <w:b/>
        </w:rPr>
        <w:t>R²</w:t>
      </w:r>
      <w:r>
        <w:t xml:space="preserve"> — the share of variation in Y explained by X. The square of r.</w:t>
      </w:r>
    </w:p>
    <w:p>
      <w:r>
        <w:rPr>
          <w:b/>
        </w:rPr>
        <w:t>Regression</w:t>
      </w:r>
      <w:r>
        <w:t xml:space="preserve"> — fitting a line Y = a + bX to describe how Y moves with X.</w:t>
      </w:r>
    </w:p>
    <w:p>
      <w:r>
        <w:rPr>
          <w:b/>
        </w:rPr>
        <w:t>Seasonal index</w:t>
      </w:r>
      <w:r>
        <w:t xml:space="preserve"> — a month's average value divided by the overall average month. 1.00 is average; 1.27 means 27% above.</w:t>
      </w:r>
    </w:p>
    <w:p>
      <w:r>
        <w:rPr>
          <w:b/>
        </w:rPr>
        <w:t>Skewness</w:t>
      </w:r>
      <w:r>
        <w:t xml:space="preserve"> — asymmetry of a distribution. Positive means a tail to the right, and the mean sits above the median.</w:t>
      </w:r>
    </w:p>
    <w:p>
      <w:r>
        <w:rPr>
          <w:b/>
        </w:rPr>
        <w:t>Standard error</w:t>
      </w:r>
      <w:r>
        <w:t xml:space="preserve"> — the uncertainty attached to an estimate.</w:t>
      </w:r>
    </w:p>
    <w:p>
      <w:r>
        <w:rPr>
          <w:b/>
        </w:rPr>
        <w:t>t statistic</w:t>
      </w:r>
      <w:r>
        <w:t xml:space="preserve"> — an estimate divided by its own standard error. Roughly 2 or more is conventionally significant.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Arial" w:hAnsi="Arial"/>
      <w:color w:val="1F29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b/>
      <w:bCs/>
      <w:color w:val="2F6F9F"/>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b/>
      <w:bCs/>
      <w:color w:val="1F2933"/>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