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8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per month rose </w:t>
      </w:r>
      <w:r>
        <w:rPr>
          <w:b/>
        </w:rPr>
        <w:t>30.9%</w:t>
      </w:r>
      <w:r>
        <w:t xml:space="preserve"> from 2020 to 2022 (92,934 → 121,648). It is quoted per month because the file starts on 22 March 2020, so 2020 holds only nine complete months; the raw annual totals would suggest 69.9%, which is an artefact of the short year.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100,207 per month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3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dates</w:t>
      </w:r>
      <w:r>
        <w:t>.</w:t>
      </w:r>
    </w:p>
    <w:p>
      <w:pPr>
        <w:pStyle w:val="Heading3"/>
      </w:pPr>
      <w:r>
        <w:t>Problem 4 — both ends of the series are partial</w:t>
      </w:r>
    </w:p>
    <w:p>
      <w:r>
        <w:t xml:space="preserve">The file runs </w:t>
      </w:r>
      <w:r>
        <w:rPr>
          <w:b/>
        </w:rPr>
        <w:t>22 March 2020 to 15 March 2025</w:t>
      </w:r>
      <w:r>
        <w:t xml:space="preserve">. Neither end is a whole period, and that creates </w:t>
      </w:r>
      <w:r>
        <w:rPr>
          <w:i/>
        </w:rPr>
        <w:t>three</w:t>
      </w:r>
      <w:r>
        <w:t xml:space="preserve">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the raw totals suggest 69.9% growth from 2020 to 2022, but on a like-for-like monthly basis it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just 10 days. Dropping a 10-day month into a monthly average pulls March's seasonal index down from 1.025 to 0.876 — a 15% distortion that would make an average month look weak.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dates</w:t>
      </w:r>
      <w:r>
        <w:t xml:space="preserve"> carries two flags: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is_complete_year</w:t>
      </w:r>
      <w:r>
        <w:t xml:space="preserve"> — 1 for 2020–2024, 0 for 2025.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is_complete_month</w:t>
      </w:r>
      <w:r>
        <w:t xml:space="preserve"> — 0 for March 2020 and March 2025, 1 elsewhere.</w:t>
      </w:r>
    </w:p>
    <w:p>
      <w:r>
        <w:t xml:space="preserve">The analysis window is therefore </w:t>
      </w:r>
      <w:r>
        <w:rPr>
          <w:b/>
        </w:rPr>
        <w:t>57 complete months, April 2020 to December 2024</w:t>
      </w:r>
      <w:r>
        <w:t xml:space="preserve">. Q3 additionally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2020 is visible in the table rather than hidden inside a total. These are the most important guards in the whole project: without them several conclusions about the trend would be wrong, and the error would be invisible.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</w:t>
      </w:r>
    </w:p>
    <w:p>
      <w:pPr>
        <w:ind w:left="432"/>
      </w:pPr>
      <w:r>
        <w:rPr>
          <w:i/>
        </w:rPr>
        <w:t>are generated, so there is no data subject and no personal data. The reason is</w:t>
      </w:r>
    </w:p>
    <w:p>
      <w:pPr>
        <w:ind w:left="432"/>
      </w:pP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</w:t>
      </w:r>
    </w:p>
    <w:p>
      <w:pPr>
        <w:ind w:left="432"/>
      </w:pPr>
      <w:r>
        <w:rPr>
          <w:i/>
        </w:rPr>
        <w:t>availability is not consent, and RA 10173 applies to personal data regardless</w:t>
      </w:r>
    </w:p>
    <w:p>
      <w:pPr>
        <w:ind w:left="432"/>
      </w:pPr>
      <w:r>
        <w:rPr>
          <w:i/>
        </w:rPr>
        <w:t>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8 tables</w:t>
      </w:r>
      <w:r>
        <w:t xml:space="preserve"> — one fact and seven dimensions.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states ──&lt; cities ──&lt; customers ──┐</w:t>
        <w:br/>
        <w:t xml:space="preserve">                                          │</w:t>
        <w:br/>
        <w:t>categories ──&lt; sub_categories ────────┼──&lt; sales</w:t>
        <w:br/>
        <w:t xml:space="preserve">                                          │</w:t>
        <w:br/>
        <w:t>payment_modes ─────────────────────────┤</w:t>
        <w:br/>
        <w:t xml:space="preserve">                                          │</w:t>
        <w:br/>
        <w:t>dates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t>The tables are named plainly (</w:t>
      </w:r>
      <w:r>
        <w:rPr>
          <w:rFonts w:ascii="Consolas" w:hAnsi="Consolas"/>
          <w:color w:val="2F6F9F"/>
          <w:sz w:val="18"/>
        </w:rPr>
        <w:t>sales</w:t>
      </w:r>
      <w:r>
        <w:t xml:space="preserve">, </w:t>
      </w:r>
      <w:r>
        <w:rPr>
          <w:rFonts w:ascii="Consolas" w:hAnsi="Consolas"/>
          <w:color w:val="2F6F9F"/>
          <w:sz w:val="18"/>
        </w:rPr>
        <w:t>customers</w:t>
      </w:r>
      <w:r>
        <w:t xml:space="preserve">, </w:t>
      </w:r>
      <w:r>
        <w:rPr>
          <w:rFonts w:ascii="Consolas" w:hAnsi="Consolas"/>
          <w:color w:val="2F6F9F"/>
          <w:sz w:val="18"/>
        </w:rPr>
        <w:t>dates</w:t>
      </w:r>
      <w:r>
        <w:t xml:space="preserve">) rather than with the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 some warehouses use, but the roles are unchanged and you should be able to name them: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Tables here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Its numbers add up meaningfully. </w:t>
            </w:r>
            <w:r>
              <w:rPr>
                <w:rFonts w:ascii="Consolas" w:hAnsi="Consolas"/>
                <w:color w:val="2F6F9F"/>
                <w:sz w:val="18"/>
              </w:rPr>
              <w:t>SUM(amount)</w:t>
            </w:r>
            <w:r>
              <w:rPr>
                <w:sz w:val="18"/>
              </w:rPr>
              <w:t xml:space="preserve"> is total revenue.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They describe and label. Summing </w:t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 would be nonsense.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shape: a star schema</w:t>
      </w:r>
    </w:p>
    <w:p>
      <w:r>
        <w:t xml:space="preserve">If you are asked which is the fact table, the answer is </w:t>
      </w:r>
      <w:r>
        <w:rPr>
          <w:rFonts w:ascii="Consolas" w:hAnsi="Consolas"/>
          <w:color w:val="2F6F9F"/>
          <w:sz w:val="18"/>
        </w:rPr>
        <w:t>sales</w:t>
      </w:r>
      <w:r>
        <w:t>, and the reason is the grain and the additive measures below - not the name.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eight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The eight tables</w:t>
      </w:r>
    </w:p>
    <w:p>
      <w:r>
        <w:rPr>
          <w:rFonts w:ascii="Consolas" w:hAnsi="Consolas"/>
          <w:color w:val="2F6F9F"/>
          <w:sz w:val="18"/>
        </w:rPr>
        <w:t>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states → cities → customers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categories → sub_categories</w:t>
      </w:r>
      <w:r>
        <w:t>.</w:t>
      </w:r>
    </w:p>
    <w:p>
      <w:pPr>
        <w:pStyle w:val="Heading3"/>
      </w:pPr>
      <w:r>
        <w:t>Why `dates`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The completeness flags need somewhere to live.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are properties of the calendar, so they belong in the calendar table rather than being re-derived in every query.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</w:t>
      </w:r>
    </w:p>
    <w:p>
      <w:pPr>
        <w:ind w:left="432"/>
      </w:pPr>
      <w:r>
        <w:rPr>
          <w:i/>
        </w:rPr>
        <w:t>must be rewritten in your own words before submission — Section 3.2 of the</w:t>
      </w:r>
    </w:p>
    <w:p>
      <w:pPr>
        <w:ind w:left="432"/>
      </w:pPr>
      <w:r>
        <w:rPr>
          <w:i/>
        </w:rPr>
        <w:t xml:space="preserve">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</w:t>
      </w:r>
    </w:p>
    <w:p>
      <w:pPr>
        <w:ind w:left="432"/>
      </w:pP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sales AS f</w:t>
        <w:br/>
        <w:t>JOIN dates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dates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Q3 — annual sales trend (the headline query)</w:t>
      </w:r>
    </w:p>
    <w:p>
      <w:r>
        <w:rPr>
          <w:b/>
        </w:rPr>
        <w:t>What it says.</w:t>
      </w:r>
      <w:r>
        <w:t xml:space="preserve"> Growth stopped in 2022.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first: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The decisive detail is then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sales AS f2</w:t>
        <w:br/>
        <w:t xml:space="preserve">           JOIN dates AS d2 ON d2.order_date = f2.order_date</w:t>
        <w:br/>
        <w:t xml:space="preserve">           WHERE d2.is_complete_year = 1</w:t>
        <w:br/>
        <w:t xml:space="preserve">       ), 2) AS pct_of_total_revenue</w:t>
        <w:br/>
        <w:t>FROM sales AS f</w:t>
        <w:br/>
        <w:t>JOIN dates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AS f</w:t>
        <w:br/>
        <w:t>JOIN dates         AS d ON d.order_date      = f.order_date</w:t>
        <w:br/>
        <w:t>JOIN sub_categories AS s ON s.sub_category_id = f.sub_category_id</w:t>
        <w:br/>
        <w:t>JOIN categories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categories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sales → sub_categories → categories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  AS f</w:t>
        <w:br/>
        <w:t>JOIN customers AS cu ON cu.customer_id = f.customer_id</w:t>
        <w:br/>
        <w:t>JOIN cities     AS ci ON ci.city_id     = cu.city_id</w:t>
        <w:br/>
        <w:t>JOIN states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32.2%).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30.79%, and Q4 is only its second-best quarter. Planning Electronics stock against the blended company curve therefore over-stocks it in Q4 and under-stocks it in Q2, every single year. The recommendation is per-category seasonal curves. Q1 is weakest for all three (17–20%),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 per month,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per month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Which is the fact table, and how do you know?</w:t>
      </w:r>
      <w:r>
        <w:t xml:space="preserve"> </w:t>
      </w:r>
      <w:r>
        <w:rPr>
          <w:rFonts w:ascii="Consolas" w:hAnsi="Consolas"/>
          <w:color w:val="2F6F9F"/>
          <w:sz w:val="18"/>
        </w:rPr>
        <w:t>sales</w:t>
      </w:r>
      <w:r>
        <w:t xml:space="preserve">. Two tests. First, the grain: one row is one product line on one order. Second, the measures are additive at that grain — </w:t>
      </w:r>
      <w:r>
        <w:rPr>
          <w:rFonts w:ascii="Consolas" w:hAnsi="Consolas"/>
          <w:color w:val="2F6F9F"/>
          <w:sz w:val="18"/>
        </w:rPr>
        <w:t>SUM(amount)</w:t>
      </w:r>
      <w:r>
        <w:t xml:space="preserve">, </w:t>
      </w:r>
      <w:r>
        <w:rPr>
          <w:rFonts w:ascii="Consolas" w:hAnsi="Consolas"/>
          <w:color w:val="2F6F9F"/>
          <w:sz w:val="18"/>
        </w:rPr>
        <w:t>SUM(profit)</w:t>
      </w:r>
      <w:r>
        <w:t xml:space="preserve"> and </w:t>
      </w:r>
      <w:r>
        <w:rPr>
          <w:rFonts w:ascii="Consolas" w:hAnsi="Consolas"/>
          <w:color w:val="2F6F9F"/>
          <w:sz w:val="18"/>
        </w:rPr>
        <w:t>SUM(quantity)</w:t>
      </w:r>
      <w:r>
        <w:t xml:space="preserve"> all mean something. The other seven tables describe and label rather than measure; summing a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 would be meaningless. The tables are named plainly rather than with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prefixes, so the role comes from the design, not the name.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`customers`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2025, and why is 2020 shown per month?</w:t>
      </w:r>
      <w:r>
        <w:t xml:space="preserve"> The file stops on 15 March 2025 — 44 rows — so including 2025 shows a fake ~80% collapse. It also </w:t>
      </w:r>
      <w:r>
        <w:rPr>
          <w:i/>
        </w:rPr>
        <w:t>starts</w:t>
      </w:r>
      <w:r>
        <w:t xml:space="preserve"> on 22 March 2020, so 2020 holds only nine complete months: comparing its part-year total against a full 2021 would suggest 69.9% growth when the like-for-like figure is 30.9%.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fence off both ends, and Q3 reports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comparison is fair on its face.</w:t>
      </w:r>
    </w:p>
    <w:p>
      <w:r>
        <w:rPr>
          <w:b/>
        </w:rPr>
        <w:t>Why does the schema have backticks around `year_month`?</w:t>
      </w:r>
      <w:r>
        <w:t xml:space="preserve"> Because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 xml:space="preserve">. Writing </w:t>
      </w:r>
      <w:r>
        <w:rPr>
          <w:rFonts w:ascii="Consolas" w:hAnsi="Consolas"/>
          <w:color w:val="2F6F9F"/>
          <w:sz w:val="18"/>
        </w:rPr>
        <w:t>SELECT year_month FROM dates</w:t>
      </w:r>
      <w:r>
        <w:t xml:space="preserve"> is a syntax error. Two things fix it: qualify it with the table name (</w:t>
      </w:r>
      <w:r>
        <w:rPr>
          <w:rFonts w:ascii="Consolas" w:hAnsi="Consolas"/>
          <w:color w:val="2F6F9F"/>
          <w:sz w:val="18"/>
        </w:rPr>
        <w:t>dates.year_month</w:t>
      </w:r>
      <w:r>
        <w:t>) or wrap it in backticks (`</w:t>
      </w:r>
      <w:r>
        <w:rPr>
          <w:rFonts w:ascii="Consolas" w:hAnsi="Consolas"/>
          <w:color w:val="2F6F9F"/>
          <w:sz w:val="18"/>
        </w:rPr>
        <w:t xml:space="preserve"> </w:t>
      </w:r>
      <w:r>
        <w:t>year_month</w:t>
      </w:r>
      <w:r>
        <w:rPr>
          <w:rFonts w:ascii="Consolas" w:hAnsi="Consolas"/>
          <w:color w:val="2F6F9F"/>
          <w:sz w:val="18"/>
        </w:rPr>
        <w:t xml:space="preserve"> </w:t>
      </w:r>
      <w:r>
        <w:t>`). Every query in this project does one or the other, which is why they all run. This is worth knowing generally: reserved words are the commonest reason a perfectly-sensible column name refuses to work.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entirely, for anything compared year on year.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 of the file (March 2020, March 2025), so a 10-day month never enters a monthly average. Together they define the 57-month analysis window, April 2020 to December 2024.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 Here </w:t>
      </w:r>
      <w:r>
        <w:rPr>
          <w:rFonts w:ascii="Consolas" w:hAnsi="Consolas"/>
          <w:color w:val="2F6F9F"/>
          <w:sz w:val="18"/>
        </w:rPr>
        <w:t>sales</w:t>
      </w:r>
      <w:r>
        <w:t xml:space="preserve"> is the fact table and the other seven are dimensions, regardless of naming.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