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quickly out of 2020 and then stopped. Revenue rose 69.9% between 2020 and 2022, from 859,401 to 1,459,775, but has fallen in each of the two years since, ending 2024 at 1,202,478 — 17.6% below the 2022 peak.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5.93 million.</w:t>
      </w:r>
    </w:p>
    <w:p>
      <w:pPr>
        <w:pStyle w:val="ListBullet"/>
      </w:pPr>
      <w:r>
        <w:rPr>
          <w:b/>
        </w:rPr>
        <w:t>Inventory efficiency.</w:t>
      </w:r>
      <w:r>
        <w:t xml:space="preserve"> Demand is heavily concentrated: October and December alone carry 21.7% of annual revenue, and Q4 as a whole carries 29.3%.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The 2025 window is incomplete.</w:t>
      </w:r>
      <w:r>
        <w:t xml:space="preserve"> Data stops on 15 March 2025, giving only 44 rows for that year. Read naively this looks like an 80% collapse in demand. It is a file cut-off, not a business event.</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dim_date</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dim_date.is_complete_year</w:t>
      </w:r>
      <w:r>
        <w:t xml:space="preserve"> so every trend query can exclude the partial 2025 window explicitly.</w:t>
      </w:r>
    </w:p>
    <w:p>
      <w:pPr>
        <w:pStyle w:val="ListNumber"/>
      </w:pPr>
      <w:r>
        <w:t>Split the flat file into six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dim_state ──&lt; dim_city ──&lt; dim_customer ──┐</w:t>
        <w:br/>
        <w:t xml:space="preserve">                                          │</w:t>
        <w:br/>
        <w:t>dim_category ──&lt; dim_sub_category ────────┼──&lt; fact_sales</w:t>
        <w:br/>
        <w:t xml:space="preserve">                                          │</w:t>
        <w:br/>
        <w:t>dim_payment_mode ─────────────────────────┤</w:t>
        <w:br/>
        <w:t xml:space="preserve">                                          │</w:t>
        <w:br/>
        <w:t>dim_date ─────────────────────────────────┘</w:t>
      </w:r>
    </w:p>
    <w:p>
      <w:r>
        <w:rPr>
          <w:b/>
        </w:rPr>
        <w:t>Star schema, 7 tables.</w:t>
      </w:r>
      <w:r>
        <w:t xml:space="preserve"> </w:t>
      </w:r>
      <w:r>
        <w:rPr>
          <w:rFonts w:ascii="Consolas" w:hAnsi="Consolas"/>
          <w:color w:val="2F6F9F"/>
          <w:sz w:val="18"/>
        </w:rPr>
        <w:t>fact_sales</w:t>
      </w:r>
      <w:r>
        <w:t xml:space="preserve"> sits at the centre at a grain of one transaction line, with six dimensions hanging off 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dim_state</w:t>
            </w:r>
          </w:p>
        </w:tc>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dim_category</w:t>
            </w:r>
          </w:p>
        </w:tc>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dim_payment_mode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dim_date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pPr>
        <w:spacing w:before="80" w:after="160"/>
        <w:ind w:left="360"/>
      </w:pPr>
      <w:r>
        <w:rPr>
          <w:rFonts w:ascii="Consolas" w:hAnsi="Consolas"/>
          <w:color w:val="333D47"/>
          <w:sz w:val="17"/>
        </w:rPr>
        <w:t>mysql -u root -p &lt; sql/01_schema_mysql.sql</w:t>
        <w:br/>
        <w:t>mysql -u root -p sales_trend &lt; sql/03_insert_data.sql</w:t>
        <w:br/>
        <w:t>mysql -u root -p sales_trend &lt; sql/04_queries.sql</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dim_state</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dim_city</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dim_category</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dim_sub_category</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dim_payment_mode</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dim_customer</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dim_date</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fact_sales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rPr>
          <w:rFonts w:ascii="Consolas" w:hAnsi="Consolas"/>
          <w:color w:val="2F6F9F"/>
          <w:sz w:val="18"/>
        </w:rPr>
        <w:t>fact_sales</w:t>
      </w:r>
      <w:r>
        <w:t xml:space="preserve"> holds exactly the 1,194 rows of the raw file — no transaction was lost or invented in normalisation. </w:t>
      </w:r>
      <w:r>
        <w:rPr>
          <w:rFonts w:ascii="Consolas" w:hAnsi="Consolas"/>
          <w:color w:val="2F6F9F"/>
          <w:sz w:val="18"/>
        </w:rPr>
        <w:t>dim_customer</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fact_sales;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fact_sales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b/>
              </w:rPr>
              <w:t>year</w:t>
            </w:r>
          </w:p>
        </w:tc>
        <w:tc>
          <w:tcPr>
            <w:tcW w:type="dxa" w:w="1337"/>
          </w:tcPr>
          <w:p>
            <w:r>
              <w:rPr>
                <w:b/>
              </w:rPr>
            </w:r>
            <w:r>
              <w:rPr>
                <w:b/>
              </w:rPr>
              <w:t>lines</w:t>
            </w:r>
          </w:p>
        </w:tc>
        <w:tc>
          <w:tcPr>
            <w:tcW w:type="dxa" w:w="1337"/>
          </w:tcPr>
          <w:p>
            <w:r>
              <w:rPr>
                <w:b/>
              </w:rPr>
            </w:r>
            <w:r>
              <w:rPr>
                <w:b/>
              </w:rPr>
              <w:t>units</w:t>
            </w:r>
          </w:p>
        </w:tc>
        <w:tc>
          <w:tcPr>
            <w:tcW w:type="dxa" w:w="1337"/>
          </w:tcPr>
          <w:p>
            <w:r>
              <w:rPr>
                <w:b/>
              </w:rPr>
            </w:r>
            <w:r>
              <w:rPr>
                <w:b/>
              </w:rPr>
              <w:t>revenue</w:t>
            </w:r>
          </w:p>
        </w:tc>
        <w:tc>
          <w:tcPr>
            <w:tcW w:type="dxa" w:w="1337"/>
          </w:tcPr>
          <w:p>
            <w:r>
              <w:rPr>
                <w:b/>
              </w:rPr>
            </w:r>
            <w:r>
              <w:rPr>
                <w:b/>
              </w:rPr>
              <w:t>profit</w:t>
            </w:r>
          </w:p>
        </w:tc>
        <w:tc>
          <w:tcPr>
            <w:tcW w:type="dxa" w:w="1337"/>
          </w:tcPr>
          <w:p>
            <w:r>
              <w:rPr>
                <w:b/>
              </w:rPr>
            </w:r>
            <w:r>
              <w:rPr>
                <w:b/>
              </w:rPr>
              <w:t>avg_line_value</w:t>
            </w:r>
          </w:p>
        </w:tc>
        <w:tc>
          <w:tcPr>
            <w:tcW w:type="dxa" w:w="1337"/>
          </w:tcPr>
          <w:p>
            <w:r>
              <w:rPr>
                <w:b/>
              </w:rPr>
            </w:r>
            <w:r>
              <w:rPr>
                <w:b/>
              </w:rPr>
              <w:t>margin_pct</w:t>
            </w:r>
          </w:p>
        </w:tc>
      </w:tr>
      <w:tr>
        <w:tc>
          <w:tcPr>
            <w:tcW w:type="dxa" w:w="1337"/>
          </w:tcPr>
          <w:p>
            <w:pPr>
              <w:spacing w:line="240" w:lineRule="auto"/>
            </w:pPr>
            <w:r>
              <w:rPr>
                <w:sz w:val="18"/>
              </w:rPr>
            </w:r>
            <w:r>
              <w:rPr>
                <w:sz w:val="18"/>
              </w:rPr>
              <w:t>2020</w:t>
            </w:r>
          </w:p>
        </w:tc>
        <w:tc>
          <w:tcPr>
            <w:tcW w:type="dxa" w:w="1337"/>
          </w:tcPr>
          <w:p>
            <w:pPr>
              <w:spacing w:line="240" w:lineRule="auto"/>
            </w:pPr>
            <w:r>
              <w:rPr>
                <w:sz w:val="18"/>
              </w:rPr>
            </w:r>
            <w:r>
              <w:rPr>
                <w:sz w:val="18"/>
              </w:rPr>
              <w:t>171</w:t>
            </w:r>
          </w:p>
        </w:tc>
        <w:tc>
          <w:tcPr>
            <w:tcW w:type="dxa" w:w="1337"/>
          </w:tcPr>
          <w:p>
            <w:pPr>
              <w:spacing w:line="240" w:lineRule="auto"/>
            </w:pPr>
            <w:r>
              <w:rPr>
                <w:sz w:val="18"/>
              </w:rPr>
            </w:r>
            <w:r>
              <w:rPr>
                <w:sz w:val="18"/>
              </w:rPr>
              <w:t>1,695</w:t>
            </w:r>
          </w:p>
        </w:tc>
        <w:tc>
          <w:tcPr>
            <w:tcW w:type="dxa" w:w="1337"/>
          </w:tcPr>
          <w:p>
            <w:pPr>
              <w:spacing w:line="240" w:lineRule="auto"/>
            </w:pPr>
            <w:r>
              <w:rPr>
                <w:sz w:val="18"/>
              </w:rPr>
            </w:r>
            <w:r>
              <w:rPr>
                <w:sz w:val="18"/>
              </w:rPr>
              <w:t>859,401</w:t>
            </w:r>
          </w:p>
        </w:tc>
        <w:tc>
          <w:tcPr>
            <w:tcW w:type="dxa" w:w="1337"/>
          </w:tcPr>
          <w:p>
            <w:pPr>
              <w:spacing w:line="240" w:lineRule="auto"/>
            </w:pPr>
            <w:r>
              <w:rPr>
                <w:sz w:val="18"/>
              </w:rPr>
            </w:r>
            <w:r>
              <w:rPr>
                <w:sz w:val="18"/>
              </w:rPr>
              <w:t>224,103</w:t>
            </w:r>
          </w:p>
        </w:tc>
        <w:tc>
          <w:tcPr>
            <w:tcW w:type="dxa" w:w="1337"/>
          </w:tcPr>
          <w:p>
            <w:pPr>
              <w:spacing w:line="240" w:lineRule="auto"/>
            </w:pPr>
            <w:r>
              <w:rPr>
                <w:sz w:val="18"/>
              </w:rPr>
            </w:r>
            <w:r>
              <w:rPr>
                <w:sz w:val="18"/>
              </w:rPr>
              <w:t>5,025.74</w:t>
            </w:r>
          </w:p>
        </w:tc>
        <w:tc>
          <w:tcPr>
            <w:tcW w:type="dxa" w:w="1337"/>
          </w:tcPr>
          <w:p>
            <w:pPr>
              <w:spacing w:line="240" w:lineRule="auto"/>
            </w:pPr>
            <w:r>
              <w:rPr>
                <w:sz w:val="18"/>
              </w:rPr>
            </w:r>
            <w:r>
              <w:rPr>
                <w:sz w:val="18"/>
              </w:rPr>
              <w:t>26.08</w:t>
            </w:r>
          </w:p>
        </w:tc>
      </w:tr>
      <w:tr>
        <w:tc>
          <w:tcPr>
            <w:tcW w:type="dxa" w:w="1337"/>
          </w:tcPr>
          <w:p>
            <w:pPr>
              <w:spacing w:line="240" w:lineRule="auto"/>
            </w:pPr>
            <w:r>
              <w:rPr>
                <w:sz w:val="18"/>
              </w:rPr>
            </w:r>
            <w:r>
              <w:rPr>
                <w:sz w:val="18"/>
              </w:rPr>
              <w:t>2021</w:t>
            </w:r>
          </w:p>
        </w:tc>
        <w:tc>
          <w:tcPr>
            <w:tcW w:type="dxa" w:w="1337"/>
          </w:tcPr>
          <w:p>
            <w:pPr>
              <w:spacing w:line="240" w:lineRule="auto"/>
            </w:pPr>
            <w:r>
              <w:rPr>
                <w:sz w:val="18"/>
              </w:rPr>
            </w:r>
            <w:r>
              <w:rPr>
                <w:sz w:val="18"/>
              </w:rPr>
              <w:t>217</w:t>
            </w:r>
          </w:p>
        </w:tc>
        <w:tc>
          <w:tcPr>
            <w:tcW w:type="dxa" w:w="1337"/>
          </w:tcPr>
          <w:p>
            <w:pPr>
              <w:spacing w:line="240" w:lineRule="auto"/>
            </w:pPr>
            <w:r>
              <w:rPr>
                <w:sz w:val="18"/>
              </w:rPr>
            </w:r>
            <w:r>
              <w:rPr>
                <w:sz w:val="18"/>
              </w:rPr>
              <w:t>2,358</w:t>
            </w:r>
          </w:p>
        </w:tc>
        <w:tc>
          <w:tcPr>
            <w:tcW w:type="dxa" w:w="1337"/>
          </w:tcPr>
          <w:p>
            <w:pPr>
              <w:spacing w:line="240" w:lineRule="auto"/>
            </w:pPr>
            <w:r>
              <w:rPr>
                <w:sz w:val="18"/>
              </w:rPr>
            </w:r>
            <w:r>
              <w:rPr>
                <w:sz w:val="18"/>
              </w:rPr>
              <w:t>1,181,446</w:t>
            </w:r>
          </w:p>
        </w:tc>
        <w:tc>
          <w:tcPr>
            <w:tcW w:type="dxa" w:w="1337"/>
          </w:tcPr>
          <w:p>
            <w:pPr>
              <w:spacing w:line="240" w:lineRule="auto"/>
            </w:pPr>
            <w:r>
              <w:rPr>
                <w:sz w:val="18"/>
              </w:rPr>
            </w:r>
            <w:r>
              <w:rPr>
                <w:sz w:val="18"/>
              </w:rPr>
              <w:t>283,231</w:t>
            </w:r>
          </w:p>
        </w:tc>
        <w:tc>
          <w:tcPr>
            <w:tcW w:type="dxa" w:w="1337"/>
          </w:tcPr>
          <w:p>
            <w:pPr>
              <w:spacing w:line="240" w:lineRule="auto"/>
            </w:pPr>
            <w:r>
              <w:rPr>
                <w:sz w:val="18"/>
              </w:rPr>
            </w:r>
            <w:r>
              <w:rPr>
                <w:sz w:val="18"/>
              </w:rPr>
              <w:t>5,444.45</w:t>
            </w:r>
          </w:p>
        </w:tc>
        <w:tc>
          <w:tcPr>
            <w:tcW w:type="dxa" w:w="1337"/>
          </w:tcPr>
          <w:p>
            <w:pPr>
              <w:spacing w:line="240" w:lineRule="auto"/>
            </w:pPr>
            <w:r>
              <w:rPr>
                <w:sz w:val="18"/>
              </w:rPr>
            </w:r>
            <w:r>
              <w:rPr>
                <w:sz w:val="18"/>
              </w:rPr>
              <w:t>23.97</w:t>
            </w:r>
          </w:p>
        </w:tc>
      </w:tr>
      <w:tr>
        <w:tc>
          <w:tcPr>
            <w:tcW w:type="dxa" w:w="1337"/>
          </w:tcPr>
          <w:p>
            <w:pPr>
              <w:spacing w:line="240" w:lineRule="auto"/>
            </w:pPr>
            <w:r>
              <w:rPr>
                <w:sz w:val="18"/>
              </w:rPr>
            </w:r>
            <w:r>
              <w:rPr>
                <w:sz w:val="18"/>
              </w:rPr>
              <w:t>2022</w:t>
            </w:r>
          </w:p>
        </w:tc>
        <w:tc>
          <w:tcPr>
            <w:tcW w:type="dxa" w:w="1337"/>
          </w:tcPr>
          <w:p>
            <w:pPr>
              <w:spacing w:line="240" w:lineRule="auto"/>
            </w:pPr>
            <w:r>
              <w:rPr>
                <w:sz w:val="18"/>
              </w:rPr>
            </w:r>
            <w:r>
              <w:rPr>
                <w:sz w:val="18"/>
              </w:rPr>
              <w:t>288</w:t>
            </w:r>
          </w:p>
        </w:tc>
        <w:tc>
          <w:tcPr>
            <w:tcW w:type="dxa" w:w="1337"/>
          </w:tcPr>
          <w:p>
            <w:pPr>
              <w:spacing w:line="240" w:lineRule="auto"/>
            </w:pPr>
            <w:r>
              <w:rPr>
                <w:sz w:val="18"/>
              </w:rPr>
            </w:r>
            <w:r>
              <w:rPr>
                <w:sz w:val="18"/>
              </w:rPr>
              <w:t>3,234</w:t>
            </w:r>
          </w:p>
        </w:tc>
        <w:tc>
          <w:tcPr>
            <w:tcW w:type="dxa" w:w="1337"/>
          </w:tcPr>
          <w:p>
            <w:pPr>
              <w:spacing w:line="240" w:lineRule="auto"/>
            </w:pPr>
            <w:r>
              <w:rPr>
                <w:sz w:val="18"/>
              </w:rPr>
            </w:r>
            <w:r>
              <w:rPr>
                <w:sz w:val="18"/>
              </w:rPr>
              <w:t>1,459,775</w:t>
            </w:r>
          </w:p>
        </w:tc>
        <w:tc>
          <w:tcPr>
            <w:tcW w:type="dxa" w:w="1337"/>
          </w:tcPr>
          <w:p>
            <w:pPr>
              <w:spacing w:line="240" w:lineRule="auto"/>
            </w:pPr>
            <w:r>
              <w:rPr>
                <w:sz w:val="18"/>
              </w:rPr>
            </w:r>
            <w:r>
              <w:rPr>
                <w:sz w:val="18"/>
              </w:rPr>
              <w:t>393,113</w:t>
            </w:r>
          </w:p>
        </w:tc>
        <w:tc>
          <w:tcPr>
            <w:tcW w:type="dxa" w:w="1337"/>
          </w:tcPr>
          <w:p>
            <w:pPr>
              <w:spacing w:line="240" w:lineRule="auto"/>
            </w:pPr>
            <w:r>
              <w:rPr>
                <w:sz w:val="18"/>
              </w:rPr>
            </w:r>
            <w:r>
              <w:rPr>
                <w:sz w:val="18"/>
              </w:rPr>
              <w:t>5,068.66</w:t>
            </w:r>
          </w:p>
        </w:tc>
        <w:tc>
          <w:tcPr>
            <w:tcW w:type="dxa" w:w="1337"/>
          </w:tcPr>
          <w:p>
            <w:pPr>
              <w:spacing w:line="240" w:lineRule="auto"/>
            </w:pPr>
            <w:r>
              <w:rPr>
                <w:sz w:val="18"/>
              </w:rPr>
            </w:r>
            <w:r>
              <w:rPr>
                <w:sz w:val="18"/>
              </w:rPr>
              <w:t>26.93</w:t>
            </w:r>
          </w:p>
        </w:tc>
      </w:tr>
      <w:tr>
        <w:tc>
          <w:tcPr>
            <w:tcW w:type="dxa" w:w="1337"/>
          </w:tcPr>
          <w:p>
            <w:pPr>
              <w:spacing w:line="240" w:lineRule="auto"/>
            </w:pPr>
            <w:r>
              <w:rPr>
                <w:sz w:val="18"/>
              </w:rPr>
            </w:r>
            <w:r>
              <w:rPr>
                <w:sz w:val="18"/>
              </w:rPr>
              <w:t>2023</w:t>
            </w:r>
          </w:p>
        </w:tc>
        <w:tc>
          <w:tcPr>
            <w:tcW w:type="dxa" w:w="1337"/>
          </w:tcPr>
          <w:p>
            <w:pPr>
              <w:spacing w:line="240" w:lineRule="auto"/>
            </w:pPr>
            <w:r>
              <w:rPr>
                <w:sz w:val="18"/>
              </w:rPr>
            </w:r>
            <w:r>
              <w:rPr>
                <w:sz w:val="18"/>
              </w:rPr>
              <w:t>234</w:t>
            </w:r>
          </w:p>
        </w:tc>
        <w:tc>
          <w:tcPr>
            <w:tcW w:type="dxa" w:w="1337"/>
          </w:tcPr>
          <w:p>
            <w:pPr>
              <w:spacing w:line="240" w:lineRule="auto"/>
            </w:pPr>
            <w:r>
              <w:rPr>
                <w:sz w:val="18"/>
              </w:rPr>
            </w:r>
            <w:r>
              <w:rPr>
                <w:sz w:val="18"/>
              </w:rPr>
              <w:t>2,497</w:t>
            </w:r>
          </w:p>
        </w:tc>
        <w:tc>
          <w:tcPr>
            <w:tcW w:type="dxa" w:w="1337"/>
          </w:tcPr>
          <w:p>
            <w:pPr>
              <w:spacing w:line="240" w:lineRule="auto"/>
            </w:pPr>
            <w:r>
              <w:rPr>
                <w:sz w:val="18"/>
              </w:rPr>
            </w:r>
            <w:r>
              <w:rPr>
                <w:sz w:val="18"/>
              </w:rPr>
              <w:t>1,229,723</w:t>
            </w:r>
          </w:p>
        </w:tc>
        <w:tc>
          <w:tcPr>
            <w:tcW w:type="dxa" w:w="1337"/>
          </w:tcPr>
          <w:p>
            <w:pPr>
              <w:spacing w:line="240" w:lineRule="auto"/>
            </w:pPr>
            <w:r>
              <w:rPr>
                <w:sz w:val="18"/>
              </w:rPr>
            </w:r>
            <w:r>
              <w:rPr>
                <w:sz w:val="18"/>
              </w:rPr>
              <w:t>321,671</w:t>
            </w:r>
          </w:p>
        </w:tc>
        <w:tc>
          <w:tcPr>
            <w:tcW w:type="dxa" w:w="1337"/>
          </w:tcPr>
          <w:p>
            <w:pPr>
              <w:spacing w:line="240" w:lineRule="auto"/>
            </w:pPr>
            <w:r>
              <w:rPr>
                <w:sz w:val="18"/>
              </w:rPr>
            </w:r>
            <w:r>
              <w:rPr>
                <w:sz w:val="18"/>
              </w:rPr>
              <w:t>5,255.23</w:t>
            </w:r>
          </w:p>
        </w:tc>
        <w:tc>
          <w:tcPr>
            <w:tcW w:type="dxa" w:w="1337"/>
          </w:tcPr>
          <w:p>
            <w:pPr>
              <w:spacing w:line="240" w:lineRule="auto"/>
            </w:pPr>
            <w:r>
              <w:rPr>
                <w:sz w:val="18"/>
              </w:rPr>
            </w:r>
            <w:r>
              <w:rPr>
                <w:sz w:val="18"/>
              </w:rPr>
              <w:t>26.16</w:t>
            </w:r>
          </w:p>
        </w:tc>
      </w:tr>
      <w:tr>
        <w:tc>
          <w:tcPr>
            <w:tcW w:type="dxa" w:w="1337"/>
          </w:tcPr>
          <w:p>
            <w:pPr>
              <w:spacing w:line="240" w:lineRule="auto"/>
            </w:pPr>
            <w:r>
              <w:rPr>
                <w:sz w:val="18"/>
              </w:rPr>
            </w:r>
            <w:r>
              <w:rPr>
                <w:sz w:val="18"/>
              </w:rPr>
              <w:t>2024</w:t>
            </w:r>
          </w:p>
        </w:tc>
        <w:tc>
          <w:tcPr>
            <w:tcW w:type="dxa" w:w="1337"/>
          </w:tcPr>
          <w:p>
            <w:pPr>
              <w:spacing w:line="240" w:lineRule="auto"/>
            </w:pPr>
            <w:r>
              <w:rPr>
                <w:sz w:val="18"/>
              </w:rPr>
            </w:r>
            <w:r>
              <w:rPr>
                <w:sz w:val="18"/>
              </w:rPr>
              <w:t>240</w:t>
            </w:r>
          </w:p>
        </w:tc>
        <w:tc>
          <w:tcPr>
            <w:tcW w:type="dxa" w:w="1337"/>
          </w:tcPr>
          <w:p>
            <w:pPr>
              <w:spacing w:line="240" w:lineRule="auto"/>
            </w:pPr>
            <w:r>
              <w:rPr>
                <w:sz w:val="18"/>
              </w:rPr>
            </w:r>
            <w:r>
              <w:rPr>
                <w:sz w:val="18"/>
              </w:rPr>
              <w:t>2,523</w:t>
            </w:r>
          </w:p>
        </w:tc>
        <w:tc>
          <w:tcPr>
            <w:tcW w:type="dxa" w:w="1337"/>
          </w:tcPr>
          <w:p>
            <w:pPr>
              <w:spacing w:line="240" w:lineRule="auto"/>
            </w:pPr>
            <w:r>
              <w:rPr>
                <w:sz w:val="18"/>
              </w:rPr>
            </w:r>
            <w:r>
              <w:rPr>
                <w:sz w:val="18"/>
              </w:rPr>
              <w:t>1,202,478</w:t>
            </w:r>
          </w:p>
        </w:tc>
        <w:tc>
          <w:tcPr>
            <w:tcW w:type="dxa" w:w="1337"/>
          </w:tcPr>
          <w:p>
            <w:pPr>
              <w:spacing w:line="240" w:lineRule="auto"/>
            </w:pPr>
            <w:r>
              <w:rPr>
                <w:sz w:val="18"/>
              </w:rPr>
            </w:r>
            <w:r>
              <w:rPr>
                <w:sz w:val="18"/>
              </w:rPr>
              <w:t>308,336</w:t>
            </w:r>
          </w:p>
        </w:tc>
        <w:tc>
          <w:tcPr>
            <w:tcW w:type="dxa" w:w="1337"/>
          </w:tcPr>
          <w:p>
            <w:pPr>
              <w:spacing w:line="240" w:lineRule="auto"/>
            </w:pPr>
            <w:r>
              <w:rPr>
                <w:sz w:val="18"/>
              </w:rPr>
            </w:r>
            <w:r>
              <w:rPr>
                <w:sz w:val="18"/>
              </w:rPr>
              <w:t>5,010.32</w:t>
            </w:r>
          </w:p>
        </w:tc>
        <w:tc>
          <w:tcPr>
            <w:tcW w:type="dxa" w:w="1337"/>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rPr>
          <w:b/>
        </w:rPr>
        <w:t>Business Interpretation — answers Business Question 1.</w:t>
      </w:r>
      <w:r>
        <w:t xml:space="preserve"> Growth stopped in 2022. Revenue climbed 69.9% over 2020–2022, then fell 15.8% in 2023 and a further 2.2% in 2024, finishing 17.6% below the peak. The decisive detail is that </w:t>
      </w:r>
      <w:r>
        <w:rPr>
          <w:b/>
        </w:rPr>
        <w:t>average line value barely moved</w:t>
      </w:r>
      <w:r>
        <w:t xml:space="preserve"> across all five years (5,010–5,444, a 9% spread) while </w:t>
      </w:r>
      <w:r>
        <w:rPr>
          <w:b/>
        </w:rPr>
        <w:t>transaction count moved a lot</w:t>
      </w:r>
      <w:r>
        <w:t xml:space="preserve"> (171 → 288 → 240).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028738"/>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028738"/>
                    </a:xfrm>
                    <a:prstGeom prst="rect"/>
                  </pic:spPr>
                </pic:pic>
              </a:graphicData>
            </a:graphic>
          </wp:inline>
        </w:drawing>
      </w:r>
    </w:p>
    <w:p>
      <w:pPr>
        <w:spacing w:after="200" w:line="240" w:lineRule="auto"/>
        <w:jc w:val="center"/>
      </w:pPr>
      <w:r>
        <w:rPr>
          <w:i/>
          <w:color w:val="7B8994"/>
          <w:sz w:val="20"/>
        </w:rPr>
        <w:t>Figure 1.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(11.05% of annual revenue) and October (10.66%) are the two strongest months; Q4 as a whole carries 29.3% of the year against the 25% a flat distribution would give. January is the trough at 4.72%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2.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fact_sales → dim_date</w:t>
      </w:r>
      <w:r>
        <w:t xml:space="preserve">, </w:t>
      </w:r>
      <w:r>
        <w:rPr>
          <w:rFonts w:ascii="Consolas" w:hAnsi="Consolas"/>
          <w:color w:val="2F6F9F"/>
          <w:sz w:val="18"/>
        </w:rPr>
        <w:t>dim_sub_category → dim_category</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fact_sales → dim_customer → dim_city → dim_state</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20.76%</w:t>
            </w:r>
          </w:p>
        </w:tc>
        <w:tc>
          <w:tcPr>
            <w:tcW w:type="dxa" w:w="1872"/>
          </w:tcPr>
          <w:p>
            <w:pPr>
              <w:spacing w:line="240" w:lineRule="auto"/>
            </w:pPr>
            <w:r>
              <w:rPr>
                <w:sz w:val="18"/>
              </w:rPr>
            </w:r>
            <w:r>
              <w:rPr>
                <w:b/>
                <w:sz w:val="18"/>
              </w:rPr>
              <w:t>30.61%</w:t>
            </w:r>
          </w:p>
        </w:tc>
        <w:tc>
          <w:tcPr>
            <w:tcW w:type="dxa" w:w="1872"/>
          </w:tcPr>
          <w:p>
            <w:pPr>
              <w:spacing w:line="240" w:lineRule="auto"/>
            </w:pPr>
            <w:r>
              <w:rPr>
                <w:sz w:val="18"/>
              </w:rPr>
            </w:r>
            <w:r>
              <w:rPr>
                <w:sz w:val="18"/>
              </w:rPr>
              <w:t>23.55%</w:t>
            </w:r>
          </w:p>
        </w:tc>
        <w:tc>
          <w:tcPr>
            <w:tcW w:type="dxa" w:w="1872"/>
          </w:tcPr>
          <w:p>
            <w:pPr>
              <w:spacing w:line="240" w:lineRule="auto"/>
            </w:pPr>
            <w:r>
              <w:rPr>
                <w:sz w:val="18"/>
              </w:rPr>
            </w:r>
            <w:r>
              <w:rPr>
                <w:sz w:val="18"/>
              </w:rPr>
              <w:t>25.09%</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17.47%</w:t>
            </w:r>
          </w:p>
        </w:tc>
        <w:tc>
          <w:tcPr>
            <w:tcW w:type="dxa" w:w="1872"/>
          </w:tcPr>
          <w:p>
            <w:pPr>
              <w:spacing w:line="240" w:lineRule="auto"/>
            </w:pPr>
            <w:r>
              <w:rPr>
                <w:sz w:val="18"/>
              </w:rPr>
            </w:r>
            <w:r>
              <w:rPr>
                <w:sz w:val="18"/>
              </w:rPr>
              <w:t>24.86%</w:t>
            </w:r>
          </w:p>
        </w:tc>
        <w:tc>
          <w:tcPr>
            <w:tcW w:type="dxa" w:w="1872"/>
          </w:tcPr>
          <w:p>
            <w:pPr>
              <w:spacing w:line="240" w:lineRule="auto"/>
            </w:pPr>
            <w:r>
              <w:rPr>
                <w:sz w:val="18"/>
              </w:rPr>
            </w:r>
            <w:r>
              <w:rPr>
                <w:sz w:val="18"/>
              </w:rPr>
              <w:t>25.68%</w:t>
            </w:r>
          </w:p>
        </w:tc>
        <w:tc>
          <w:tcPr>
            <w:tcW w:type="dxa" w:w="1872"/>
          </w:tcPr>
          <w:p>
            <w:pPr>
              <w:spacing w:line="240" w:lineRule="auto"/>
            </w:pPr>
            <w:r>
              <w:rPr>
                <w:sz w:val="18"/>
              </w:rPr>
            </w:r>
            <w:r>
              <w:rPr>
                <w:b/>
                <w:sz w:val="18"/>
              </w:rPr>
              <w:t>31.98%</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32.0% of their own annual revenue), consistent with holiday and new-fiscal-year buying. </w:t>
      </w:r>
      <w:r>
        <w:rPr>
          <w:b/>
        </w:rPr>
        <w:t>Electronics does not</w:t>
      </w:r>
      <w:r>
        <w:t xml:space="preserve"> — it peaks in Q2 at 30.61%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