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1: Data Fundamentals &amp; SQL Querying</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out of 2020 and then stopped. On a like-for-like monthly basis revenue rose 30.9% between 2020 and 2022, from 92,934 to 121,648 per month, but has fallen in each of the two years since, ending 2024 at 100,207 per month — </w:t>
      </w:r>
      <w:r>
        <w:rPr>
          <w:b/>
        </w:rPr>
        <w:t>17.6% below the 2022 peak</w:t>
      </w:r>
      <w:r>
        <w:t xml:space="preserve">. (2020 is measured per month because the dataset begins on 22 March 2020 and covers only nine complete months of that year; comparing its part-year total against a full year would overstate the growth.)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5.91 million across the 57 complete months analysed.</w:t>
      </w:r>
    </w:p>
    <w:p>
      <w:pPr>
        <w:pStyle w:val="ListBullet"/>
      </w:pPr>
      <w:r>
        <w:rPr>
          <w:b/>
        </w:rPr>
        <w:t>Inventory efficiency.</w:t>
      </w:r>
      <w:r>
        <w:t xml:space="preserve"> Demand is heavily concentrated: October and December alone carry 21.8% of annual revenue, and Q4 as a whole carries 29.4%.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1.)</w:t>
      </w:r>
    </w:p>
    <w:p>
      <w:pPr>
        <w:pStyle w:val="ListNumber"/>
      </w:pPr>
      <w:r>
        <w:rPr>
          <w:b/>
        </w:rPr>
        <w:t>Which product categories and sub-categories are driving the trend, and which ones reversed direction most recently?</w:t>
      </w:r>
      <w:r>
        <w:t xml:space="preserve"> </w:t>
      </w:r>
      <w:r>
        <w:rPr>
          <w:i/>
        </w:rPr>
        <w:t>(Answered by Q5, Q7, Figure 3.)</w:t>
      </w:r>
    </w:p>
    <w:p>
      <w:pPr>
        <w:pStyle w:val="ListNumber"/>
      </w:pPr>
      <w:r>
        <w:rPr>
          <w:b/>
        </w:rPr>
        <w:t>When during the year does demand concentrate, and is that seasonal pattern the same for every category?</w:t>
      </w:r>
      <w:r>
        <w:t xml:space="preserve"> </w:t>
      </w:r>
      <w:r>
        <w:rPr>
          <w:i/>
        </w:rPr>
        <w:t>(Answered by Q4, Q8, Figure 2.)</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Attribute</w:t>
            </w:r>
          </w:p>
        </w:tc>
        <w:tc>
          <w:tcPr>
            <w:tcW w:type="dxa" w:w="4680"/>
          </w:tcPr>
          <w:p>
            <w:r>
              <w:rPr>
                <w:b/>
              </w:rPr>
            </w:r>
            <w:r>
              <w:rPr>
                <w:b/>
              </w:rPr>
              <w:t>Details</w:t>
            </w:r>
          </w:p>
        </w:tc>
      </w:tr>
      <w:tr>
        <w:tc>
          <w:tcPr>
            <w:tcW w:type="dxa" w:w="4680"/>
          </w:tcPr>
          <w:p>
            <w:pPr>
              <w:spacing w:line="240" w:lineRule="auto"/>
            </w:pPr>
            <w:r>
              <w:rPr>
                <w:sz w:val="18"/>
              </w:rPr>
            </w:r>
            <w:r>
              <w:rPr>
                <w:sz w:val="18"/>
              </w:rPr>
              <w:t>Dataset Name</w:t>
            </w:r>
          </w:p>
        </w:tc>
        <w:tc>
          <w:tcPr>
            <w:tcW w:type="dxa" w:w="4680"/>
          </w:tcPr>
          <w:p>
            <w:pPr>
              <w:spacing w:line="240" w:lineRule="auto"/>
            </w:pPr>
            <w:r>
              <w:rPr>
                <w:sz w:val="18"/>
              </w:rPr>
            </w:r>
            <w:r>
              <w:rPr>
                <w:sz w:val="18"/>
              </w:rPr>
              <w:t>Sales Dataset (multi-category US retail transactions)</w:t>
            </w:r>
          </w:p>
        </w:tc>
      </w:tr>
      <w:tr>
        <w:tc>
          <w:tcPr>
            <w:tcW w:type="dxa" w:w="4680"/>
          </w:tcPr>
          <w:p>
            <w:pPr>
              <w:spacing w:line="240" w:lineRule="auto"/>
            </w:pPr>
            <w:r>
              <w:rPr>
                <w:sz w:val="18"/>
              </w:rPr>
            </w:r>
            <w:r>
              <w:rPr>
                <w:sz w:val="18"/>
              </w:rPr>
              <w:t>Source URL/File</w:t>
            </w:r>
          </w:p>
        </w:tc>
        <w:tc>
          <w:tcPr>
            <w:tcW w:type="dxa" w:w="4680"/>
          </w:tcPr>
          <w:p>
            <w:pPr>
              <w:spacing w:line="240" w:lineRule="auto"/>
            </w:pPr>
            <w:r>
              <w:rPr>
                <w:sz w:val="18"/>
              </w:rPr>
            </w:r>
            <w:r>
              <w:rPr>
                <w:rFonts w:ascii="Consolas" w:hAnsi="Consolas"/>
                <w:color w:val="2F6F9F"/>
                <w:sz w:val="18"/>
              </w:rPr>
              <w:t>archive.zip → Sales Dataset.csv</w:t>
            </w:r>
            <w:r>
              <w:rPr>
                <w:sz w:val="18"/>
              </w:rPr>
              <w:t xml:space="preserve">, public Kaggle-format sales export. Stored in this repository as </w:t>
            </w:r>
            <w:r>
              <w:rPr>
                <w:rFonts w:ascii="Consolas" w:hAnsi="Consolas"/>
                <w:color w:val="2F6F9F"/>
                <w:sz w:val="18"/>
              </w:rPr>
              <w:t>data/raw/sales_dataset_raw.csv</w:t>
            </w:r>
          </w:p>
        </w:tc>
      </w:tr>
      <w:tr>
        <w:tc>
          <w:tcPr>
            <w:tcW w:type="dxa" w:w="4680"/>
          </w:tcPr>
          <w:p>
            <w:pPr>
              <w:spacing w:line="240" w:lineRule="auto"/>
            </w:pPr>
            <w:r>
              <w:rPr>
                <w:sz w:val="18"/>
              </w:rPr>
            </w:r>
            <w:r>
              <w:rPr>
                <w:sz w:val="18"/>
              </w:rPr>
              <w:t>Date Accessed</w:t>
            </w:r>
          </w:p>
        </w:tc>
        <w:tc>
          <w:tcPr>
            <w:tcW w:type="dxa" w:w="4680"/>
          </w:tcPr>
          <w:p>
            <w:pPr>
              <w:spacing w:line="240" w:lineRule="auto"/>
            </w:pPr>
            <w:r>
              <w:rPr>
                <w:sz w:val="18"/>
              </w:rPr>
            </w:r>
            <w:r>
              <w:rPr>
                <w:sz w:val="18"/>
              </w:rPr>
              <w:t>24 August 2026</w:t>
            </w:r>
          </w:p>
        </w:tc>
      </w:tr>
      <w:tr>
        <w:tc>
          <w:tcPr>
            <w:tcW w:type="dxa" w:w="4680"/>
          </w:tcPr>
          <w:p>
            <w:pPr>
              <w:spacing w:line="240" w:lineRule="auto"/>
            </w:pPr>
            <w:r>
              <w:rPr>
                <w:sz w:val="18"/>
              </w:rPr>
            </w:r>
            <w:r>
              <w:rPr>
                <w:sz w:val="18"/>
              </w:rPr>
              <w:t>License Type</w:t>
            </w:r>
          </w:p>
        </w:tc>
        <w:tc>
          <w:tcPr>
            <w:tcW w:type="dxa" w:w="4680"/>
          </w:tcPr>
          <w:p>
            <w:pPr>
              <w:spacing w:line="240" w:lineRule="auto"/>
            </w:pPr>
            <w:r>
              <w:rPr>
                <w:sz w:val="18"/>
              </w:rPr>
            </w:r>
            <w:r>
              <w:rPr>
                <w:sz w:val="18"/>
              </w:rPr>
              <w:t>Public/open dataset, used here for academic coursework only. _Confirm and record the exact licence shown on the source page before submission._</w:t>
            </w:r>
          </w:p>
        </w:tc>
      </w:tr>
      <w:tr>
        <w:tc>
          <w:tcPr>
            <w:tcW w:type="dxa" w:w="4680"/>
          </w:tcPr>
          <w:p>
            <w:pPr>
              <w:spacing w:line="240" w:lineRule="auto"/>
            </w:pPr>
            <w:r>
              <w:rPr>
                <w:sz w:val="18"/>
              </w:rPr>
            </w:r>
            <w:r>
              <w:rPr>
                <w:sz w:val="18"/>
              </w:rPr>
              <w:t>File Size</w:t>
            </w:r>
          </w:p>
        </w:tc>
        <w:tc>
          <w:tcPr>
            <w:tcW w:type="dxa" w:w="4680"/>
          </w:tcPr>
          <w:p>
            <w:pPr>
              <w:spacing w:line="240" w:lineRule="auto"/>
            </w:pPr>
            <w:r>
              <w:rPr>
                <w:sz w:val="18"/>
              </w:rPr>
            </w:r>
            <w:r>
              <w:rPr>
                <w:sz w:val="18"/>
              </w:rPr>
              <w:t>1,194 data rows × 12 columns</w:t>
            </w:r>
          </w:p>
        </w:tc>
      </w:tr>
      <w:tr>
        <w:tc>
          <w:tcPr>
            <w:tcW w:type="dxa" w:w="4680"/>
          </w:tcPr>
          <w:p>
            <w:pPr>
              <w:spacing w:line="240" w:lineRule="auto"/>
            </w:pPr>
            <w:r>
              <w:rPr>
                <w:sz w:val="18"/>
              </w:rPr>
            </w:r>
            <w:r>
              <w:rPr>
                <w:sz w:val="18"/>
              </w:rPr>
              <w:t>Coverage</w:t>
            </w:r>
          </w:p>
        </w:tc>
        <w:tc>
          <w:tcPr>
            <w:tcW w:type="dxa" w:w="4680"/>
          </w:tcPr>
          <w:p>
            <w:pPr>
              <w:spacing w:line="240" w:lineRule="auto"/>
            </w:pPr>
            <w:r>
              <w:rPr>
                <w:sz w:val="18"/>
              </w:rPr>
            </w:r>
            <w:r>
              <w:rPr>
                <w:sz w:val="18"/>
              </w:rPr>
              <w:t>22 March 2020 – 15 March 2025</w:t>
            </w:r>
          </w:p>
        </w:tc>
      </w:tr>
      <w:tr>
        <w:tc>
          <w:tcPr>
            <w:tcW w:type="dxa" w:w="4680"/>
          </w:tcPr>
          <w:p>
            <w:pPr>
              <w:spacing w:line="240" w:lineRule="auto"/>
            </w:pPr>
            <w:r>
              <w:rPr>
                <w:sz w:val="18"/>
              </w:rPr>
            </w:r>
            <w:r>
              <w:rPr>
                <w:sz w:val="18"/>
              </w:rPr>
              <w:t>Currency</w:t>
            </w:r>
          </w:p>
        </w:tc>
        <w:tc>
          <w:tcPr>
            <w:tcW w:type="dxa" w:w="4680"/>
          </w:tcPr>
          <w:p>
            <w:pPr>
              <w:spacing w:line="240" w:lineRule="auto"/>
            </w:pPr>
            <w:r>
              <w:rPr>
                <w:sz w:val="18"/>
              </w:rPr>
            </w:r>
            <w:r>
              <w:rPr>
                <w:b/>
                <w:sz w:val="18"/>
              </w:rPr>
              <w:t>Not stated in the source file.</w:t>
            </w:r>
            <w:r>
              <w:rPr>
                <w:sz w:val="18"/>
              </w:rPr>
              <w:t xml:space="preserve"> </w:t>
            </w:r>
            <w:r>
              <w:rPr>
                <w:rFonts w:ascii="Consolas" w:hAnsi="Consolas"/>
                <w:color w:val="2F6F9F"/>
                <w:sz w:val="18"/>
              </w:rPr>
              <w:t>Amount</w:t>
            </w:r>
            <w:r>
              <w:rPr>
                <w:sz w:val="18"/>
              </w:rPr>
              <w:t xml:space="preserve"> and </w:t>
            </w:r>
            <w:r>
              <w:rPr>
                <w:rFonts w:ascii="Consolas" w:hAnsi="Consolas"/>
                <w:color w:val="2F6F9F"/>
                <w:sz w:val="18"/>
              </w:rPr>
              <w:t>Profit</w:t>
            </w:r>
            <w:r>
              <w:rPr>
                <w:sz w:val="18"/>
              </w:rPr>
              <w:t xml:space="preserve"> are unitless integers; all figures in this report are quoted as currency units.</w:t>
            </w:r>
          </w:p>
        </w:tc>
      </w:tr>
    </w:tbl>
    <w:p>
      <w:pPr>
        <w:spacing w:after="200" w:line="240" w:lineRule="auto"/>
        <w:jc w:val="center"/>
      </w:pPr>
      <w:r>
        <w:rPr>
          <w:i/>
          <w:color w:val="7B8994"/>
          <w:sz w:val="20"/>
        </w:rPr>
        <w:t>Table 2. Data source report for the sales transaction dataset.</w:t>
      </w:r>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Column Name</w:t>
            </w:r>
          </w:p>
        </w:tc>
        <w:tc>
          <w:tcPr>
            <w:tcW w:type="dxa" w:w="3120"/>
          </w:tcPr>
          <w:p>
            <w:r>
              <w:rPr>
                <w:b/>
              </w:rPr>
            </w:r>
            <w:r>
              <w:rPr>
                <w:b/>
              </w:rPr>
              <w:t>Data Type</w:t>
            </w:r>
          </w:p>
        </w:tc>
        <w:tc>
          <w:tcPr>
            <w:tcW w:type="dxa" w:w="3120"/>
          </w:tcPr>
          <w:p>
            <w:r>
              <w:rPr>
                <w:b/>
              </w:rPr>
            </w:r>
            <w:r>
              <w:rPr>
                <w:b/>
              </w:rPr>
              <w:t>Description</w:t>
            </w:r>
          </w:p>
        </w:tc>
      </w:tr>
      <w:tr>
        <w:tc>
          <w:tcPr>
            <w:tcW w:type="dxa" w:w="3120"/>
          </w:tcPr>
          <w:p>
            <w:pPr>
              <w:spacing w:line="240" w:lineRule="auto"/>
            </w:pPr>
            <w:r>
              <w:rPr>
                <w:sz w:val="18"/>
              </w:rPr>
            </w:r>
            <w:r>
              <w:rPr>
                <w:sz w:val="18"/>
              </w:rPr>
              <w:t>Order ID</w:t>
            </w:r>
          </w:p>
        </w:tc>
        <w:tc>
          <w:tcPr>
            <w:tcW w:type="dxa" w:w="3120"/>
          </w:tcPr>
          <w:p>
            <w:pPr>
              <w:spacing w:line="240" w:lineRule="auto"/>
            </w:pPr>
            <w:r>
              <w:rPr>
                <w:sz w:val="18"/>
              </w:rPr>
            </w:r>
            <w:r>
              <w:rPr>
                <w:sz w:val="18"/>
              </w:rPr>
              <w:t>VARCHAR(20)</w:t>
            </w:r>
          </w:p>
        </w:tc>
        <w:tc>
          <w:tcPr>
            <w:tcW w:type="dxa" w:w="3120"/>
          </w:tcPr>
          <w:p>
            <w:pPr>
              <w:spacing w:line="240" w:lineRule="auto"/>
            </w:pPr>
            <w:r>
              <w:rPr>
                <w:sz w:val="18"/>
              </w:rPr>
            </w:r>
            <w:r>
              <w:rPr>
                <w:sz w:val="18"/>
              </w:rPr>
              <w:t xml:space="preserve">Order reference label, e.g. </w:t>
            </w:r>
            <w:r>
              <w:rPr>
                <w:rFonts w:ascii="Consolas" w:hAnsi="Consolas"/>
                <w:color w:val="2F6F9F"/>
                <w:sz w:val="18"/>
              </w:rPr>
              <w:t>B-26776</w:t>
            </w:r>
            <w:r>
              <w:rPr>
                <w:sz w:val="18"/>
              </w:rPr>
              <w:t xml:space="preserve">. </w:t>
            </w:r>
            <w:r>
              <w:rPr>
                <w:b/>
                <w:sz w:val="18"/>
              </w:rPr>
              <w:t>Not unique</w:t>
            </w:r>
            <w:r>
              <w:rPr>
                <w:sz w:val="18"/>
              </w:rPr>
              <w:t xml:space="preserve"> — see quality notes.</w:t>
            </w:r>
          </w:p>
        </w:tc>
      </w:tr>
      <w:tr>
        <w:tc>
          <w:tcPr>
            <w:tcW w:type="dxa" w:w="3120"/>
          </w:tcPr>
          <w:p>
            <w:pPr>
              <w:spacing w:line="240" w:lineRule="auto"/>
            </w:pPr>
            <w:r>
              <w:rPr>
                <w:sz w:val="18"/>
              </w:rPr>
            </w:r>
            <w:r>
              <w:rPr>
                <w:sz w:val="18"/>
              </w:rPr>
              <w:t>Amount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Revenue for the transaction line. Range 508–9,992.</w:t>
            </w:r>
          </w:p>
        </w:tc>
      </w:tr>
      <w:tr>
        <w:tc>
          <w:tcPr>
            <w:tcW w:type="dxa" w:w="3120"/>
          </w:tcPr>
          <w:p>
            <w:pPr>
              <w:spacing w:line="240" w:lineRule="auto"/>
            </w:pPr>
            <w:r>
              <w:rPr>
                <w:sz w:val="18"/>
              </w:rPr>
            </w:r>
            <w:r>
              <w:rPr>
                <w:sz w:val="18"/>
              </w:rPr>
              <w:t>Profit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Gross profit for the line. Range 50–4,930.</w:t>
            </w:r>
          </w:p>
        </w:tc>
      </w:tr>
      <w:tr>
        <w:tc>
          <w:tcPr>
            <w:tcW w:type="dxa" w:w="3120"/>
          </w:tcPr>
          <w:p>
            <w:pPr>
              <w:spacing w:line="240" w:lineRule="auto"/>
            </w:pPr>
            <w:r>
              <w:rPr>
                <w:sz w:val="18"/>
              </w:rPr>
            </w:r>
            <w:r>
              <w:rPr>
                <w:sz w:val="18"/>
              </w:rPr>
              <w:t>Quantity</w:t>
            </w:r>
          </w:p>
        </w:tc>
        <w:tc>
          <w:tcPr>
            <w:tcW w:type="dxa" w:w="3120"/>
          </w:tcPr>
          <w:p>
            <w:pPr>
              <w:spacing w:line="240" w:lineRule="auto"/>
            </w:pPr>
            <w:r>
              <w:rPr>
                <w:sz w:val="18"/>
              </w:rPr>
            </w:r>
            <w:r>
              <w:rPr>
                <w:sz w:val="18"/>
              </w:rPr>
              <w:t>INTEGER</w:t>
            </w:r>
          </w:p>
        </w:tc>
        <w:tc>
          <w:tcPr>
            <w:tcW w:type="dxa" w:w="3120"/>
          </w:tcPr>
          <w:p>
            <w:pPr>
              <w:spacing w:line="240" w:lineRule="auto"/>
            </w:pPr>
            <w:r>
              <w:rPr>
                <w:sz w:val="18"/>
              </w:rPr>
            </w:r>
            <w:r>
              <w:rPr>
                <w:sz w:val="18"/>
              </w:rPr>
              <w:t>Units sold on the line. Range 1–20.</w:t>
            </w:r>
          </w:p>
        </w:tc>
      </w:tr>
      <w:tr>
        <w:tc>
          <w:tcPr>
            <w:tcW w:type="dxa" w:w="3120"/>
          </w:tcPr>
          <w:p>
            <w:pPr>
              <w:spacing w:line="240" w:lineRule="auto"/>
            </w:pPr>
            <w:r>
              <w:rPr>
                <w:sz w:val="18"/>
              </w:rPr>
            </w:r>
            <w:r>
              <w:rPr>
                <w:sz w:val="18"/>
              </w:rPr>
              <w:t>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Top product level: Electronics, Furniture, Office Supplies.</w:t>
            </w:r>
          </w:p>
        </w:tc>
      </w:tr>
      <w:tr>
        <w:tc>
          <w:tcPr>
            <w:tcW w:type="dxa" w:w="3120"/>
          </w:tcPr>
          <w:p>
            <w:pPr>
              <w:spacing w:line="240" w:lineRule="auto"/>
            </w:pPr>
            <w:r>
              <w:rPr>
                <w:sz w:val="18"/>
              </w:rPr>
            </w:r>
            <w:r>
              <w:rPr>
                <w:sz w:val="18"/>
              </w:rPr>
              <w:t>Sub-Category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Second product level, 12 values, e.g. Printers, Sofas, Paper.</w:t>
            </w:r>
          </w:p>
        </w:tc>
      </w:tr>
      <w:tr>
        <w:tc>
          <w:tcPr>
            <w:tcW w:type="dxa" w:w="3120"/>
          </w:tcPr>
          <w:p>
            <w:pPr>
              <w:spacing w:line="240" w:lineRule="auto"/>
            </w:pPr>
            <w:r>
              <w:rPr>
                <w:sz w:val="18"/>
              </w:rPr>
            </w:r>
            <w:r>
              <w:rPr>
                <w:sz w:val="18"/>
              </w:rPr>
              <w:t>PaymentMode</w:t>
            </w:r>
          </w:p>
        </w:tc>
        <w:tc>
          <w:tcPr>
            <w:tcW w:type="dxa" w:w="3120"/>
          </w:tcPr>
          <w:p>
            <w:pPr>
              <w:spacing w:line="240" w:lineRule="auto"/>
            </w:pPr>
            <w:r>
              <w:rPr>
                <w:sz w:val="18"/>
              </w:rPr>
            </w:r>
            <w:r>
              <w:rPr>
                <w:sz w:val="18"/>
              </w:rPr>
              <w:t>VARCHAR(40)</w:t>
            </w:r>
          </w:p>
        </w:tc>
        <w:tc>
          <w:tcPr>
            <w:tcW w:type="dxa" w:w="3120"/>
          </w:tcPr>
          <w:p>
            <w:pPr>
              <w:spacing w:line="240" w:lineRule="auto"/>
            </w:pPr>
            <w:r>
              <w:rPr>
                <w:sz w:val="18"/>
              </w:rPr>
            </w:r>
            <w:r>
              <w:rPr>
                <w:sz w:val="18"/>
              </w:rPr>
              <w:t>COD, Credit Card, Debit Card, EMI, UPI.</w:t>
            </w:r>
          </w:p>
        </w:tc>
      </w:tr>
      <w:tr>
        <w:tc>
          <w:tcPr>
            <w:tcW w:type="dxa" w:w="3120"/>
          </w:tcPr>
          <w:p>
            <w:pPr>
              <w:spacing w:line="240" w:lineRule="auto"/>
            </w:pPr>
            <w:r>
              <w:rPr>
                <w:sz w:val="18"/>
              </w:rPr>
            </w:r>
            <w:r>
              <w:rPr>
                <w:sz w:val="18"/>
              </w:rPr>
              <w:t>Order Date</w:t>
            </w:r>
          </w:p>
        </w:tc>
        <w:tc>
          <w:tcPr>
            <w:tcW w:type="dxa" w:w="3120"/>
          </w:tcPr>
          <w:p>
            <w:pPr>
              <w:spacing w:line="240" w:lineRule="auto"/>
            </w:pPr>
            <w:r>
              <w:rPr>
                <w:sz w:val="18"/>
              </w:rPr>
            </w:r>
            <w:r>
              <w:rPr>
                <w:sz w:val="18"/>
              </w:rPr>
              <w:t>DATE</w:t>
            </w:r>
          </w:p>
        </w:tc>
        <w:tc>
          <w:tcPr>
            <w:tcW w:type="dxa" w:w="3120"/>
          </w:tcPr>
          <w:p>
            <w:pPr>
              <w:spacing w:line="240" w:lineRule="auto"/>
            </w:pPr>
            <w:r>
              <w:rPr>
                <w:sz w:val="18"/>
              </w:rPr>
            </w:r>
            <w:r>
              <w:rPr>
                <w:sz w:val="18"/>
              </w:rPr>
              <w:t xml:space="preserve">Transaction date, ISO </w:t>
            </w:r>
            <w:r>
              <w:rPr>
                <w:rFonts w:ascii="Consolas" w:hAnsi="Consolas"/>
                <w:color w:val="2F6F9F"/>
                <w:sz w:val="18"/>
              </w:rPr>
              <w:t>YYYY-MM-DD</w:t>
            </w:r>
            <w:r>
              <w:rPr>
                <w:sz w:val="18"/>
              </w:rPr>
              <w:t>. 648 distinct dates.</w:t>
            </w:r>
          </w:p>
        </w:tc>
      </w:tr>
      <w:tr>
        <w:tc>
          <w:tcPr>
            <w:tcW w:type="dxa" w:w="3120"/>
          </w:tcPr>
          <w:p>
            <w:pPr>
              <w:spacing w:line="240" w:lineRule="auto"/>
            </w:pPr>
            <w:r>
              <w:rPr>
                <w:sz w:val="18"/>
              </w:rPr>
            </w:r>
            <w:r>
              <w:rPr>
                <w:sz w:val="18"/>
              </w:rPr>
              <w:t>CustomerName</w:t>
            </w:r>
          </w:p>
        </w:tc>
        <w:tc>
          <w:tcPr>
            <w:tcW w:type="dxa" w:w="3120"/>
          </w:tcPr>
          <w:p>
            <w:pPr>
              <w:spacing w:line="240" w:lineRule="auto"/>
            </w:pPr>
            <w:r>
              <w:rPr>
                <w:sz w:val="18"/>
              </w:rPr>
            </w:r>
            <w:r>
              <w:rPr>
                <w:sz w:val="18"/>
              </w:rPr>
              <w:t>VARCHAR(120)</w:t>
            </w:r>
          </w:p>
        </w:tc>
        <w:tc>
          <w:tcPr>
            <w:tcW w:type="dxa" w:w="3120"/>
          </w:tcPr>
          <w:p>
            <w:pPr>
              <w:spacing w:line="240" w:lineRule="auto"/>
            </w:pPr>
            <w:r>
              <w:rPr>
                <w:sz w:val="18"/>
              </w:rPr>
            </w:r>
            <w:r>
              <w:rPr>
                <w:sz w:val="18"/>
              </w:rPr>
              <w:t>Customer full name, 802 distinct values. Not a unique key.</w:t>
            </w:r>
          </w:p>
        </w:tc>
      </w:tr>
      <w:tr>
        <w:tc>
          <w:tcPr>
            <w:tcW w:type="dxa" w:w="3120"/>
          </w:tcPr>
          <w:p>
            <w:pPr>
              <w:spacing w:line="240" w:lineRule="auto"/>
            </w:pPr>
            <w:r>
              <w:rPr>
                <w:sz w:val="18"/>
              </w:rPr>
            </w:r>
            <w:r>
              <w:rPr>
                <w:sz w:val="18"/>
              </w:rPr>
              <w:t>State</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6 US states.</w:t>
            </w:r>
          </w:p>
        </w:tc>
      </w:tr>
      <w:tr>
        <w:tc>
          <w:tcPr>
            <w:tcW w:type="dxa" w:w="3120"/>
          </w:tcPr>
          <w:p>
            <w:pPr>
              <w:spacing w:line="240" w:lineRule="auto"/>
            </w:pPr>
            <w:r>
              <w:rPr>
                <w:sz w:val="18"/>
              </w:rPr>
            </w:r>
            <w:r>
              <w:rPr>
                <w:sz w:val="18"/>
              </w:rPr>
              <w:t>City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18 cities, 3 per state.</w:t>
            </w:r>
          </w:p>
        </w:tc>
      </w:tr>
      <w:tr>
        <w:tc>
          <w:tcPr>
            <w:tcW w:type="dxa" w:w="3120"/>
          </w:tcPr>
          <w:p>
            <w:pPr>
              <w:spacing w:line="240" w:lineRule="auto"/>
            </w:pPr>
            <w:r>
              <w:rPr>
                <w:sz w:val="18"/>
              </w:rPr>
            </w:r>
            <w:r>
              <w:rPr>
                <w:sz w:val="18"/>
              </w:rPr>
              <w:t>Year-Month</w:t>
            </w:r>
          </w:p>
        </w:tc>
        <w:tc>
          <w:tcPr>
            <w:tcW w:type="dxa" w:w="3120"/>
          </w:tcPr>
          <w:p>
            <w:pPr>
              <w:spacing w:line="240" w:lineRule="auto"/>
            </w:pPr>
            <w:r>
              <w:rPr>
                <w:sz w:val="18"/>
              </w:rPr>
            </w:r>
            <w:r>
              <w:rPr>
                <w:sz w:val="18"/>
              </w:rPr>
              <w:t>CHAR(7)</w:t>
            </w:r>
          </w:p>
        </w:tc>
        <w:tc>
          <w:tcPr>
            <w:tcW w:type="dxa" w:w="3120"/>
          </w:tcPr>
          <w:p>
            <w:pPr>
              <w:spacing w:line="240" w:lineRule="auto"/>
            </w:pPr>
            <w:r>
              <w:rPr>
                <w:sz w:val="18"/>
              </w:rPr>
            </w:r>
            <w:r>
              <w:rPr>
                <w:rFonts w:ascii="Consolas" w:hAnsi="Consolas"/>
                <w:color w:val="2F6F9F"/>
                <w:sz w:val="18"/>
              </w:rPr>
              <w:t>YYYY-MM</w:t>
            </w:r>
            <w:r>
              <w:rPr>
                <w:sz w:val="18"/>
              </w:rPr>
              <w:t>. Fully derivable from Order Date — dropped as redundant.</w:t>
            </w:r>
          </w:p>
        </w:tc>
      </w:tr>
    </w:tbl>
    <w:p>
      <w:pPr>
        <w:spacing w:after="200" w:line="240" w:lineRule="auto"/>
        <w:jc w:val="center"/>
      </w:pPr>
      <w:r>
        <w:rPr>
          <w:i/>
          <w:color w:val="7B8994"/>
          <w:sz w:val="20"/>
        </w:rPr>
        <w:t>Table 3. Data dictionary — column name, data type and description.</w:t>
      </w:r>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Both ends of the series are partial.</w:t>
      </w:r>
      <w:r>
        <w:t xml:space="preserve"> Data runs 22 March 2020 to 15 March 2025, so </w:t>
      </w:r>
      <w:r>
        <w:rPr>
          <w:b/>
        </w:rPr>
        <w:t>March 2020 and March 2025 are part-months</w:t>
      </w:r>
      <w:r>
        <w:t xml:space="preserve"> and </w:t>
      </w:r>
      <w:r>
        <w:rPr>
          <w:b/>
        </w:rPr>
        <w:t>2020 is a nine-month year</w:t>
      </w:r>
      <w:r>
        <w:t xml:space="preserve">. Two distinct traps follow. Read naively, the 44 rows of 2025 look like an 80% collapse in demand; and comparing 2020's part-year total against a full 2021 overstates growth (69.9% raw versus 30.9% on a like-for-like monthly basis). Including the 10-day March 2020 in a monthly average also drags that month's seasonal index down by 15%. </w:t>
      </w:r>
      <w:r>
        <w:rPr>
          <w:rFonts w:ascii="Consolas" w:hAnsi="Consolas"/>
          <w:color w:val="2F6F9F"/>
          <w:sz w:val="18"/>
        </w:rPr>
        <w:t>dim_date</w:t>
      </w:r>
      <w:r>
        <w:t xml:space="preserve"> carries two flags, </w:t>
      </w:r>
      <w:r>
        <w:rPr>
          <w:rFonts w:ascii="Consolas" w:hAnsi="Consolas"/>
          <w:color w:val="2F6F9F"/>
          <w:sz w:val="18"/>
        </w:rPr>
        <w:t>is_complete_year</w:t>
      </w:r>
      <w:r>
        <w:t xml:space="preserve"> and </w:t>
      </w:r>
      <w:r>
        <w:rPr>
          <w:rFonts w:ascii="Consolas" w:hAnsi="Consolas"/>
          <w:color w:val="2F6F9F"/>
          <w:sz w:val="18"/>
        </w:rPr>
        <w:t>is_complete_month</w:t>
      </w:r>
      <w:r>
        <w:t>, and every trend query filters on them.</w:t>
      </w:r>
    </w:p>
    <w:p>
      <w:pPr>
        <w:pStyle w:val="ListBullet"/>
      </w:pPr>
      <w:r>
        <w:rPr>
          <w:b/>
        </w:rPr>
        <w:t>Limitation worth stating — the dataset is synthetic.</w:t>
      </w:r>
      <w:r>
        <w:t xml:space="preserve"> Four independent signals: zero loss-making lines across 1,194 rows and five years; 22 of the 802 distinct customer names ending in a credential suffix (MD, DDS, PhD), the signature of a name generator rather than a real customer list; US cities paired with UPI and EMI, which are Indian payment systems; and a near-uniform payment mix (206–260 lines each). Real retail data of this size would contain returns, discounts and loss-making orders. The </w:t>
      </w:r>
      <w:r>
        <w:rPr>
          <w:i/>
        </w:rPr>
        <w:t>methodology</w:t>
      </w:r>
      <w:r>
        <w:t xml:space="preserve"> here is sound, but the specific figures should be presented as a modelling exercise rather than a real company's results.</w:t>
      </w:r>
    </w:p>
    <w:p>
      <w:pPr>
        <w:pStyle w:val="ListBullet"/>
      </w:pPr>
      <w:r>
        <w:rPr>
          <w:b/>
        </w:rPr>
        <w:t>Privacy note.</w:t>
      </w:r>
      <w:r>
        <w:t xml:space="preserve"> Because the customer names are generated, there is no data subject behind them and they are not personal data, so R.A. 10173 (Data Privacy Act) is not engaged. The reason is that the names are synthetic, not that the file was publicly downloadable — public availability is not consent.</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dim_date</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dim_date.is_complete_year</w:t>
      </w:r>
      <w:r>
        <w:t xml:space="preserve"> and </w:t>
      </w:r>
      <w:r>
        <w:rPr>
          <w:rFonts w:ascii="Consolas" w:hAnsi="Consolas"/>
          <w:color w:val="2F6F9F"/>
          <w:sz w:val="18"/>
        </w:rPr>
        <w:t>dim_date.is_complete_month</w:t>
      </w:r>
      <w:r>
        <w:t xml:space="preserve"> so every trend query excludes the partial 2025 year and the two part-months (March 2020, March 2025) explicitly rather than by convention.</w:t>
      </w:r>
    </w:p>
    <w:p>
      <w:pPr>
        <w:pStyle w:val="ListNumber"/>
      </w:pPr>
      <w:r>
        <w:t>Split the flat file into six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r>
            <w:r>
              <w:rPr>
                <w:b/>
              </w:rPr>
              <w:t>Order ID</w:t>
            </w:r>
          </w:p>
        </w:tc>
        <w:tc>
          <w:tcPr>
            <w:tcW w:type="dxa" w:w="780"/>
          </w:tcPr>
          <w:p>
            <w:r>
              <w:rPr>
                <w:b/>
              </w:rPr>
            </w:r>
            <w:r>
              <w:rPr>
                <w:b/>
              </w:rPr>
              <w:t>Amount</w:t>
            </w:r>
          </w:p>
        </w:tc>
        <w:tc>
          <w:tcPr>
            <w:tcW w:type="dxa" w:w="780"/>
          </w:tcPr>
          <w:p>
            <w:r>
              <w:rPr>
                <w:b/>
              </w:rPr>
            </w:r>
            <w:r>
              <w:rPr>
                <w:b/>
              </w:rPr>
              <w:t>Profit</w:t>
            </w:r>
          </w:p>
        </w:tc>
        <w:tc>
          <w:tcPr>
            <w:tcW w:type="dxa" w:w="780"/>
          </w:tcPr>
          <w:p>
            <w:r>
              <w:rPr>
                <w:b/>
              </w:rPr>
            </w:r>
            <w:r>
              <w:rPr>
                <w:b/>
              </w:rPr>
              <w:t>Qty</w:t>
            </w:r>
          </w:p>
        </w:tc>
        <w:tc>
          <w:tcPr>
            <w:tcW w:type="dxa" w:w="780"/>
          </w:tcPr>
          <w:p>
            <w:r>
              <w:rPr>
                <w:b/>
              </w:rPr>
            </w:r>
            <w:r>
              <w:rPr>
                <w:b/>
              </w:rPr>
              <w:t>Category</w:t>
            </w:r>
          </w:p>
        </w:tc>
        <w:tc>
          <w:tcPr>
            <w:tcW w:type="dxa" w:w="780"/>
          </w:tcPr>
          <w:p>
            <w:r>
              <w:rPr>
                <w:b/>
              </w:rPr>
            </w:r>
            <w:r>
              <w:rPr>
                <w:b/>
              </w:rPr>
              <w:t>Sub-Category</w:t>
            </w:r>
          </w:p>
        </w:tc>
        <w:tc>
          <w:tcPr>
            <w:tcW w:type="dxa" w:w="780"/>
          </w:tcPr>
          <w:p>
            <w:r>
              <w:rPr>
                <w:b/>
              </w:rPr>
            </w:r>
            <w:r>
              <w:rPr>
                <w:b/>
              </w:rPr>
              <w:t>PaymentMode</w:t>
            </w:r>
          </w:p>
        </w:tc>
        <w:tc>
          <w:tcPr>
            <w:tcW w:type="dxa" w:w="780"/>
          </w:tcPr>
          <w:p>
            <w:r>
              <w:rPr>
                <w:b/>
              </w:rPr>
            </w:r>
            <w:r>
              <w:rPr>
                <w:b/>
              </w:rPr>
              <w:t>Order Date</w:t>
            </w:r>
          </w:p>
        </w:tc>
        <w:tc>
          <w:tcPr>
            <w:tcW w:type="dxa" w:w="780"/>
          </w:tcPr>
          <w:p>
            <w:r>
              <w:rPr>
                <w:b/>
              </w:rPr>
            </w:r>
            <w:r>
              <w:rPr>
                <w:b/>
              </w:rPr>
              <w:t>CustomerName</w:t>
            </w:r>
          </w:p>
        </w:tc>
        <w:tc>
          <w:tcPr>
            <w:tcW w:type="dxa" w:w="780"/>
          </w:tcPr>
          <w:p>
            <w:r>
              <w:rPr>
                <w:b/>
              </w:rPr>
            </w:r>
            <w:r>
              <w:rPr>
                <w:b/>
              </w:rPr>
              <w:t>State</w:t>
            </w:r>
          </w:p>
        </w:tc>
        <w:tc>
          <w:tcPr>
            <w:tcW w:type="dxa" w:w="780"/>
          </w:tcPr>
          <w:p>
            <w:r>
              <w:rPr>
                <w:b/>
              </w:rPr>
            </w:r>
            <w:r>
              <w:rPr>
                <w:b/>
              </w:rPr>
              <w:t>City</w:t>
            </w:r>
          </w:p>
        </w:tc>
        <w:tc>
          <w:tcPr>
            <w:tcW w:type="dxa" w:w="780"/>
          </w:tcPr>
          <w:p>
            <w:r>
              <w:rPr>
                <w:b/>
              </w:rPr>
            </w:r>
            <w:r>
              <w:rPr>
                <w:b/>
              </w:rPr>
              <w:t>Year-Month</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2024-12-27</w:t>
            </w:r>
          </w:p>
        </w:tc>
        <w:tc>
          <w:tcPr>
            <w:tcW w:type="dxa" w:w="780"/>
          </w:tcPr>
          <w:p>
            <w:pPr>
              <w:spacing w:line="240" w:lineRule="auto"/>
            </w:pPr>
            <w:r>
              <w:rPr>
                <w:sz w:val="18"/>
              </w:rPr>
            </w:r>
            <w:r>
              <w:rPr>
                <w:sz w:val="18"/>
              </w:rPr>
              <w:t>Connor Morgan</w:t>
            </w:r>
          </w:p>
        </w:tc>
        <w:tc>
          <w:tcPr>
            <w:tcW w:type="dxa" w:w="780"/>
          </w:tcPr>
          <w:p>
            <w:pPr>
              <w:spacing w:line="240" w:lineRule="auto"/>
            </w:pPr>
            <w:r>
              <w:rPr>
                <w:sz w:val="18"/>
              </w:rPr>
            </w:r>
            <w:r>
              <w:rPr>
                <w:sz w:val="18"/>
              </w:rPr>
              <w:t>Illinois</w:t>
            </w:r>
          </w:p>
        </w:tc>
        <w:tc>
          <w:tcPr>
            <w:tcW w:type="dxa" w:w="780"/>
          </w:tcPr>
          <w:p>
            <w:pPr>
              <w:spacing w:line="240" w:lineRule="auto"/>
            </w:pPr>
            <w:r>
              <w:rPr>
                <w:sz w:val="18"/>
              </w:rPr>
            </w:r>
            <w:r>
              <w:rPr>
                <w:sz w:val="18"/>
              </w:rPr>
              <w:t>Chicago</w:t>
            </w:r>
          </w:p>
        </w:tc>
        <w:tc>
          <w:tcPr>
            <w:tcW w:type="dxa" w:w="780"/>
          </w:tcPr>
          <w:p>
            <w:pPr>
              <w:spacing w:line="240" w:lineRule="auto"/>
            </w:pPr>
            <w:r>
              <w:rPr>
                <w:sz w:val="18"/>
              </w:rPr>
            </w:r>
            <w:r>
              <w:rPr>
                <w:sz w:val="18"/>
              </w:rPr>
              <w:t>2024-12</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2021-07-25</w:t>
            </w:r>
          </w:p>
        </w:tc>
        <w:tc>
          <w:tcPr>
            <w:tcW w:type="dxa" w:w="780"/>
          </w:tcPr>
          <w:p>
            <w:pPr>
              <w:spacing w:line="240" w:lineRule="auto"/>
            </w:pPr>
            <w:r>
              <w:rPr>
                <w:sz w:val="18"/>
              </w:rPr>
            </w:r>
            <w:r>
              <w:rPr>
                <w:sz w:val="18"/>
              </w:rPr>
              <w:t>Robert Stone</w:t>
            </w:r>
          </w:p>
        </w:tc>
        <w:tc>
          <w:tcPr>
            <w:tcW w:type="dxa" w:w="780"/>
          </w:tcPr>
          <w:p>
            <w:pPr>
              <w:spacing w:line="240" w:lineRule="auto"/>
            </w:pPr>
            <w:r>
              <w:rPr>
                <w:sz w:val="18"/>
              </w:rPr>
            </w:r>
            <w:r>
              <w:rPr>
                <w:sz w:val="18"/>
              </w:rPr>
              <w:t>New York</w:t>
            </w:r>
          </w:p>
        </w:tc>
        <w:tc>
          <w:tcPr>
            <w:tcW w:type="dxa" w:w="780"/>
          </w:tcPr>
          <w:p>
            <w:pPr>
              <w:spacing w:line="240" w:lineRule="auto"/>
            </w:pPr>
            <w:r>
              <w:rPr>
                <w:sz w:val="18"/>
              </w:rPr>
            </w:r>
            <w:r>
              <w:rPr>
                <w:sz w:val="18"/>
              </w:rPr>
              <w:t>Buffalo</w:t>
            </w:r>
          </w:p>
        </w:tc>
        <w:tc>
          <w:tcPr>
            <w:tcW w:type="dxa" w:w="780"/>
          </w:tcPr>
          <w:p>
            <w:pPr>
              <w:spacing w:line="240" w:lineRule="auto"/>
            </w:pPr>
            <w:r>
              <w:rPr>
                <w:sz w:val="18"/>
              </w:rPr>
            </w:r>
            <w:r>
              <w:rPr>
                <w:sz w:val="18"/>
              </w:rPr>
              <w:t>2021-07</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4975</w:t>
            </w:r>
          </w:p>
        </w:tc>
        <w:tc>
          <w:tcPr>
            <w:tcW w:type="dxa" w:w="780"/>
          </w:tcPr>
          <w:p>
            <w:pPr>
              <w:spacing w:line="240" w:lineRule="auto"/>
            </w:pPr>
            <w:r>
              <w:rPr>
                <w:sz w:val="18"/>
              </w:rPr>
            </w:r>
            <w:r>
              <w:rPr>
                <w:sz w:val="18"/>
              </w:rPr>
              <w:t>1330</w:t>
            </w:r>
          </w:p>
        </w:tc>
        <w:tc>
          <w:tcPr>
            <w:tcW w:type="dxa" w:w="780"/>
          </w:tcPr>
          <w:p>
            <w:pPr>
              <w:spacing w:line="240" w:lineRule="auto"/>
            </w:pPr>
            <w:r>
              <w:rPr>
                <w:sz w:val="18"/>
              </w:rPr>
            </w:r>
            <w:r>
              <w:rPr>
                <w:sz w:val="18"/>
              </w:rPr>
              <w:t>14</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Printers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bl>
    <w:p>
      <w:pPr>
        <w:spacing w:after="200" w:line="240" w:lineRule="auto"/>
        <w:jc w:val="center"/>
      </w:pPr>
      <w:r>
        <w:rPr>
          <w:i/>
          <w:color w:val="7B8994"/>
          <w:sz w:val="20"/>
        </w:rPr>
        <w:t>Table 4. Raw dataset preview, first rows as received.</w:t>
      </w:r>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r>
        <w:t xml:space="preserve">The full diagram, in Mermaid source that renders directly on GitHub, is in </w:t>
      </w:r>
      <w:r>
        <w:rPr>
          <w:rFonts w:ascii="Consolas" w:hAnsi="Consolas"/>
          <w:color w:val="2F6F9F"/>
          <w:sz w:val="18"/>
        </w:rPr>
        <w:t>docs/erd.md</w:t>
      </w:r>
      <w:r>
        <w:t>. Structure:</w:t>
      </w:r>
    </w:p>
    <w:p>
      <w:pPr>
        <w:spacing w:before="80" w:after="160"/>
        <w:ind w:left="360"/>
      </w:pPr>
      <w:r>
        <w:rPr>
          <w:rFonts w:ascii="Consolas" w:hAnsi="Consolas"/>
          <w:color w:val="333D47"/>
          <w:sz w:val="17"/>
        </w:rPr>
        <w:t>dim_state ──&lt; dim_city ──&lt; dim_customer ──┐</w:t>
        <w:br/>
        <w:t xml:space="preserve">                                          │</w:t>
        <w:br/>
        <w:t>dim_category ──&lt; dim_sub_category ────────┼──&lt; fact_sales</w:t>
        <w:br/>
        <w:t xml:space="preserve">                                          │</w:t>
        <w:br/>
        <w:t>dim_payment_mode ─────────────────────────┤</w:t>
        <w:br/>
        <w:t xml:space="preserve">                                          │</w:t>
        <w:br/>
        <w:t>dim_date ─────────────────────────────────┘</w:t>
      </w:r>
    </w:p>
    <w:p>
      <w:r>
        <w:rPr>
          <w:b/>
        </w:rPr>
        <w:t>Star schema, 7 tables.</w:t>
      </w:r>
      <w:r>
        <w:t xml:space="preserve"> </w:t>
      </w:r>
      <w:r>
        <w:rPr>
          <w:rFonts w:ascii="Consolas" w:hAnsi="Consolas"/>
          <w:color w:val="2F6F9F"/>
          <w:sz w:val="18"/>
        </w:rPr>
        <w:t>fact_sales</w:t>
      </w:r>
      <w:r>
        <w:t xml:space="preserve"> sits at the centre at a grain of one transaction line, with six dimensions hanging off it.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Parent</w:t>
            </w:r>
          </w:p>
        </w:tc>
        <w:tc>
          <w:tcPr>
            <w:tcW w:type="dxa" w:w="3120"/>
          </w:tcPr>
          <w:p>
            <w:r>
              <w:rPr>
                <w:b/>
              </w:rPr>
            </w:r>
            <w:r>
              <w:rPr>
                <w:b/>
              </w:rPr>
              <w:t>Child</w:t>
            </w:r>
          </w:p>
        </w:tc>
        <w:tc>
          <w:tcPr>
            <w:tcW w:type="dxa" w:w="3120"/>
          </w:tcPr>
          <w:p>
            <w:r>
              <w:rPr>
                <w:b/>
              </w:rPr>
            </w:r>
            <w:r>
              <w:rPr>
                <w:b/>
              </w:rPr>
              <w:t>Cardinality</w:t>
            </w:r>
          </w:p>
        </w:tc>
      </w:tr>
      <w:tr>
        <w:tc>
          <w:tcPr>
            <w:tcW w:type="dxa" w:w="3120"/>
          </w:tcPr>
          <w:p>
            <w:pPr>
              <w:spacing w:line="240" w:lineRule="auto"/>
            </w:pPr>
            <w:r>
              <w:rPr>
                <w:sz w:val="18"/>
              </w:rPr>
            </w:r>
            <w:r>
              <w:rPr>
                <w:rFonts w:ascii="Consolas" w:hAnsi="Consolas"/>
                <w:color w:val="2F6F9F"/>
                <w:sz w:val="18"/>
              </w:rPr>
              <w:t>dim_state</w:t>
            </w:r>
          </w:p>
        </w:tc>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dim_category</w:t>
            </w:r>
          </w:p>
        </w:tc>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dim_payment_mode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dim_date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bl>
    <w:p>
      <w:pPr>
        <w:spacing w:after="200" w:line="240" w:lineRule="auto"/>
        <w:jc w:val="center"/>
      </w:pPr>
      <w:r>
        <w:rPr>
          <w:i/>
          <w:color w:val="7B8994"/>
          <w:sz w:val="20"/>
        </w:rPr>
        <w:t>Table 5. Entity relationships and cardinality in the sales_trend schema.</w:t>
      </w:r>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r>
        <w:t xml:space="preserve">A single file, </w:t>
      </w:r>
      <w:r>
        <w:rPr>
          <w:rFonts w:ascii="Consolas" w:hAnsi="Consolas"/>
          <w:color w:val="2F6F9F"/>
          <w:sz w:val="18"/>
        </w:rPr>
        <w:t>sql/02_mysql_full_import.sql</w:t>
      </w:r>
      <w:r>
        <w:t>, creates the database, all eight tables with their constraints, and loads all the data. In phpMyAdmin it goes through the Import tab; from a terminal:</w:t>
      </w:r>
    </w:p>
    <w:p>
      <w:pPr>
        <w:spacing w:before="80" w:after="160"/>
        <w:ind w:left="360"/>
      </w:pPr>
      <w:r>
        <w:rPr>
          <w:rFonts w:ascii="Consolas" w:hAnsi="Consolas"/>
          <w:color w:val="333D47"/>
          <w:sz w:val="17"/>
        </w:rPr>
        <w:t>mysql -u root -p &lt; sql/02_mysql_full_import.sql</w:t>
        <w:br/>
        <w:t>mysql -u root -p sales_trend &lt; sql/04_queries.sql</w:t>
      </w:r>
    </w:p>
    <w:p>
      <w:r>
        <w:t xml:space="preserve">The import ends with its own verification block, whose final row must read </w:t>
      </w:r>
      <w:r>
        <w:rPr>
          <w:rFonts w:ascii="Consolas" w:hAnsi="Consolas"/>
          <w:color w:val="2F6F9F"/>
          <w:sz w:val="18"/>
        </w:rPr>
        <w:t>1194 | 6182639.00 | 547 | 57 | 0 | 0</w:t>
      </w:r>
      <w:r>
        <w:t xml:space="preserve"> — the last two columns are orphan-row counts, so zeros are proof of referential integrity.</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dim_state</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dim_city</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dim_category</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dim_sub_category</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dim_payment_mode</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dim_customer</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dim_date</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fact_sales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6. Populated row counts verified after load.</w:t>
      </w:r>
    </w:p>
    <w:p>
      <w:r>
        <w:t xml:space="preserve">The schema creates </w:t>
      </w:r>
      <w:r>
        <w:rPr>
          <w:b/>
        </w:rPr>
        <w:t>8 primary keys, 7 foreign keys, 6 unique constraints and 4 check constraints</w:t>
      </w:r>
      <w:r>
        <w:t>, all verified on a live MySQL-compatible server; both foreign keys and check constraints were confirmed to reject invalid rows.</w:t>
      </w:r>
    </w:p>
    <w:p>
      <w:r>
        <w:rPr>
          <w:rFonts w:ascii="Consolas" w:hAnsi="Consolas"/>
          <w:color w:val="2F6F9F"/>
          <w:sz w:val="18"/>
        </w:rPr>
        <w:t>fact_sales</w:t>
      </w:r>
      <w:r>
        <w:t xml:space="preserve"> holds exactly the 1,194 rows of the raw file — no transaction was lost or invented in normalisation. </w:t>
      </w:r>
      <w:r>
        <w:rPr>
          <w:rFonts w:ascii="Consolas" w:hAnsi="Consolas"/>
          <w:color w:val="2F6F9F"/>
          <w:sz w:val="18"/>
        </w:rPr>
        <w:t>dim_customer</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fact_sales;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fact_sales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revenue_per_month</w:t>
            </w:r>
          </w:p>
        </w:tc>
        <w:tc>
          <w:tcPr>
            <w:tcW w:type="dxa" w:w="1040"/>
          </w:tcPr>
          <w:p>
            <w:r>
              <w:rPr>
                <w:b/>
              </w:rPr>
            </w:r>
            <w:r>
              <w:rPr>
                <w:b/>
              </w:rPr>
              <w:t>avg_line_value</w:t>
            </w:r>
          </w:p>
        </w:tc>
        <w:tc>
          <w:tcPr>
            <w:tcW w:type="dxa" w:w="1040"/>
          </w:tcPr>
          <w:p>
            <w:r>
              <w:rPr>
                <w:b/>
              </w:rPr>
            </w:r>
            <w:r>
              <w:rPr>
                <w:b/>
              </w:rPr>
              <w:t>margin_pct</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7. Q3 — annual sales trend, 2020–2024.</w:t>
      </w:r>
    </w:p>
    <w:p>
      <w:r>
        <w:t>_The 2024 average line value is exactly 5,010.325. MySQL rounds half away from zero and reports 5,010.33; tools that round half to even report 5,010.32._</w:t>
      </w:r>
    </w:p>
    <w:p>
      <w:r>
        <w:rPr>
          <w:b/>
        </w:rPr>
        <w:t>Business Interpretation — answers Business Question 1.</w:t>
      </w:r>
      <w:r>
        <w:t xml:space="preserve"> Growth stopped in 2022. Note the </w:t>
      </w:r>
      <w:r>
        <w:rPr>
          <w:rFonts w:ascii="Consolas" w:hAnsi="Consolas"/>
          <w:color w:val="2F6F9F"/>
          <w:sz w:val="18"/>
        </w:rPr>
        <w:t>months</w:t>
      </w:r>
      <w:r>
        <w:t xml:space="preserve"> column: 2020 holds only nine complete months, because the file begins on 22 March 2020, so the comparison must be made on </w:t>
      </w:r>
      <w:r>
        <w:rPr>
          <w:rFonts w:ascii="Consolas" w:hAnsi="Consolas"/>
          <w:color w:val="2F6F9F"/>
          <w:sz w:val="18"/>
        </w:rPr>
        <w:t>revenue_per_month</w:t>
      </w:r>
      <w:r>
        <w:t xml:space="preserve">. On that basis revenue climbed 30.9% from 2020 to the 2022 peak, then fell 15.8% in 2023 and a further 2.2% in 2024, finishing </w:t>
      </w:r>
      <w:r>
        <w:rPr>
          <w:b/>
        </w:rPr>
        <w:t>17.6% below the peak</w:t>
      </w:r>
      <w:r>
        <w:t xml:space="preserve">. The decisive detail is that </w:t>
      </w:r>
      <w:r>
        <w:rPr>
          <w:b/>
        </w:rPr>
        <w:t>average line value barely moved</w:t>
      </w:r>
      <w:r>
        <w:t xml:space="preserve"> across all five years (5,008–5,444, a 9% spread) while </w:t>
      </w:r>
      <w:r>
        <w:rPr>
          <w:b/>
        </w:rPr>
        <w:t>transaction count moved a lot</w:t>
      </w:r>
      <w:r>
        <w:t xml:space="preserve"> (18.6 lines per month in 2020, 24.0 in 2022, 20.0 in 2024).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430946"/>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430946"/>
                    </a:xfrm>
                    <a:prstGeom prst="rect"/>
                  </pic:spPr>
                </pic:pic>
              </a:graphicData>
            </a:graphic>
          </wp:inline>
        </w:drawing>
      </w:r>
    </w:p>
    <w:p>
      <w:pPr>
        <w:spacing w:after="200" w:line="240" w:lineRule="auto"/>
        <w:jc w:val="center"/>
      </w:pPr>
      <w:r>
        <w:rPr>
          <w:i/>
          <w:color w:val="7B8994"/>
          <w:sz w:val="20"/>
        </w:rPr>
        <w:t>Figure 1. Annual revenue and profit, 2020–2024. Revenue peaked in 2022.</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(11.09% of annual revenue) and October (10.70%) are the two strongest months; Q4 as a whole carries 29.4% of the year against the 25% a flat distribution would give. January is the trough at 4.73%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2" name="Picture 2"/>
            <wp:cNvGraphicFramePr>
              <a:graphicFrameLocks noChangeAspect="1"/>
            </wp:cNvGraphicFramePr>
            <a:graphic>
              <a:graphicData uri="http://schemas.openxmlformats.org/drawingml/2006/picture">
                <pic:pic>
                  <pic:nvPicPr>
                    <pic:cNvPr id="0" name="fig2_monthly_seasonality.png"/>
                    <pic:cNvPicPr/>
                  </pic:nvPicPr>
                  <pic:blipFill>
                    <a:blip r:embed="rId10"/>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2. Revenue by calendar month, 2020–2024 pooled. Demand concentrates in October and December.</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fact_sales → dim_date</w:t>
      </w:r>
      <w:r>
        <w:t xml:space="preserve">, </w:t>
      </w:r>
      <w:r>
        <w:rPr>
          <w:rFonts w:ascii="Consolas" w:hAnsi="Consolas"/>
          <w:color w:val="2F6F9F"/>
          <w:sz w:val="18"/>
        </w:rPr>
        <w:t>dim_sub_category → dim_category</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2020</w:t>
            </w:r>
          </w:p>
        </w:tc>
        <w:tc>
          <w:tcPr>
            <w:tcW w:type="dxa" w:w="1560"/>
          </w:tcPr>
          <w:p>
            <w:r>
              <w:rPr>
                <w:b/>
              </w:rPr>
            </w:r>
            <w:r>
              <w:rPr>
                <w:b/>
              </w:rPr>
              <w:t>2021</w:t>
            </w:r>
          </w:p>
        </w:tc>
        <w:tc>
          <w:tcPr>
            <w:tcW w:type="dxa" w:w="1560"/>
          </w:tcPr>
          <w:p>
            <w:r>
              <w:rPr>
                <w:b/>
              </w:rPr>
            </w:r>
            <w:r>
              <w:rPr>
                <w:b/>
              </w:rPr>
              <w:t>2022</w:t>
            </w:r>
          </w:p>
        </w:tc>
        <w:tc>
          <w:tcPr>
            <w:tcW w:type="dxa" w:w="1560"/>
          </w:tcPr>
          <w:p>
            <w:r>
              <w:rPr>
                <w:b/>
              </w:rPr>
            </w:r>
            <w:r>
              <w:rPr>
                <w:b/>
              </w:rPr>
              <w:t>2023</w:t>
            </w:r>
          </w:p>
        </w:tc>
        <w:tc>
          <w:tcPr>
            <w:tcW w:type="dxa" w:w="1560"/>
          </w:tcPr>
          <w:p>
            <w:r>
              <w:rPr>
                <w:b/>
              </w:rPr>
            </w:r>
            <w:r>
              <w:rPr>
                <w:b/>
              </w:rPr>
              <w:t>2024</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233,178</w:t>
            </w:r>
          </w:p>
        </w:tc>
        <w:tc>
          <w:tcPr>
            <w:tcW w:type="dxa" w:w="1560"/>
          </w:tcPr>
          <w:p>
            <w:pPr>
              <w:spacing w:line="240" w:lineRule="auto"/>
            </w:pPr>
            <w:r>
              <w:rPr>
                <w:sz w:val="18"/>
              </w:rPr>
            </w:r>
            <w:r>
              <w:rPr>
                <w:sz w:val="18"/>
              </w:rPr>
              <w:t>387,757</w:t>
            </w:r>
          </w:p>
        </w:tc>
        <w:tc>
          <w:tcPr>
            <w:tcW w:type="dxa" w:w="1560"/>
          </w:tcPr>
          <w:p>
            <w:pPr>
              <w:spacing w:line="240" w:lineRule="auto"/>
            </w:pPr>
            <w:r>
              <w:rPr>
                <w:sz w:val="18"/>
              </w:rPr>
            </w:r>
            <w:r>
              <w:rPr>
                <w:sz w:val="18"/>
              </w:rPr>
              <w:t>478,451</w:t>
            </w:r>
          </w:p>
        </w:tc>
        <w:tc>
          <w:tcPr>
            <w:tcW w:type="dxa" w:w="1560"/>
          </w:tcPr>
          <w:p>
            <w:pPr>
              <w:spacing w:line="240" w:lineRule="auto"/>
            </w:pPr>
            <w:r>
              <w:rPr>
                <w:sz w:val="18"/>
              </w:rPr>
            </w:r>
            <w:r>
              <w:rPr>
                <w:sz w:val="18"/>
              </w:rPr>
              <w:t>538,319</w:t>
            </w:r>
          </w:p>
        </w:tc>
        <w:tc>
          <w:tcPr>
            <w:tcW w:type="dxa" w:w="1560"/>
          </w:tcPr>
          <w:p>
            <w:pPr>
              <w:spacing w:line="240" w:lineRule="auto"/>
            </w:pPr>
            <w:r>
              <w:rPr>
                <w:sz w:val="18"/>
              </w:rPr>
            </w:r>
            <w:r>
              <w:rPr>
                <w:b/>
                <w:sz w:val="18"/>
              </w:rPr>
              <w:t>318,630</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299,708</w:t>
            </w:r>
          </w:p>
        </w:tc>
        <w:tc>
          <w:tcPr>
            <w:tcW w:type="dxa" w:w="1560"/>
          </w:tcPr>
          <w:p>
            <w:pPr>
              <w:spacing w:line="240" w:lineRule="auto"/>
            </w:pPr>
            <w:r>
              <w:rPr>
                <w:sz w:val="18"/>
              </w:rPr>
            </w:r>
            <w:r>
              <w:rPr>
                <w:sz w:val="18"/>
              </w:rPr>
              <w:t>391,342</w:t>
            </w:r>
          </w:p>
        </w:tc>
        <w:tc>
          <w:tcPr>
            <w:tcW w:type="dxa" w:w="1560"/>
          </w:tcPr>
          <w:p>
            <w:pPr>
              <w:spacing w:line="240" w:lineRule="auto"/>
            </w:pPr>
            <w:r>
              <w:rPr>
                <w:sz w:val="18"/>
              </w:rPr>
            </w:r>
            <w:r>
              <w:rPr>
                <w:sz w:val="18"/>
              </w:rPr>
              <w:t>496,353</w:t>
            </w:r>
          </w:p>
        </w:tc>
        <w:tc>
          <w:tcPr>
            <w:tcW w:type="dxa" w:w="1560"/>
          </w:tcPr>
          <w:p>
            <w:pPr>
              <w:spacing w:line="240" w:lineRule="auto"/>
            </w:pPr>
            <w:r>
              <w:rPr>
                <w:sz w:val="18"/>
              </w:rPr>
            </w:r>
            <w:r>
              <w:rPr>
                <w:sz w:val="18"/>
              </w:rPr>
              <w:t>385,893</w:t>
            </w:r>
          </w:p>
        </w:tc>
        <w:tc>
          <w:tcPr>
            <w:tcW w:type="dxa" w:w="1560"/>
          </w:tcPr>
          <w:p>
            <w:pPr>
              <w:spacing w:line="240" w:lineRule="auto"/>
            </w:pPr>
            <w:r>
              <w:rPr>
                <w:sz w:val="18"/>
              </w:rPr>
            </w:r>
            <w:r>
              <w:rPr>
                <w:sz w:val="18"/>
              </w:rPr>
              <w:t>415,878</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326,515</w:t>
            </w:r>
          </w:p>
        </w:tc>
        <w:tc>
          <w:tcPr>
            <w:tcW w:type="dxa" w:w="1560"/>
          </w:tcPr>
          <w:p>
            <w:pPr>
              <w:spacing w:line="240" w:lineRule="auto"/>
            </w:pPr>
            <w:r>
              <w:rPr>
                <w:sz w:val="18"/>
              </w:rPr>
            </w:r>
            <w:r>
              <w:rPr>
                <w:sz w:val="18"/>
              </w:rPr>
              <w:t>402,347</w:t>
            </w:r>
          </w:p>
        </w:tc>
        <w:tc>
          <w:tcPr>
            <w:tcW w:type="dxa" w:w="1560"/>
          </w:tcPr>
          <w:p>
            <w:pPr>
              <w:spacing w:line="240" w:lineRule="auto"/>
            </w:pPr>
            <w:r>
              <w:rPr>
                <w:sz w:val="18"/>
              </w:rPr>
            </w:r>
            <w:r>
              <w:rPr>
                <w:sz w:val="18"/>
              </w:rPr>
              <w:t>484,971</w:t>
            </w:r>
          </w:p>
        </w:tc>
        <w:tc>
          <w:tcPr>
            <w:tcW w:type="dxa" w:w="1560"/>
          </w:tcPr>
          <w:p>
            <w:pPr>
              <w:spacing w:line="240" w:lineRule="auto"/>
            </w:pPr>
            <w:r>
              <w:rPr>
                <w:sz w:val="18"/>
              </w:rPr>
            </w:r>
            <w:r>
              <w:rPr>
                <w:sz w:val="18"/>
              </w:rPr>
              <w:t>305,511</w:t>
            </w:r>
          </w:p>
        </w:tc>
        <w:tc>
          <w:tcPr>
            <w:tcW w:type="dxa" w:w="1560"/>
          </w:tcPr>
          <w:p>
            <w:pPr>
              <w:spacing w:line="240" w:lineRule="auto"/>
            </w:pPr>
            <w:r>
              <w:rPr>
                <w:sz w:val="18"/>
              </w:rPr>
            </w:r>
            <w:r>
              <w:rPr>
                <w:sz w:val="18"/>
              </w:rPr>
              <w:t>467,970</w:t>
            </w:r>
          </w:p>
        </w:tc>
      </w:tr>
    </w:tbl>
    <w:p>
      <w:pPr>
        <w:spacing w:after="200" w:line="240" w:lineRule="auto"/>
        <w:jc w:val="center"/>
      </w:pPr>
      <w:r>
        <w:rPr>
          <w:i/>
          <w:color w:val="7B8994"/>
          <w:sz w:val="20"/>
        </w:rPr>
        <w:t>Table 8. Q5 — revenue by product category per year.</w:t>
      </w:r>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3_category_trend.png"/>
                    <pic:cNvPicPr/>
                  </pic:nvPicPr>
                  <pic:blipFill>
                    <a:blip r:embed="rId11"/>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3. Revenue by product category per year. Electronics reversed in 2024 while Office Supplies rebounded.</w:t>
      </w:r>
    </w:p>
    <w:p>
      <w:pPr>
        <w:pStyle w:val="Heading3"/>
      </w:pPr>
      <w:r>
        <w:t>Q6 — Top cities by revenue and revenue per customer</w:t>
      </w:r>
    </w:p>
    <w:p>
      <w:r>
        <w:t xml:space="preserve">Joins 4 tables: </w:t>
      </w:r>
      <w:r>
        <w:rPr>
          <w:rFonts w:ascii="Consolas" w:hAnsi="Consolas"/>
          <w:color w:val="2F6F9F"/>
          <w:sz w:val="18"/>
        </w:rPr>
        <w:t>fact_sales → dim_customer → dim_city → dim_state</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state</w:t>
            </w:r>
          </w:p>
        </w:tc>
        <w:tc>
          <w:tcPr>
            <w:tcW w:type="dxa" w:w="1560"/>
          </w:tcPr>
          <w:p>
            <w:r>
              <w:rPr>
                <w:b/>
              </w:rPr>
            </w:r>
            <w:r>
              <w:rPr>
                <w:b/>
              </w:rPr>
              <w:t>city</w:t>
            </w:r>
          </w:p>
        </w:tc>
        <w:tc>
          <w:tcPr>
            <w:tcW w:type="dxa" w:w="1560"/>
          </w:tcPr>
          <w:p>
            <w:r>
              <w:rPr>
                <w:b/>
              </w:rPr>
            </w:r>
            <w:r>
              <w:rPr>
                <w:b/>
              </w:rPr>
              <w:t>customers</w:t>
            </w:r>
          </w:p>
        </w:tc>
        <w:tc>
          <w:tcPr>
            <w:tcW w:type="dxa" w:w="1560"/>
          </w:tcPr>
          <w:p>
            <w:r>
              <w:rPr>
                <w:b/>
              </w:rPr>
            </w:r>
            <w:r>
              <w:rPr>
                <w:b/>
              </w:rPr>
              <w:t>revenue</w:t>
            </w:r>
          </w:p>
        </w:tc>
        <w:tc>
          <w:tcPr>
            <w:tcW w:type="dxa" w:w="1560"/>
          </w:tcPr>
          <w:p>
            <w:r>
              <w:rPr>
                <w:b/>
              </w:rPr>
            </w:r>
            <w:r>
              <w:rPr>
                <w:b/>
              </w:rPr>
              <w:t>revenue_per_customer</w:t>
            </w:r>
          </w:p>
        </w:tc>
        <w:tc>
          <w:tcPr>
            <w:tcW w:type="dxa" w:w="1560"/>
          </w:tcPr>
          <w:p>
            <w:r>
              <w:rPr>
                <w:b/>
              </w:rPr>
            </w:r>
            <w:r>
              <w:rPr>
                <w:b/>
              </w:rPr>
              <w:t>margin_pct</w:t>
            </w:r>
          </w:p>
        </w:tc>
      </w:tr>
      <w:tr>
        <w:tc>
          <w:tcPr>
            <w:tcW w:type="dxa" w:w="1560"/>
          </w:tcPr>
          <w:p>
            <w:pPr>
              <w:spacing w:line="240" w:lineRule="auto"/>
            </w:pPr>
            <w:r>
              <w:rPr>
                <w:sz w:val="18"/>
              </w:rPr>
            </w:r>
            <w:r>
              <w:rPr>
                <w:sz w:val="18"/>
              </w:rPr>
              <w:t>Florida</w:t>
            </w:r>
          </w:p>
        </w:tc>
        <w:tc>
          <w:tcPr>
            <w:tcW w:type="dxa" w:w="1560"/>
          </w:tcPr>
          <w:p>
            <w:pPr>
              <w:spacing w:line="240" w:lineRule="auto"/>
            </w:pPr>
            <w:r>
              <w:rPr>
                <w:sz w:val="18"/>
              </w:rPr>
            </w:r>
            <w:r>
              <w:rPr>
                <w:sz w:val="18"/>
              </w:rPr>
              <w:t>Orlando</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452,158</w:t>
            </w:r>
          </w:p>
        </w:tc>
        <w:tc>
          <w:tcPr>
            <w:tcW w:type="dxa" w:w="1560"/>
          </w:tcPr>
          <w:p>
            <w:pPr>
              <w:spacing w:line="240" w:lineRule="auto"/>
            </w:pPr>
            <w:r>
              <w:rPr>
                <w:sz w:val="18"/>
              </w:rPr>
            </w:r>
            <w:r>
              <w:rPr>
                <w:sz w:val="18"/>
              </w:rPr>
              <w:t>9,829.52</w:t>
            </w:r>
          </w:p>
        </w:tc>
        <w:tc>
          <w:tcPr>
            <w:tcW w:type="dxa" w:w="1560"/>
          </w:tcPr>
          <w:p>
            <w:pPr>
              <w:spacing w:line="240" w:lineRule="auto"/>
            </w:pPr>
            <w:r>
              <w:rPr>
                <w:sz w:val="18"/>
              </w:rPr>
            </w:r>
            <w:r>
              <w:rPr>
                <w:sz w:val="18"/>
              </w:rPr>
              <w:t>28.34</w:t>
            </w:r>
          </w:p>
        </w:tc>
      </w:tr>
      <w:tr>
        <w:tc>
          <w:tcPr>
            <w:tcW w:type="dxa" w:w="1560"/>
          </w:tcPr>
          <w:p>
            <w:pPr>
              <w:spacing w:line="240" w:lineRule="auto"/>
            </w:pPr>
            <w:r>
              <w:rPr>
                <w:sz w:val="18"/>
              </w:rPr>
            </w:r>
            <w:r>
              <w:rPr>
                <w:sz w:val="18"/>
              </w:rPr>
              <w:t>California</w:t>
            </w:r>
          </w:p>
        </w:tc>
        <w:tc>
          <w:tcPr>
            <w:tcW w:type="dxa" w:w="1560"/>
          </w:tcPr>
          <w:p>
            <w:pPr>
              <w:spacing w:line="240" w:lineRule="auto"/>
            </w:pPr>
            <w:r>
              <w:rPr>
                <w:sz w:val="18"/>
              </w:rPr>
            </w:r>
            <w:r>
              <w:rPr>
                <w:sz w:val="18"/>
              </w:rPr>
              <w:t>San Francisco</w:t>
            </w:r>
          </w:p>
        </w:tc>
        <w:tc>
          <w:tcPr>
            <w:tcW w:type="dxa" w:w="1560"/>
          </w:tcPr>
          <w:p>
            <w:pPr>
              <w:spacing w:line="240" w:lineRule="auto"/>
            </w:pPr>
            <w:r>
              <w:rPr>
                <w:sz w:val="18"/>
              </w:rPr>
            </w:r>
            <w:r>
              <w:rPr>
                <w:sz w:val="18"/>
              </w:rPr>
              <w:t>53</w:t>
            </w:r>
          </w:p>
        </w:tc>
        <w:tc>
          <w:tcPr>
            <w:tcW w:type="dxa" w:w="1560"/>
          </w:tcPr>
          <w:p>
            <w:pPr>
              <w:spacing w:line="240" w:lineRule="auto"/>
            </w:pPr>
            <w:r>
              <w:rPr>
                <w:sz w:val="18"/>
              </w:rPr>
            </w:r>
            <w:r>
              <w:rPr>
                <w:sz w:val="18"/>
              </w:rPr>
              <w:t>440,000</w:t>
            </w:r>
          </w:p>
        </w:tc>
        <w:tc>
          <w:tcPr>
            <w:tcW w:type="dxa" w:w="1560"/>
          </w:tcPr>
          <w:p>
            <w:pPr>
              <w:spacing w:line="240" w:lineRule="auto"/>
            </w:pPr>
            <w:r>
              <w:rPr>
                <w:sz w:val="18"/>
              </w:rPr>
            </w:r>
            <w:r>
              <w:rPr>
                <w:sz w:val="18"/>
              </w:rPr>
              <w:t>8,301.89</w:t>
            </w:r>
          </w:p>
        </w:tc>
        <w:tc>
          <w:tcPr>
            <w:tcW w:type="dxa" w:w="1560"/>
          </w:tcPr>
          <w:p>
            <w:pPr>
              <w:spacing w:line="240" w:lineRule="auto"/>
            </w:pPr>
            <w:r>
              <w:rPr>
                <w:sz w:val="18"/>
              </w:rPr>
            </w:r>
            <w:r>
              <w:rPr>
                <w:sz w:val="18"/>
              </w:rPr>
              <w:t>24.57</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Buffalo</w:t>
            </w:r>
          </w:p>
        </w:tc>
        <w:tc>
          <w:tcPr>
            <w:tcW w:type="dxa" w:w="1560"/>
          </w:tcPr>
          <w:p>
            <w:pPr>
              <w:spacing w:line="240" w:lineRule="auto"/>
            </w:pPr>
            <w:r>
              <w:rPr>
                <w:sz w:val="18"/>
              </w:rPr>
            </w:r>
            <w:r>
              <w:rPr>
                <w:sz w:val="18"/>
              </w:rPr>
              <w:t>58</w:t>
            </w:r>
          </w:p>
        </w:tc>
        <w:tc>
          <w:tcPr>
            <w:tcW w:type="dxa" w:w="1560"/>
          </w:tcPr>
          <w:p>
            <w:pPr>
              <w:spacing w:line="240" w:lineRule="auto"/>
            </w:pPr>
            <w:r>
              <w:rPr>
                <w:sz w:val="18"/>
              </w:rPr>
            </w:r>
            <w:r>
              <w:rPr>
                <w:sz w:val="18"/>
              </w:rPr>
              <w:t>418,514</w:t>
            </w:r>
          </w:p>
        </w:tc>
        <w:tc>
          <w:tcPr>
            <w:tcW w:type="dxa" w:w="1560"/>
          </w:tcPr>
          <w:p>
            <w:pPr>
              <w:spacing w:line="240" w:lineRule="auto"/>
            </w:pPr>
            <w:r>
              <w:rPr>
                <w:sz w:val="18"/>
              </w:rPr>
            </w:r>
            <w:r>
              <w:rPr>
                <w:sz w:val="18"/>
              </w:rPr>
              <w:t>7,215.76</w:t>
            </w:r>
          </w:p>
        </w:tc>
        <w:tc>
          <w:tcPr>
            <w:tcW w:type="dxa" w:w="1560"/>
          </w:tcPr>
          <w:p>
            <w:pPr>
              <w:spacing w:line="240" w:lineRule="auto"/>
            </w:pPr>
            <w:r>
              <w:rPr>
                <w:sz w:val="18"/>
              </w:rPr>
            </w:r>
            <w:r>
              <w:rPr>
                <w:sz w:val="18"/>
              </w:rPr>
              <w:t>26.72</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Rochester</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407,291</w:t>
            </w:r>
          </w:p>
        </w:tc>
        <w:tc>
          <w:tcPr>
            <w:tcW w:type="dxa" w:w="1560"/>
          </w:tcPr>
          <w:p>
            <w:pPr>
              <w:spacing w:line="240" w:lineRule="auto"/>
            </w:pPr>
            <w:r>
              <w:rPr>
                <w:sz w:val="18"/>
              </w:rPr>
            </w:r>
            <w:r>
              <w:rPr>
                <w:sz w:val="18"/>
              </w:rPr>
              <w:t>8,854.15</w:t>
            </w:r>
          </w:p>
        </w:tc>
        <w:tc>
          <w:tcPr>
            <w:tcW w:type="dxa" w:w="1560"/>
          </w:tcPr>
          <w:p>
            <w:pPr>
              <w:spacing w:line="240" w:lineRule="auto"/>
            </w:pPr>
            <w:r>
              <w:rPr>
                <w:sz w:val="18"/>
              </w:rPr>
            </w:r>
            <w:r>
              <w:rPr>
                <w:sz w:val="18"/>
              </w:rPr>
              <w:t>26.94</w:t>
            </w:r>
          </w:p>
        </w:tc>
      </w:tr>
      <w:tr>
        <w:tc>
          <w:tcPr>
            <w:tcW w:type="dxa" w:w="1560"/>
          </w:tcPr>
          <w:p>
            <w:pPr>
              <w:spacing w:line="240" w:lineRule="auto"/>
            </w:pPr>
            <w:r>
              <w:rPr>
                <w:sz w:val="18"/>
              </w:rPr>
            </w:r>
            <w:r>
              <w:rPr>
                <w:sz w:val="18"/>
              </w:rPr>
              <w:t>Texas</w:t>
            </w:r>
          </w:p>
        </w:tc>
        <w:tc>
          <w:tcPr>
            <w:tcW w:type="dxa" w:w="1560"/>
          </w:tcPr>
          <w:p>
            <w:pPr>
              <w:spacing w:line="240" w:lineRule="auto"/>
            </w:pPr>
            <w:r>
              <w:rPr>
                <w:sz w:val="18"/>
              </w:rPr>
            </w:r>
            <w:r>
              <w:rPr>
                <w:sz w:val="18"/>
              </w:rPr>
              <w:t>Dallas</w:t>
            </w:r>
          </w:p>
        </w:tc>
        <w:tc>
          <w:tcPr>
            <w:tcW w:type="dxa" w:w="1560"/>
          </w:tcPr>
          <w:p>
            <w:pPr>
              <w:spacing w:line="240" w:lineRule="auto"/>
            </w:pPr>
            <w:r>
              <w:rPr>
                <w:sz w:val="18"/>
              </w:rPr>
            </w:r>
            <w:r>
              <w:rPr>
                <w:sz w:val="18"/>
              </w:rPr>
              <w:t>50</w:t>
            </w:r>
          </w:p>
        </w:tc>
        <w:tc>
          <w:tcPr>
            <w:tcW w:type="dxa" w:w="1560"/>
          </w:tcPr>
          <w:p>
            <w:pPr>
              <w:spacing w:line="240" w:lineRule="auto"/>
            </w:pPr>
            <w:r>
              <w:rPr>
                <w:sz w:val="18"/>
              </w:rPr>
            </w:r>
            <w:r>
              <w:rPr>
                <w:sz w:val="18"/>
              </w:rPr>
              <w:t>390,144</w:t>
            </w:r>
          </w:p>
        </w:tc>
        <w:tc>
          <w:tcPr>
            <w:tcW w:type="dxa" w:w="1560"/>
          </w:tcPr>
          <w:p>
            <w:pPr>
              <w:spacing w:line="240" w:lineRule="auto"/>
            </w:pPr>
            <w:r>
              <w:rPr>
                <w:sz w:val="18"/>
              </w:rPr>
            </w:r>
            <w:r>
              <w:rPr>
                <w:sz w:val="18"/>
              </w:rPr>
              <w:t>7,802.88</w:t>
            </w:r>
          </w:p>
        </w:tc>
        <w:tc>
          <w:tcPr>
            <w:tcW w:type="dxa" w:w="1560"/>
          </w:tcPr>
          <w:p>
            <w:pPr>
              <w:spacing w:line="240" w:lineRule="auto"/>
            </w:pPr>
            <w:r>
              <w:rPr>
                <w:sz w:val="18"/>
              </w:rPr>
            </w:r>
            <w:r>
              <w:rPr>
                <w:sz w:val="18"/>
              </w:rPr>
              <w:t>26.27</w:t>
            </w:r>
          </w:p>
        </w:tc>
      </w:tr>
    </w:tbl>
    <w:p>
      <w:pPr>
        <w:spacing w:after="200" w:line="240" w:lineRule="auto"/>
        <w:jc w:val="center"/>
      </w:pPr>
      <w:r>
        <w:rPr>
          <w:i/>
          <w:color w:val="7B8994"/>
          <w:sz w:val="20"/>
        </w:rPr>
        <w:t>Table 9. Q6 — top cities by revenue and revenue per customer.</w:t>
      </w:r>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sub_category</w:t>
            </w:r>
          </w:p>
        </w:tc>
        <w:tc>
          <w:tcPr>
            <w:tcW w:type="dxa" w:w="1560"/>
          </w:tcPr>
          <w:p>
            <w:r>
              <w:rPr>
                <w:b/>
              </w:rPr>
            </w:r>
            <w:r>
              <w:rPr>
                <w:b/>
              </w:rPr>
              <w:t>revenue_2023</w:t>
            </w:r>
          </w:p>
        </w:tc>
        <w:tc>
          <w:tcPr>
            <w:tcW w:type="dxa" w:w="1560"/>
          </w:tcPr>
          <w:p>
            <w:r>
              <w:rPr>
                <w:b/>
              </w:rPr>
            </w:r>
            <w:r>
              <w:rPr>
                <w:b/>
              </w:rPr>
              <w:t>revenue_2024</w:t>
            </w:r>
          </w:p>
        </w:tc>
        <w:tc>
          <w:tcPr>
            <w:tcW w:type="dxa" w:w="1560"/>
          </w:tcPr>
          <w:p>
            <w:r>
              <w:rPr>
                <w:b/>
              </w:rPr>
            </w:r>
            <w:r>
              <w:rPr>
                <w:b/>
              </w:rPr>
              <w:t>change_abs</w:t>
            </w:r>
          </w:p>
        </w:tc>
        <w:tc>
          <w:tcPr>
            <w:tcW w:type="dxa" w:w="1560"/>
          </w:tcPr>
          <w:p>
            <w:r>
              <w:rPr>
                <w:b/>
              </w:rPr>
            </w:r>
            <w:r>
              <w:rPr>
                <w:b/>
              </w:rPr>
              <w:t>change_pct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10. Q7 — sub-category revenue change, 2023 vs 2024.</w:t>
      </w:r>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11. Q8 — each quarter's share of its own category's annual revenue.</w:t>
      </w:r>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32.2% of their own annual revenue), consistent with holiday and new-fiscal-year buying. </w:t>
      </w:r>
      <w:r>
        <w:rPr>
          <w:b/>
        </w:rPr>
        <w:t>Electronics does not</w:t>
      </w:r>
      <w:r>
        <w:t xml:space="preserve"> — it peaks in Q2 at 30.79%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per month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Raw data</w:t>
            </w:r>
          </w:p>
        </w:tc>
        <w:tc>
          <w:tcPr>
            <w:tcW w:type="dxa" w:w="4680"/>
          </w:tcPr>
          <w:p>
            <w:pPr>
              <w:spacing w:line="240" w:lineRule="auto"/>
            </w:pPr>
            <w:r>
              <w:rPr>
                <w:sz w:val="18"/>
              </w:rPr>
            </w:r>
            <w:r>
              <w:rPr>
                <w:rFonts w:ascii="Consolas" w:hAnsi="Consolas"/>
                <w:color w:val="2F6F9F"/>
                <w:sz w:val="18"/>
              </w:rPr>
              <w:t>data/raw/sales_dataset_raw.csv</w:t>
            </w:r>
          </w:p>
        </w:tc>
      </w:tr>
      <w:tr>
        <w:tc>
          <w:tcPr>
            <w:tcW w:type="dxa" w:w="4680"/>
          </w:tcPr>
          <w:p>
            <w:pPr>
              <w:spacing w:line="240" w:lineRule="auto"/>
            </w:pPr>
            <w:r>
              <w:rPr>
                <w:sz w:val="18"/>
              </w:rPr>
            </w:r>
            <w:r>
              <w:rPr>
                <w:sz w:val="18"/>
              </w:rPr>
              <w:t>Cleaned tables</w:t>
            </w:r>
          </w:p>
        </w:tc>
        <w:tc>
          <w:tcPr>
            <w:tcW w:type="dxa" w:w="4680"/>
          </w:tcPr>
          <w:p>
            <w:pPr>
              <w:spacing w:line="240" w:lineRule="auto"/>
            </w:pPr>
            <w:r>
              <w:rPr>
                <w:sz w:val="18"/>
              </w:rPr>
            </w:r>
            <w:r>
              <w:rPr>
                <w:rFonts w:ascii="Consolas" w:hAnsi="Consolas"/>
                <w:color w:val="2F6F9F"/>
                <w:sz w:val="18"/>
              </w:rPr>
              <w:t>data/processed/*.csv</w:t>
            </w:r>
          </w:p>
        </w:tc>
      </w:tr>
      <w:tr>
        <w:tc>
          <w:tcPr>
            <w:tcW w:type="dxa" w:w="4680"/>
          </w:tcPr>
          <w:p>
            <w:pPr>
              <w:spacing w:line="240" w:lineRule="auto"/>
            </w:pPr>
            <w:r>
              <w:rPr>
                <w:sz w:val="18"/>
              </w:rPr>
            </w:r>
            <w:r>
              <w:rPr>
                <w:sz w:val="18"/>
              </w:rPr>
              <w:t>MySQL schema</w:t>
            </w:r>
          </w:p>
        </w:tc>
        <w:tc>
          <w:tcPr>
            <w:tcW w:type="dxa" w:w="4680"/>
          </w:tcPr>
          <w:p>
            <w:pPr>
              <w:spacing w:line="240" w:lineRule="auto"/>
            </w:pPr>
            <w:r>
              <w:rPr>
                <w:sz w:val="18"/>
              </w:rPr>
            </w:r>
            <w:r>
              <w:rPr>
                <w:rFonts w:ascii="Consolas" w:hAnsi="Consolas"/>
                <w:color w:val="2F6F9F"/>
                <w:sz w:val="18"/>
              </w:rPr>
              <w:t>sql/01_schema_mysql.sql</w:t>
            </w:r>
          </w:p>
        </w:tc>
      </w:tr>
      <w:tr>
        <w:tc>
          <w:tcPr>
            <w:tcW w:type="dxa" w:w="4680"/>
          </w:tcPr>
          <w:p>
            <w:pPr>
              <w:spacing w:line="240" w:lineRule="auto"/>
            </w:pPr>
            <w:r>
              <w:rPr>
                <w:sz w:val="18"/>
              </w:rPr>
            </w:r>
            <w:r>
              <w:rPr>
                <w:sz w:val="18"/>
              </w:rPr>
              <w:t>Generated INSERTs</w:t>
            </w:r>
          </w:p>
        </w:tc>
        <w:tc>
          <w:tcPr>
            <w:tcW w:type="dxa" w:w="4680"/>
          </w:tcPr>
          <w:p>
            <w:pPr>
              <w:spacing w:line="240" w:lineRule="auto"/>
            </w:pPr>
            <w:r>
              <w:rPr>
                <w:sz w:val="18"/>
              </w:rPr>
            </w:r>
            <w:r>
              <w:rPr>
                <w:rFonts w:ascii="Consolas" w:hAnsi="Consolas"/>
                <w:color w:val="2F6F9F"/>
                <w:sz w:val="18"/>
              </w:rPr>
              <w:t>sql/03_insert_data.sql</w:t>
            </w:r>
          </w:p>
        </w:tc>
      </w:tr>
      <w:tr>
        <w:tc>
          <w:tcPr>
            <w:tcW w:type="dxa" w:w="4680"/>
          </w:tcPr>
          <w:p>
            <w:pPr>
              <w:spacing w:line="240" w:lineRule="auto"/>
            </w:pPr>
            <w:r>
              <w:rPr>
                <w:sz w:val="18"/>
              </w:rPr>
            </w:r>
            <w:r>
              <w:rPr>
                <w:sz w:val="18"/>
              </w:rPr>
              <w:t>Query set</w:t>
            </w:r>
          </w:p>
        </w:tc>
        <w:tc>
          <w:tcPr>
            <w:tcW w:type="dxa" w:w="4680"/>
          </w:tcPr>
          <w:p>
            <w:pPr>
              <w:spacing w:line="240" w:lineRule="auto"/>
            </w:pPr>
            <w:r>
              <w:rPr>
                <w:sz w:val="18"/>
              </w:rPr>
            </w:r>
            <w:r>
              <w:rPr>
                <w:rFonts w:ascii="Consolas" w:hAnsi="Consolas"/>
                <w:color w:val="2F6F9F"/>
                <w:sz w:val="18"/>
              </w:rPr>
              <w:t>sql/04_queries.sql</w:t>
            </w:r>
          </w:p>
        </w:tc>
      </w:tr>
      <w:tr>
        <w:tc>
          <w:tcPr>
            <w:tcW w:type="dxa" w:w="4680"/>
          </w:tcPr>
          <w:p>
            <w:pPr>
              <w:spacing w:line="240" w:lineRule="auto"/>
            </w:pPr>
            <w:r>
              <w:rPr>
                <w:sz w:val="18"/>
              </w:rPr>
            </w:r>
            <w:r>
              <w:rPr>
                <w:sz w:val="18"/>
              </w:rPr>
              <w:t>Full query output</w:t>
            </w:r>
          </w:p>
        </w:tc>
        <w:tc>
          <w:tcPr>
            <w:tcW w:type="dxa" w:w="4680"/>
          </w:tcPr>
          <w:p>
            <w:pPr>
              <w:spacing w:line="240" w:lineRule="auto"/>
            </w:pPr>
            <w:r>
              <w:rPr>
                <w:sz w:val="18"/>
              </w:rPr>
            </w:r>
            <w:r>
              <w:rPr>
                <w:rFonts w:ascii="Consolas" w:hAnsi="Consolas"/>
                <w:color w:val="2F6F9F"/>
                <w:sz w:val="18"/>
              </w:rPr>
              <w:t>reports/query_results.md</w:t>
            </w:r>
          </w:p>
        </w:tc>
      </w:tr>
      <w:tr>
        <w:tc>
          <w:tcPr>
            <w:tcW w:type="dxa" w:w="4680"/>
          </w:tcPr>
          <w:p>
            <w:pPr>
              <w:spacing w:line="240" w:lineRule="auto"/>
            </w:pPr>
            <w:r>
              <w:rPr>
                <w:sz w:val="18"/>
              </w:rPr>
            </w:r>
            <w:r>
              <w:rPr>
                <w:sz w:val="18"/>
              </w:rPr>
              <w:t>Data quality evidence</w:t>
            </w:r>
          </w:p>
        </w:tc>
        <w:tc>
          <w:tcPr>
            <w:tcW w:type="dxa" w:w="4680"/>
          </w:tcPr>
          <w:p>
            <w:pPr>
              <w:spacing w:line="240" w:lineRule="auto"/>
            </w:pPr>
            <w:r>
              <w:rPr>
                <w:sz w:val="18"/>
              </w:rPr>
            </w:r>
            <w:r>
              <w:rPr>
                <w:rFonts w:ascii="Consolas" w:hAnsi="Consolas"/>
                <w:color w:val="2F6F9F"/>
                <w:sz w:val="18"/>
              </w:rPr>
              <w:t>reports/data_quality_report.md</w:t>
            </w:r>
          </w:p>
        </w:tc>
      </w:tr>
      <w:tr>
        <w:tc>
          <w:tcPr>
            <w:tcW w:type="dxa" w:w="4680"/>
          </w:tcPr>
          <w:p>
            <w:pPr>
              <w:spacing w:line="240" w:lineRule="auto"/>
            </w:pPr>
            <w:r>
              <w:rPr>
                <w:sz w:val="18"/>
              </w:rPr>
            </w:r>
            <w:r>
              <w:rPr>
                <w:sz w:val="18"/>
              </w:rPr>
              <w:t>ERD</w:t>
            </w:r>
          </w:p>
        </w:tc>
        <w:tc>
          <w:tcPr>
            <w:tcW w:type="dxa" w:w="4680"/>
          </w:tcPr>
          <w:p>
            <w:pPr>
              <w:spacing w:line="240" w:lineRule="auto"/>
            </w:pPr>
            <w:r>
              <w:rPr>
                <w:sz w:val="18"/>
              </w:rPr>
            </w:r>
            <w:r>
              <w:rPr>
                <w:rFonts w:ascii="Consolas" w:hAnsi="Consolas"/>
                <w:color w:val="2F6F9F"/>
                <w:sz w:val="18"/>
              </w:rPr>
              <w:t>docs/erd.md</w:t>
            </w:r>
          </w:p>
        </w:tc>
      </w:tr>
    </w:tbl>
    <w:p>
      <w:pPr>
        <w:spacing w:after="200" w:line="240" w:lineRule="auto"/>
        <w:jc w:val="center"/>
      </w:pPr>
      <w:r>
        <w:rPr>
          <w:i/>
          <w:color w:val="7B8994"/>
          <w:sz w:val="20"/>
        </w:rPr>
        <w:t>Table 12. Project artefacts and their locations in the repository.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