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[Figure 1 — have this on screen.]</w:t>
      </w:r>
    </w:p>
    <w:p>
      <w:pPr>
        <w:jc w:val="center"/>
      </w:pPr>
      <w:r>
        <w:drawing>
          <wp:inline xmlns:a="http://schemas.openxmlformats.org/drawingml/2006/main" xmlns:pic="http://schemas.openxmlformats.org/drawingml/2006/picture">
            <wp:extent cx="5486400" cy="3612614"/>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612614"/>
                    </a:xfrm>
                    <a:prstGeom prst="rect"/>
                  </pic:spPr>
                </pic:pic>
              </a:graphicData>
            </a:graphic>
          </wp:inline>
        </w:drawing>
      </w:r>
    </w:p>
    <w:p>
      <w:pPr>
        <w:spacing w:after="200" w:line="240" w:lineRule="auto"/>
        <w:jc w:val="center"/>
      </w:pPr>
      <w:r>
        <w:rPr>
          <w:i/>
          <w:color w:val="7B8994"/>
          <w:sz w:val="20"/>
        </w:rPr>
        <w:t>Figure 1. Revenue per month by year. Growth to the 2022 peak, then two years of decline.</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[The histogram and the statistics — have these on screen.]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2. Descriptive statistics for the three numerical variables, n = 1,194.</w:t>
      </w:r>
    </w:p>
    <w:p>
      <w:pPr>
        <w:jc w:val="center"/>
      </w:pPr>
      <w:r>
        <w:drawing>
          <wp:inline xmlns:a="http://schemas.openxmlformats.org/drawingml/2006/main" xmlns:pic="http://schemas.openxmlformats.org/drawingml/2006/picture">
            <wp:extent cx="5486400" cy="3207838"/>
            <wp:docPr id="2" name="Picture 2"/>
            <wp:cNvGraphicFramePr>
              <a:graphicFrameLocks noChangeAspect="1"/>
            </wp:cNvGraphicFramePr>
            <a:graphic>
              <a:graphicData uri="http://schemas.openxmlformats.org/drawingml/2006/picture">
                <pic:pic>
                  <pic:nvPicPr>
                    <pic:cNvPr id="0" name="cp2_fig1_histogram.png"/>
                    <pic:cNvPicPr/>
                  </pic:nvPicPr>
                  <pic:blipFill>
                    <a:blip r:embed="rId10"/>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2. Frequency distribution of Amount. The flat shape is the finding.</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[The two scatter plots — have these on screen.]</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 Monthly orders against monthly revenue, with the fitted line.</w:t>
      </w:r>
    </w:p>
    <w:p>
      <w:pPr>
        <w:jc w:val="center"/>
      </w:pPr>
      <w:r>
        <w:drawing>
          <wp:inline xmlns:a="http://schemas.openxmlformats.org/drawingml/2006/main" xmlns:pic="http://schemas.openxmlformats.org/drawingml/2006/picture">
            <wp:extent cx="5486400" cy="3319503"/>
            <wp:docPr id="4" name="Picture 4"/>
            <wp:cNvGraphicFramePr>
              <a:graphicFrameLocks noChangeAspect="1"/>
            </wp:cNvGraphicFramePr>
            <a:graphic>
              <a:graphicData uri="http://schemas.openxmlformats.org/drawingml/2006/picture">
                <pic:pic>
                  <pic:nvPicPr>
                    <pic:cNvPr id="0" name="cp2_fig3_no_correlation.png"/>
                    <pic:cNvPicPr/>
                  </pic:nvPicPr>
                  <pic:blipFill>
                    <a:blip r:embed="rId12"/>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4. Quantity against Amount at line level. The near-flat trendline is the finding.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Measure</w:t>
            </w:r>
          </w:p>
        </w:tc>
        <w:tc>
          <w:tcPr>
            <w:tcW w:type="dxa" w:w="3120"/>
          </w:tcPr>
          <w:p>
            <w:r>
              <w:rPr>
                <w:b/>
              </w:rPr>
            </w:r>
            <w:r>
              <w:rPr>
                <w:b/>
              </w:rPr>
              <w:t>Orders vs revenue</w:t>
            </w:r>
          </w:p>
        </w:tc>
        <w:tc>
          <w:tcPr>
            <w:tcW w:type="dxa" w:w="3120"/>
          </w:tcPr>
          <w:p>
            <w:r>
              <w:rPr>
                <w:b/>
              </w:rPr>
            </w:r>
            <w:r>
              <w:rPr>
                <w:b/>
              </w:rPr>
              <w:t>Quantity vs amount</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b/>
                <w:sz w:val="18"/>
              </w:rPr>
              <w:t>+0.9227</w:t>
            </w:r>
          </w:p>
        </w:tc>
        <w:tc>
          <w:tcPr>
            <w:tcW w:type="dxa" w:w="3120"/>
          </w:tcPr>
          <w:p>
            <w:pPr>
              <w:spacing w:line="240" w:lineRule="auto"/>
            </w:pPr>
            <w:r>
              <w:rPr>
                <w:sz w:val="18"/>
              </w:rPr>
            </w:r>
            <w:r>
              <w:rPr>
                <w:b/>
                <w:sz w:val="18"/>
              </w:rPr>
              <w:t>+0.0446</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0.8514</w:t>
            </w:r>
          </w:p>
        </w:tc>
        <w:tc>
          <w:tcPr>
            <w:tcW w:type="dxa" w:w="3120"/>
          </w:tcPr>
          <w:p>
            <w:pPr>
              <w:spacing w:line="240" w:lineRule="auto"/>
            </w:pPr>
            <w:r>
              <w:rPr>
                <w:sz w:val="18"/>
              </w:rPr>
            </w:r>
            <w:r>
              <w:rPr>
                <w:sz w:val="18"/>
              </w:rPr>
              <w:t>0.0020</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1.98 × 10⁻²⁴</w:t>
            </w:r>
          </w:p>
        </w:tc>
        <w:tc>
          <w:tcPr>
            <w:tcW w:type="dxa" w:w="3120"/>
          </w:tcPr>
          <w:p>
            <w:pPr>
              <w:spacing w:line="240" w:lineRule="auto"/>
            </w:pPr>
            <w:r>
              <w:rPr>
                <w:sz w:val="18"/>
              </w:rPr>
            </w:r>
            <w:r>
              <w:rPr>
                <w:sz w:val="18"/>
              </w:rPr>
              <w:t>0.123</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 months</w:t>
            </w:r>
          </w:p>
        </w:tc>
        <w:tc>
          <w:tcPr>
            <w:tcW w:type="dxa" w:w="3120"/>
          </w:tcPr>
          <w:p>
            <w:pPr>
              <w:spacing w:line="240" w:lineRule="auto"/>
            </w:pPr>
            <w:r>
              <w:rPr>
                <w:sz w:val="18"/>
              </w:rPr>
            </w:r>
            <w:r>
              <w:rPr>
                <w:sz w:val="18"/>
              </w:rPr>
              <w:t>1,194 lines</w:t>
            </w:r>
          </w:p>
        </w:tc>
      </w:tr>
      <w:tr>
        <w:tc>
          <w:tcPr>
            <w:tcW w:type="dxa" w:w="3120"/>
          </w:tcPr>
          <w:p>
            <w:pPr>
              <w:spacing w:line="240" w:lineRule="auto"/>
            </w:pPr>
            <w:r>
              <w:rPr>
                <w:sz w:val="18"/>
              </w:rPr>
            </w:r>
            <w:r>
              <w:rPr>
                <w:sz w:val="18"/>
              </w:rPr>
              <w:t>Strength</w:t>
            </w:r>
          </w:p>
        </w:tc>
        <w:tc>
          <w:tcPr>
            <w:tcW w:type="dxa" w:w="3120"/>
          </w:tcPr>
          <w:p>
            <w:pPr>
              <w:spacing w:line="240" w:lineRule="auto"/>
            </w:pPr>
            <w:r>
              <w:rPr>
                <w:sz w:val="18"/>
              </w:rPr>
            </w:r>
            <w:r>
              <w:rPr>
                <w:b/>
                <w:sz w:val="18"/>
              </w:rPr>
              <w:t>Strong</w:t>
            </w:r>
          </w:p>
        </w:tc>
        <w:tc>
          <w:tcPr>
            <w:tcW w:type="dxa" w:w="312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3. The two correlation pairs side by side.</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[The regression output — show your own ToolPak run,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4. Simple linear regression of monthly revenue on monthly order count.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[The trend chart — have this on screen.]</w:t>
      </w:r>
    </w:p>
    <w:p>
      <w:pPr>
        <w:jc w:val="center"/>
      </w:pPr>
      <w:r>
        <w:drawing>
          <wp:inline xmlns:a="http://schemas.openxmlformats.org/drawingml/2006/main" xmlns:pic="http://schemas.openxmlformats.org/drawingml/2006/picture">
            <wp:extent cx="5486400" cy="2787343"/>
            <wp:docPr id="5" name="Picture 5"/>
            <wp:cNvGraphicFramePr>
              <a:graphicFrameLocks noChangeAspect="1"/>
            </wp:cNvGraphicFramePr>
            <a:graphic>
              <a:graphicData uri="http://schemas.openxmlformats.org/drawingml/2006/picture">
                <pic:pic>
                  <pic:nvPicPr>
                    <pic:cNvPr id="0" name="cp2_fig4_forecast.png"/>
                    <pic:cNvPicPr/>
                  </pic:nvPicPr>
                  <pic:blipFill>
                    <a:blip r:embed="rId13"/>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5. The trend in two regimes. Growth to the late-2022 peak, then a plateau; the forecast and the two holdout months are at the right.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Regime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5. The two regimes, measured on revenue per month.</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[The seasonal indices and the forecast — have these on screen. The chart is the same one as above.]</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6. Seasonal index by calendar month, April 2020 to December 2024.</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7. Six-period forecast, with the two complete holdout months compared.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8. Forecast accuracy over the two complete holdout months.</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 have this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 69.9% → 30.9%</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 0.876 → 1.025</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9. Which Checkpoint 1 findings the correction affects.</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[The findings summary — have this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From</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Growth stopped in 2022, but margin and average order value never moved — fewer orders, not worse ones</w:t>
            </w:r>
          </w:p>
        </w:tc>
        <w:tc>
          <w:tcPr>
            <w:tcW w:type="dxa" w:w="3120"/>
          </w:tcPr>
          <w:p>
            <w:pPr>
              <w:spacing w:line="240" w:lineRule="auto"/>
            </w:pPr>
            <w:r>
              <w:rPr>
                <w:sz w:val="18"/>
              </w:rPr>
            </w:r>
            <w:r>
              <w:rPr>
                <w:sz w:val="18"/>
              </w:rPr>
              <w:t>Q3</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Printers lost 136,865, over half the entire gap; all Electronics fell, all Office Supplies grew</w:t>
            </w:r>
          </w:p>
        </w:tc>
        <w:tc>
          <w:tcPr>
            <w:tcW w:type="dxa" w:w="3120"/>
          </w:tcPr>
          <w:p>
            <w:pPr>
              <w:spacing w:line="240" w:lineRule="auto"/>
            </w:pPr>
            <w:r>
              <w:rPr>
                <w:sz w:val="18"/>
              </w:rPr>
            </w:r>
            <w:r>
              <w:rPr>
                <w:sz w:val="18"/>
              </w:rPr>
              <w:t>Q5, Q7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Seasonality is category-specific — Electronics peaks in Q2, the others in Q4</w:t>
            </w:r>
          </w:p>
        </w:tc>
        <w:tc>
          <w:tcPr>
            <w:tcW w:type="dxa" w:w="3120"/>
          </w:tcPr>
          <w:p>
            <w:pPr>
              <w:spacing w:line="240" w:lineRule="auto"/>
            </w:pPr>
            <w:r>
              <w:rPr>
                <w:sz w:val="18"/>
              </w:rPr>
            </w:r>
            <w:r>
              <w:rPr>
                <w:sz w:val="18"/>
              </w:rPr>
              <w:t>Q4, Q8</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Geography is not a factor — state revenue spans only 28%</w:t>
            </w:r>
          </w:p>
        </w:tc>
        <w:tc>
          <w:tcPr>
            <w:tcW w:type="dxa" w:w="3120"/>
          </w:tcPr>
          <w:p>
            <w:pPr>
              <w:spacing w:line="240" w:lineRule="auto"/>
            </w:pPr>
            <w:r>
              <w:rPr>
                <w:sz w:val="18"/>
              </w:rPr>
            </w:r>
            <w:r>
              <w:rPr>
                <w:sz w:val="18"/>
              </w:rPr>
              <w:t>Q6</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Order count drives revenue: r = 0.923, R² = 0.851, p &lt; 0.001</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sz w:val="18"/>
              </w:rPr>
              <w:t>Units sold predicts nothing: r = 0.045, p = 0.123</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sz w:val="18"/>
              </w:rPr>
              <w:t>7</w:t>
            </w:r>
          </w:p>
        </w:tc>
        <w:tc>
          <w:tcPr>
            <w:tcW w:type="dxa" w:w="3120"/>
          </w:tcPr>
          <w:p>
            <w:pPr>
              <w:spacing w:line="240" w:lineRule="auto"/>
            </w:pPr>
            <w:r>
              <w:rPr>
                <w:sz w:val="18"/>
              </w:rPr>
            </w:r>
            <w:r>
              <w:rPr>
                <w:sz w:val="18"/>
              </w:rPr>
              <w:t>Revenue is a poor proxy for profit — CV 82.9% against 54.2%</w:t>
            </w:r>
          </w:p>
        </w:tc>
        <w:tc>
          <w:tcPr>
            <w:tcW w:type="dxa" w:w="3120"/>
          </w:tcPr>
          <w:p>
            <w:pPr>
              <w:spacing w:line="240" w:lineRule="auto"/>
            </w:pPr>
            <w:r>
              <w:rPr>
                <w:sz w:val="18"/>
              </w:rPr>
            </w:r>
            <w:r>
              <w:rPr>
                <w:sz w:val="18"/>
              </w:rPr>
              <w:t>Descriptive stats</w:t>
            </w:r>
          </w:p>
        </w:tc>
      </w:tr>
      <w:tr>
        <w:tc>
          <w:tcPr>
            <w:tcW w:type="dxa" w:w="3120"/>
          </w:tcPr>
          <w:p>
            <w:pPr>
              <w:spacing w:line="240" w:lineRule="auto"/>
            </w:pPr>
            <w:r>
              <w:rPr>
                <w:sz w:val="18"/>
              </w:rPr>
            </w:r>
            <w:r>
              <w:rPr>
                <w:sz w:val="18"/>
              </w:rPr>
              <w:t>8</w:t>
            </w:r>
          </w:p>
        </w:tc>
        <w:tc>
          <w:tcPr>
            <w:tcW w:type="dxa" w:w="3120"/>
          </w:tcPr>
          <w:p>
            <w:pPr>
              <w:spacing w:line="240" w:lineRule="auto"/>
            </w:pPr>
            <w:r>
              <w:rPr>
                <w:sz w:val="18"/>
              </w:rPr>
            </w:r>
            <w:r>
              <w:rPr>
                <w:sz w:val="18"/>
              </w:rPr>
              <w:t>The trend runs in two regimes; one line across both explains under 1%</w:t>
            </w:r>
          </w:p>
        </w:tc>
        <w:tc>
          <w:tcPr>
            <w:tcW w:type="dxa" w:w="3120"/>
          </w:tcPr>
          <w:p>
            <w:pPr>
              <w:spacing w:line="240" w:lineRule="auto"/>
            </w:pPr>
            <w:r>
              <w:rPr>
                <w:sz w:val="18"/>
              </w:rPr>
            </w:r>
            <w:r>
              <w:rPr>
                <w:sz w:val="18"/>
              </w:rPr>
              <w:t>Trend test</w:t>
            </w:r>
          </w:p>
        </w:tc>
      </w:tr>
      <w:tr>
        <w:tc>
          <w:tcPr>
            <w:tcW w:type="dxa" w:w="3120"/>
          </w:tcPr>
          <w:p>
            <w:pPr>
              <w:spacing w:line="240" w:lineRule="auto"/>
            </w:pPr>
            <w:r>
              <w:rPr>
                <w:sz w:val="18"/>
              </w:rPr>
            </w:r>
            <w:r>
              <w:rPr>
                <w:sz w:val="18"/>
              </w:rPr>
              <w:t>9</w:t>
            </w:r>
          </w:p>
        </w:tc>
        <w:tc>
          <w:tcPr>
            <w:tcW w:type="dxa" w:w="3120"/>
          </w:tcPr>
          <w:p>
            <w:pPr>
              <w:spacing w:line="240" w:lineRule="auto"/>
            </w:pPr>
            <w:r>
              <w:rPr>
                <w:sz w:val="18"/>
              </w:rPr>
            </w:r>
            <w:r>
              <w:rPr>
                <w:sz w:val="18"/>
              </w:rPr>
              <w:t>The four-order gap is worth about 250,000 a year, corroborating Q7's 257,297</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10</w:t>
            </w:r>
          </w:p>
        </w:tc>
        <w:tc>
          <w:tcPr>
            <w:tcW w:type="dxa" w:w="3120"/>
          </w:tcPr>
          <w:p>
            <w:pPr>
              <w:spacing w:line="240" w:lineRule="auto"/>
            </w:pPr>
            <w:r>
              <w:rPr>
                <w:sz w:val="18"/>
              </w:rPr>
            </w:r>
            <w:r>
              <w:rPr>
                <w:sz w:val="18"/>
              </w:rPr>
              <w:t>The seasonal forecast did not beat a flat average</w:t>
            </w:r>
          </w:p>
        </w:tc>
        <w:tc>
          <w:tcPr>
            <w:tcW w:type="dxa" w:w="3120"/>
          </w:tcPr>
          <w:p>
            <w:pPr>
              <w:spacing w:line="240" w:lineRule="auto"/>
            </w:pPr>
            <w:r>
              <w:rPr>
                <w:sz w:val="18"/>
              </w:rPr>
            </w:r>
            <w:r>
              <w:rPr>
                <w:sz w:val="18"/>
              </w:rPr>
              <w:t>Holdout</w:t>
            </w:r>
          </w:p>
        </w:tc>
      </w:tr>
    </w:tbl>
    <w:p>
      <w:pPr>
        <w:spacing w:after="200" w:line="240" w:lineRule="auto"/>
        <w:jc w:val="center"/>
      </w:pPr>
      <w:r>
        <w:rPr>
          <w:i/>
          <w:color w:val="7B8994"/>
          <w:sz w:val="20"/>
        </w:rPr>
        <w:t>Table 10. What the two checkpoints found.</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