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2 — Julebeth</w:t>
      </w:r>
    </w:p>
    <w:p>
      <w:r>
        <w:rPr>
          <w:i/>
        </w:rPr>
        <w:t>[The raw file — have the CSV open, or show this extract.]</w:t>
      </w:r>
    </w:p>
    <w:tbl>
      <w:tblPr>
        <w:tblStyle w:val="LightGrid-Accent1"/>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r>
            <w:r>
              <w:rPr>
                <w:b/>
              </w:rPr>
              <w:t>Order ID</w:t>
            </w:r>
          </w:p>
        </w:tc>
        <w:tc>
          <w:tcPr>
            <w:tcW w:type="dxa" w:w="851"/>
          </w:tcPr>
          <w:p>
            <w:r>
              <w:rPr>
                <w:b/>
              </w:rPr>
            </w:r>
            <w:r>
              <w:rPr>
                <w:b/>
              </w:rPr>
              <w:t>Amount</w:t>
            </w:r>
          </w:p>
        </w:tc>
        <w:tc>
          <w:tcPr>
            <w:tcW w:type="dxa" w:w="851"/>
          </w:tcPr>
          <w:p>
            <w:r>
              <w:rPr>
                <w:b/>
              </w:rPr>
            </w:r>
            <w:r>
              <w:rPr>
                <w:b/>
              </w:rPr>
              <w:t>Profit</w:t>
            </w:r>
          </w:p>
        </w:tc>
        <w:tc>
          <w:tcPr>
            <w:tcW w:type="dxa" w:w="851"/>
          </w:tcPr>
          <w:p>
            <w:r>
              <w:rPr>
                <w:b/>
              </w:rPr>
            </w:r>
            <w:r>
              <w:rPr>
                <w:b/>
              </w:rPr>
              <w:t>Qty</w:t>
            </w:r>
          </w:p>
        </w:tc>
        <w:tc>
          <w:tcPr>
            <w:tcW w:type="dxa" w:w="851"/>
          </w:tcPr>
          <w:p>
            <w:r>
              <w:rPr>
                <w:b/>
              </w:rPr>
            </w:r>
            <w:r>
              <w:rPr>
                <w:b/>
              </w:rPr>
              <w:t>Category</w:t>
            </w:r>
          </w:p>
        </w:tc>
        <w:tc>
          <w:tcPr>
            <w:tcW w:type="dxa" w:w="851"/>
          </w:tcPr>
          <w:p>
            <w:r>
              <w:rPr>
                <w:b/>
              </w:rPr>
            </w:r>
            <w:r>
              <w:rPr>
                <w:b/>
              </w:rPr>
              <w:t>Sub-Category</w:t>
            </w:r>
          </w:p>
        </w:tc>
        <w:tc>
          <w:tcPr>
            <w:tcW w:type="dxa" w:w="851"/>
          </w:tcPr>
          <w:p>
            <w:r>
              <w:rPr>
                <w:b/>
              </w:rPr>
            </w:r>
            <w:r>
              <w:rPr>
                <w:b/>
              </w:rPr>
              <w:t>Payment</w:t>
            </w:r>
          </w:p>
        </w:tc>
        <w:tc>
          <w:tcPr>
            <w:tcW w:type="dxa" w:w="851"/>
          </w:tcPr>
          <w:p>
            <w:r>
              <w:rPr>
                <w:b/>
              </w:rPr>
            </w:r>
            <w:r>
              <w:rPr>
                <w:b/>
              </w:rPr>
              <w:t>Order Date</w:t>
            </w:r>
          </w:p>
        </w:tc>
        <w:tc>
          <w:tcPr>
            <w:tcW w:type="dxa" w:w="851"/>
          </w:tcPr>
          <w:p>
            <w:r>
              <w:rPr>
                <w:b/>
              </w:rPr>
            </w:r>
            <w:r>
              <w:rPr>
                <w:b/>
              </w:rPr>
              <w:t>Customer</w:t>
            </w:r>
          </w:p>
        </w:tc>
        <w:tc>
          <w:tcPr>
            <w:tcW w:type="dxa" w:w="851"/>
          </w:tcPr>
          <w:p>
            <w:r>
              <w:rPr>
                <w:b/>
              </w:rPr>
            </w:r>
            <w:r>
              <w:rPr>
                <w:b/>
              </w:rPr>
              <w:t>State</w:t>
            </w:r>
          </w:p>
        </w:tc>
        <w:tc>
          <w:tcPr>
            <w:tcW w:type="dxa" w:w="851"/>
          </w:tcPr>
          <w:p>
            <w:r>
              <w:rPr>
                <w:b/>
              </w:rPr>
            </w:r>
            <w:r>
              <w:rPr>
                <w:b/>
              </w:rPr>
              <w:t>City</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2023-06-27</w:t>
            </w:r>
          </w:p>
        </w:tc>
        <w:tc>
          <w:tcPr>
            <w:tcW w:type="dxa" w:w="851"/>
          </w:tcPr>
          <w:p>
            <w:pPr>
              <w:spacing w:line="240" w:lineRule="auto"/>
            </w:pPr>
            <w:r>
              <w:rPr>
                <w:sz w:val="18"/>
              </w:rPr>
            </w:r>
            <w:r>
              <w:rPr>
                <w:sz w:val="18"/>
              </w:rPr>
              <w:t>David Padilla</w:t>
            </w:r>
          </w:p>
        </w:tc>
        <w:tc>
          <w:tcPr>
            <w:tcW w:type="dxa" w:w="851"/>
          </w:tcPr>
          <w:p>
            <w:pPr>
              <w:spacing w:line="240" w:lineRule="auto"/>
            </w:pPr>
            <w:r>
              <w:rPr>
                <w:sz w:val="18"/>
              </w:rPr>
            </w:r>
            <w:r>
              <w:rPr>
                <w:sz w:val="18"/>
              </w:rPr>
              <w:t>Florida</w:t>
            </w:r>
          </w:p>
        </w:tc>
        <w:tc>
          <w:tcPr>
            <w:tcW w:type="dxa" w:w="851"/>
          </w:tcPr>
          <w:p>
            <w:pPr>
              <w:spacing w:line="240" w:lineRule="auto"/>
            </w:pPr>
            <w:r>
              <w:rPr>
                <w:sz w:val="18"/>
              </w:rPr>
            </w:r>
            <w:r>
              <w:rPr>
                <w:sz w:val="18"/>
              </w:rPr>
              <w:t>Miami</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2024-12-27</w:t>
            </w:r>
          </w:p>
        </w:tc>
        <w:tc>
          <w:tcPr>
            <w:tcW w:type="dxa" w:w="851"/>
          </w:tcPr>
          <w:p>
            <w:pPr>
              <w:spacing w:line="240" w:lineRule="auto"/>
            </w:pPr>
            <w:r>
              <w:rPr>
                <w:sz w:val="18"/>
              </w:rPr>
            </w:r>
            <w:r>
              <w:rPr>
                <w:sz w:val="18"/>
              </w:rPr>
              <w:t>Connor Morgan</w:t>
            </w:r>
          </w:p>
        </w:tc>
        <w:tc>
          <w:tcPr>
            <w:tcW w:type="dxa" w:w="851"/>
          </w:tcPr>
          <w:p>
            <w:pPr>
              <w:spacing w:line="240" w:lineRule="auto"/>
            </w:pPr>
            <w:r>
              <w:rPr>
                <w:sz w:val="18"/>
              </w:rPr>
            </w:r>
            <w:r>
              <w:rPr>
                <w:sz w:val="18"/>
              </w:rPr>
              <w:t>Illinois</w:t>
            </w:r>
          </w:p>
        </w:tc>
        <w:tc>
          <w:tcPr>
            <w:tcW w:type="dxa" w:w="851"/>
          </w:tcPr>
          <w:p>
            <w:pPr>
              <w:spacing w:line="240" w:lineRule="auto"/>
            </w:pPr>
            <w:r>
              <w:rPr>
                <w:sz w:val="18"/>
              </w:rPr>
            </w:r>
            <w:r>
              <w:rPr>
                <w:sz w:val="18"/>
              </w:rPr>
              <w:t>Chicago</w:t>
            </w:r>
          </w:p>
        </w:tc>
      </w:tr>
    </w:tbl>
    <w:p>
      <w:pPr>
        <w:spacing w:after="200" w:line="240" w:lineRule="auto"/>
        <w:jc w:val="center"/>
      </w:pPr>
      <w:r>
        <w:rPr>
          <w:i/>
          <w:color w:val="7B8994"/>
          <w:sz w:val="20"/>
        </w:rPr>
        <w:t>Table 2. The raw export. The first two rows share one Order ID across different dates and customers.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