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Trend Analysis — The Project Explained</w:t>
      </w:r>
    </w:p>
    <w:p>
      <w:r>
        <w:rPr>
          <w:b/>
        </w:rPr>
        <w:t>BED 106 — Business Analytics · Mini Capstone</w:t>
      </w:r>
      <w:r>
        <w:t xml:space="preserve"> </w:t>
      </w:r>
      <w:r>
        <w:rPr>
          <w:b/>
        </w:rPr>
        <w:t>Talibon Polytechnic College · A.Y. 2026–2027, 1st Semester</w:t>
      </w:r>
    </w:p>
    <w:p>
      <w:r>
        <w:t>Everything in Checkpoints 1 and 2 in one document: what was asked, what was built, what every number means, and how to defend it.</w:t>
      </w:r>
    </w:p>
    <w:p>
      <w:r>
        <w:t xml:space="preserve">Section 1.4 of the brief lets the instructor ask </w:t>
      </w:r>
      <w:r>
        <w:rPr>
          <w:b/>
        </w:rPr>
        <w:t>any member</w:t>
      </w:r>
      <w:r>
        <w:t xml:space="preserve"> to explain </w:t>
      </w:r>
      <w:r>
        <w:rPr>
          <w:b/>
        </w:rPr>
        <w:t>any part</w:t>
      </w:r>
      <w:r>
        <w:t xml:space="preserve"> of the project. This is written so that any member can.</w:t>
      </w:r>
    </w:p>
    <w:p>
      <w:r>
        <w:rPr>
          <w:b/>
        </w:rPr>
        <w:t>Contents</w:t>
      </w:r>
    </w:p>
    <w:p>
      <w:pPr>
        <w:pStyle w:val="ListBullet"/>
      </w:pPr>
      <w:r>
        <w:t>[Part 0 — The project at a glance](#part-0--the-project-at-a-glance)</w:t>
      </w:r>
    </w:p>
    <w:p>
      <w:pPr>
        <w:pStyle w:val="ListBullet"/>
      </w:pPr>
      <w:r>
        <w:t>[Part 1 — Checkpoint 1: Data Fundamentals &amp; SQL](#part-1--checkpoint-1-data-fundamentals--sql)</w:t>
      </w:r>
    </w:p>
    <w:p>
      <w:pPr>
        <w:pStyle w:val="ListBullet"/>
      </w:pPr>
      <w:r>
        <w:t>[Part 2 — Checkpoint 2: Spreadsheet &amp; Statistics](#part-2--checkpoint-2-spreadsheet--statistics)</w:t>
      </w:r>
    </w:p>
    <w:p>
      <w:pPr>
        <w:pStyle w:val="ListBullet"/>
      </w:pPr>
      <w:r>
        <w:t>[Part 3 — Reference](#part-3--reference)</w:t>
      </w:r>
    </w:p>
    <w:p>
      <w:pPr>
        <w:pStyle w:val="ListBullet"/>
      </w:pPr>
      <w:r>
        <w:t>[Part 4 — Everything we found](#part-4--everything-we-found)</w:t>
      </w:r>
    </w:p>
    <w:p>
      <w:pPr>
        <w:pStyle w:val="ListBullet"/>
      </w:pPr>
      <w:r>
        <w:t>[Part 5 — Defense questions](#part-5--defense-questions)</w:t>
      </w:r>
    </w:p>
    <w:p>
      <w:pPr>
        <w:pStyle w:val="ListBullet"/>
      </w:pPr>
      <w:r>
        <w:t>[Part 6 — Glossary](#part-6--glossary)</w:t>
      </w:r>
    </w:p>
    <w:p>
      <w:r>
        <w:br w:type="page"/>
      </w:r>
    </w:p>
    <w:p>
      <w:pPr>
        <w:pStyle w:val="Heading1"/>
      </w:pPr>
      <w:r>
        <w:t>Part 0 — The project at a glance</w:t>
      </w:r>
    </w:p>
    <w:p>
      <w:pPr>
        <w:pStyle w:val="Heading2"/>
      </w:pPr>
      <w:r>
        <w:t>The business</w:t>
      </w:r>
    </w:p>
    <w:p>
      <w:r>
        <w:t xml:space="preserve">A multi-category retailer — electronics, furniture, office supplies — trading across six US states. </w:t>
      </w:r>
      <w:r>
        <w:rPr>
          <w:b/>
        </w:rPr>
        <w:t>Retail &amp; Sales Analytics</w:t>
      </w:r>
      <w:r>
        <w:t xml:space="preserve"> is an approved domain in Section 1.3 of the brief, and "sales trends" is listed under it.</w:t>
      </w:r>
    </w:p>
    <w:p>
      <w:pPr>
        <w:pStyle w:val="Heading2"/>
      </w:pPr>
      <w:r>
        <w:t>The dataset</w:t>
      </w:r>
    </w:p>
    <w:p>
      <w:r>
        <w:t xml:space="preserve">1,194 transaction lines, one row per product line on an order, covering </w:t>
      </w:r>
      <w:r>
        <w:rPr>
          <w:b/>
        </w:rPr>
        <w:t>22 March 2020 to 15 March 2025</w:t>
      </w:r>
      <w:r>
        <w:t>. The brief requires a minimum of 200 rows.</w:t>
      </w:r>
    </w:p>
    <w:p>
      <w:pPr>
        <w:pStyle w:val="Heading2"/>
      </w:pPr>
      <w:r>
        <w:t>The problem being investigated</w:t>
      </w:r>
    </w:p>
    <w:p>
      <w:r>
        <w:t xml:space="preserve">The company grew, then stopped. On a like-for-like monthly basis revenue rose </w:t>
      </w:r>
      <w:r>
        <w:rPr>
          <w:b/>
        </w:rPr>
        <w:t>30.9%</w:t>
      </w:r>
      <w:r>
        <w:t xml:space="preserve"> from 2020 to the 2022 peak, then fell two years running to finish 2024 </w:t>
      </w:r>
      <w:r>
        <w:rPr>
          <w:b/>
        </w:rPr>
        <w:t>17.6% below</w:t>
      </w:r>
      <w:r>
        <w:t xml:space="preserve"> that peak.</w:t>
      </w:r>
    </w:p>
    <w:p>
      <w:r>
        <w:t xml:space="preserve">What makes this a real analytical problem rather than an obvious one: </w:t>
      </w:r>
      <w:r>
        <w:rPr>
          <w:b/>
        </w:rPr>
        <w:t>margin never moved.</w:t>
      </w:r>
      <w:r>
        <w:t xml:space="preserve"> It held between 23.97% and 26.93% throughout. Had margin collapsed, the answer would be "we are discounting too hard" and no database would be needed. Because margin held steady while revenue fell, something structural changed in </w:t>
      </w:r>
      <w:r>
        <w:rPr>
          <w:i/>
        </w:rPr>
        <w:t>what was being sold</w:t>
      </w:r>
      <w:r>
        <w:t xml:space="preserve"> — and a single company-wide revenue figure per year cannot tell you what.</w:t>
      </w:r>
    </w:p>
    <w:p>
      <w:pPr>
        <w:pStyle w:val="Heading2"/>
      </w:pPr>
      <w:r>
        <w:t>The three key business questions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Answered by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How have revenue and profit trended, and is the company still growing?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Q3, and the CP2 regression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Which categories and sub-categories drive the trend?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Q5, 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When does demand concentrate, and is the pattern the same for every category?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Q4, Q8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1. The three key business questions</w:t>
      </w:r>
    </w:p>
    <w:p>
      <w:pPr>
        <w:pStyle w:val="Heading2"/>
      </w:pPr>
      <w:r>
        <w:t>How the two checkpoints fit together</w:t>
      </w:r>
    </w:p>
    <w:p>
      <w:r>
        <w:rPr>
          <w:b/>
        </w:rPr>
        <w:t>Checkpoint 1</w:t>
      </w:r>
      <w:r>
        <w:t xml:space="preserve"> built a database and asked </w:t>
      </w:r>
      <w:r>
        <w:rPr>
          <w:i/>
        </w:rPr>
        <w:t>what happened</w:t>
      </w:r>
      <w:r>
        <w:t xml:space="preserve">. </w:t>
      </w:r>
      <w:r>
        <w:rPr>
          <w:b/>
        </w:rPr>
        <w:t>Checkpoint 2</w:t>
      </w:r>
      <w:r>
        <w:t xml:space="preserve"> took the same data into Excel and asked </w:t>
      </w:r>
      <w:r>
        <w:rPr>
          <w:i/>
        </w:rPr>
        <w:t>how strong is the evidence, and what can we predict</w:t>
      </w:r>
      <w:r>
        <w:t>. The brief requires the same dataset for both.</w:t>
      </w:r>
    </w:p>
    <w:p>
      <w:r>
        <w:t xml:space="preserve">Two Checkpoint 2 results confirm Checkpoint 1 by a completely different route, and one of them </w:t>
      </w:r>
      <w:r>
        <w:rPr>
          <w:b/>
        </w:rPr>
        <w:t>corrected</w:t>
      </w:r>
      <w:r>
        <w:t xml:space="preserve"> it — see [Part 4](#part-4--everything-we-found).</w:t>
      </w:r>
    </w:p>
    <w:p>
      <w:r>
        <w:br w:type="page"/>
      </w:r>
    </w:p>
    <w:p>
      <w:pPr>
        <w:pStyle w:val="Heading1"/>
      </w:pPr>
      <w:r>
        <w:t>Part 1 — Checkpoint 1: Data Fundamentals &amp; SQL</w:t>
      </w:r>
    </w:p>
    <w:p>
      <w:pPr>
        <w:pStyle w:val="Heading2"/>
      </w:pPr>
      <w:r>
        <w:t>What it is</w:t>
      </w:r>
    </w:p>
    <w:p>
      <w:r>
        <w:t xml:space="preserve">The </w:t>
      </w:r>
      <w:r>
        <w:rPr>
          <w:b/>
        </w:rPr>
        <w:t>Preliminary</w:t>
      </w:r>
      <w:r>
        <w:t xml:space="preserve"> phase, Weeks 1–4, </w:t>
      </w:r>
      <w:r>
        <w:rPr>
          <w:b/>
        </w:rPr>
        <w:t>100 points</w:t>
      </w:r>
      <w:r>
        <w:t xml:space="preserve">, assessing </w:t>
      </w:r>
      <w:r>
        <w:rPr>
          <w:b/>
        </w:rPr>
        <w:t>CILO 1</w:t>
      </w:r>
      <w:r>
        <w:t xml:space="preserve">: </w:t>
      </w:r>
      <w:r>
        <w:rPr>
          <w:i/>
        </w:rPr>
        <w:t>apply data fundamentals, data quality concepts, and SQL to extract, organize and prepare business data for analysis.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SQL Query Accuracy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Data Preparation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Problem &amp; Data Understanding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Documentation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2. What it is</w:t>
      </w:r>
    </w:p>
    <w:p>
      <w:r>
        <w:rPr>
          <w:b/>
        </w:rPr>
        <w:t>Where the marks actually are:</w:t>
      </w:r>
      <w:r>
        <w:t xml:space="preserve"> SQL accuracy and data preparation together are </w:t>
      </w:r>
      <w:r>
        <w:rPr>
          <w:b/>
        </w:rPr>
        <w:t>60%</w:t>
      </w:r>
      <w:r>
        <w:t>. The writing is 40%. A common mistake is to polish the prose and submit queries that barely run.</w:t>
      </w:r>
    </w:p>
    <w:p>
      <w:pPr>
        <w:pStyle w:val="Heading2"/>
      </w:pPr>
      <w:r>
        <w:t>The files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data/raw/sales_dataset_raw.csv     the original file, never edited</w:t>
        <w:br/>
        <w:t>sql/02_mysql_full_import.sql       ONE FILE: database + tables + data</w:t>
        <w:br/>
        <w:t>sql/01_schema_mysql.sql            the schema on its own</w:t>
        <w:br/>
        <w:t>sql/04_queries.sql                 the eight queries</w:t>
        <w:br/>
        <w:t>sql/05_screenshot_queries.sql      run-in-order script for screenshots</w:t>
        <w:br/>
        <w:t>scripts/clean_and_load.py          cleans, normalises, loads, verifies</w:t>
        <w:br/>
        <w:t>docs/figures/erd.png               the ERD</w:t>
        <w:br/>
        <w:t>reports/Checkpoint_1_Report.docx   the submission</w:t>
      </w:r>
    </w:p>
    <w:p>
      <w:r>
        <w:rPr>
          <w:b/>
        </w:rPr>
        <w:t>Why the pipeline is scripted rather than hand-edited.</w:t>
      </w:r>
      <w:r>
        <w:t xml:space="preserve"> Three reasons worth being able to say: anyone can re-run it and get identical tables; the raw file is never touched, so every transformation is a line of code you can point at; and the report's numbers are written straight from the database, so they cannot drift from what the queries return.</w:t>
      </w:r>
    </w:p>
    <w:p>
      <w:pPr>
        <w:pStyle w:val="Heading2"/>
      </w:pPr>
      <w:r>
        <w:t>Task 1.1 — the business problem</w:t>
      </w:r>
    </w:p>
    <w:p>
      <w:r>
        <w:t xml:space="preserve">Covered in [Part 0](#part-0--the-project-at-a-glance). The impact section is quantified rather than asserted: the gap between the 2022 peak and 2024 is </w:t>
      </w:r>
      <w:r>
        <w:rPr>
          <w:b/>
        </w:rPr>
        <w:t>257,297 per year</w:t>
      </w:r>
      <w:r>
        <w:t xml:space="preserve">, and October plus December carry </w:t>
      </w:r>
      <w:r>
        <w:rPr>
          <w:b/>
        </w:rPr>
        <w:t>21.8%</w:t>
      </w:r>
      <w:r>
        <w:t xml:space="preserve"> of annual revenue against the 16.7% two average months would give.</w:t>
      </w:r>
    </w:p>
    <w:p>
      <w:pPr>
        <w:pStyle w:val="Heading2"/>
      </w:pPr>
      <w:r>
        <w:t>Task 1.2 — the dataset and its five problems</w:t>
      </w:r>
    </w:p>
    <w:p>
      <w:r>
        <w:t xml:space="preserve">This is where the Data Preparation marks sit, because the rubric asks for issues </w:t>
      </w:r>
      <w:r>
        <w:rPr>
          <w:b/>
        </w:rPr>
        <w:t>identified and resolved</w:t>
      </w:r>
      <w:r>
        <w:t>.</w:t>
      </w:r>
    </w:p>
    <w:p>
      <w:pPr>
        <w:pStyle w:val="Heading3"/>
      </w:pPr>
      <w:r>
        <w:t>Problem 1 — `Order ID` cannot be a primary key</w:t>
      </w:r>
    </w:p>
    <w:p>
      <w:r>
        <w:t xml:space="preserve">547 distinct values over 1,194 rows. That alone is normal — one order can have several lines. What is not normal is that </w:t>
      </w:r>
      <w:r>
        <w:rPr>
          <w:b/>
        </w:rPr>
        <w:t>194 of those IDs appear against more than one order date and a different customer.</w:t>
      </w:r>
    </w:p>
    <w:p>
      <w:r>
        <w:t>The first three rows of the raw file are the proof: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Order ID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Order Date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CustomerName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City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B-26776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2023-06-27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David Padilla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Miami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B-26776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2024-12-27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Connor Morgan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Chicago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B-26776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2021-07-25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Robert Stone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Buffalo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3. Problem 1 — `Order ID` cannot be a primary key</w:t>
      </w:r>
    </w:p>
    <w:p>
      <w:r>
        <w:t>One "order", three dates, three customers, three states.</w:t>
      </w:r>
    </w:p>
    <w:p>
      <w:r>
        <w:rPr>
          <w:b/>
        </w:rPr>
        <w:t>Resolved:</w:t>
      </w:r>
      <w:r>
        <w:t xml:space="preserve"> kept as the descriptive column </w:t>
      </w:r>
      <w:r>
        <w:rPr>
          <w:rFonts w:ascii="Consolas" w:hAnsi="Consolas"/>
          <w:color w:val="2F6F9F"/>
          <w:sz w:val="18"/>
        </w:rPr>
        <w:t>order_ref</w:t>
      </w:r>
      <w:r>
        <w:t xml:space="preserve">; the fact table is keyed on a </w:t>
      </w:r>
      <w:r>
        <w:rPr>
          <w:b/>
        </w:rPr>
        <w:t>surrogate key</w:t>
      </w:r>
      <w:r>
        <w:t xml:space="preserve">, </w:t>
      </w:r>
      <w:r>
        <w:rPr>
          <w:rFonts w:ascii="Consolas" w:hAnsi="Consolas"/>
          <w:color w:val="2F6F9F"/>
          <w:sz w:val="18"/>
        </w:rPr>
        <w:t>sale_id</w:t>
      </w:r>
      <w:r>
        <w:t>.</w:t>
      </w:r>
    </w:p>
    <w:p>
      <w:pPr>
        <w:pStyle w:val="Heading3"/>
      </w:pPr>
      <w:r>
        <w:t>Problem 2 — `CustomerName` is not an identifier either</w:t>
      </w:r>
    </w:p>
    <w:p>
      <w:r>
        <w:t xml:space="preserve">802 distinct names, but </w:t>
      </w:r>
      <w:r>
        <w:rPr>
          <w:b/>
        </w:rPr>
        <w:t>5 appear in more than one city</w:t>
      </w:r>
      <w:r>
        <w:t>. Keying on name alone would silently merge two different people.</w:t>
      </w:r>
    </w:p>
    <w:p>
      <w:r>
        <w:rPr>
          <w:b/>
        </w:rPr>
        <w:t>Resolved:</w:t>
      </w:r>
      <w:r>
        <w:t xml:space="preserve"> the customer key is </w:t>
      </w:r>
      <w:r>
        <w:rPr>
          <w:b/>
        </w:rPr>
        <w:t>(name, city)</w:t>
      </w:r>
      <w:r>
        <w:t xml:space="preserve">. That is why </w:t>
      </w:r>
      <w:r>
        <w:rPr>
          <w:rFonts w:ascii="Consolas" w:hAnsi="Consolas"/>
          <w:color w:val="2F6F9F"/>
          <w:sz w:val="18"/>
        </w:rPr>
        <w:t>customers</w:t>
      </w:r>
      <w:r>
        <w:t xml:space="preserve"> has </w:t>
      </w:r>
      <w:r>
        <w:rPr>
          <w:b/>
        </w:rPr>
        <w:t>807 rows</w:t>
      </w:r>
      <w:r>
        <w:t xml:space="preserve"> against 802 names — the 5 extra are those duplicates correctly separated.</w:t>
      </w:r>
    </w:p>
    <w:p>
      <w:pPr>
        <w:pStyle w:val="Heading3"/>
      </w:pPr>
      <w:r>
        <w:t>Problem 3 — `Year-Month` is redundant</w:t>
      </w:r>
    </w:p>
    <w:p>
      <w:r>
        <w:t xml:space="preserve">It holds </w:t>
      </w:r>
      <w:r>
        <w:rPr>
          <w:rFonts w:ascii="Consolas" w:hAnsi="Consolas"/>
          <w:color w:val="2F6F9F"/>
          <w:sz w:val="18"/>
        </w:rPr>
        <w:t>2023-06</w:t>
      </w:r>
      <w:r>
        <w:t xml:space="preserve"> where </w:t>
      </w:r>
      <w:r>
        <w:rPr>
          <w:rFonts w:ascii="Consolas" w:hAnsi="Consolas"/>
          <w:color w:val="2F6F9F"/>
          <w:sz w:val="18"/>
        </w:rPr>
        <w:t>Order Date</w:t>
      </w:r>
      <w:r>
        <w:t xml:space="preserve"> already holds </w:t>
      </w:r>
      <w:r>
        <w:rPr>
          <w:rFonts w:ascii="Consolas" w:hAnsi="Consolas"/>
          <w:color w:val="2F6F9F"/>
          <w:sz w:val="18"/>
        </w:rPr>
        <w:t>2023-06-27</w:t>
      </w:r>
      <w:r>
        <w:t xml:space="preserve">. Checked across all 1,194 rows: </w:t>
      </w:r>
      <w:r>
        <w:rPr>
          <w:b/>
        </w:rPr>
        <w:t>zero mismatches</w:t>
      </w:r>
      <w:r>
        <w:t>. Storing it twice is duplication, and duplicated data is where update anomalies come from.</w:t>
      </w:r>
    </w:p>
    <w:p>
      <w:r>
        <w:rPr>
          <w:b/>
        </w:rPr>
        <w:t>Resolved:</w:t>
      </w:r>
      <w:r>
        <w:t xml:space="preserve"> dropped; the calendar parts are recomputed in </w:t>
      </w:r>
      <w:r>
        <w:rPr>
          <w:rFonts w:ascii="Consolas" w:hAnsi="Consolas"/>
          <w:color w:val="2F6F9F"/>
          <w:sz w:val="18"/>
        </w:rPr>
        <w:t>dates</w:t>
      </w:r>
      <w:r>
        <w:t>.</w:t>
      </w:r>
    </w:p>
    <w:p>
      <w:pPr>
        <w:pStyle w:val="Heading3"/>
      </w:pPr>
      <w:r>
        <w:t>Problem 4 — both ends of the file are partial</w:t>
      </w:r>
    </w:p>
    <w:p>
      <w:r>
        <w:t xml:space="preserve">The file runs 22 March 2020 to 15 March 2025. </w:t>
      </w:r>
      <w:r>
        <w:rPr>
          <w:b/>
        </w:rPr>
        <w:t>Three separate traps:</w:t>
      </w:r>
    </w:p>
    <w:p>
      <w:pPr>
        <w:pStyle w:val="ListNumber"/>
      </w:pPr>
      <w:r>
        <w:rPr>
          <w:b/>
        </w:rPr>
        <w:t>2025 is a partial year</w:t>
      </w:r>
      <w:r>
        <w:t xml:space="preserve"> — 44 rows. Charted naively it looks like an 80% collapse in demand. It is a file cut-off.</w:t>
      </w:r>
    </w:p>
    <w:p>
      <w:pPr>
        <w:pStyle w:val="ListNumber"/>
      </w:pPr>
      <w:r>
        <w:rPr>
          <w:b/>
        </w:rPr>
        <w:t>2020 is a nine-month year.</w:t>
      </w:r>
      <w:r>
        <w:t xml:space="preserve"> Comparing its part-year total against a full 2021 overstates growth: raw totals suggest </w:t>
      </w:r>
      <w:r>
        <w:rPr>
          <w:b/>
        </w:rPr>
        <w:t>69.9%</w:t>
      </w:r>
      <w:r>
        <w:t xml:space="preserve">, the like-for-like figure is </w:t>
      </w:r>
      <w:r>
        <w:rPr>
          <w:b/>
        </w:rPr>
        <w:t>30.9%</w:t>
      </w:r>
      <w:r>
        <w:t>.</w:t>
      </w:r>
    </w:p>
    <w:p>
      <w:pPr>
        <w:pStyle w:val="ListNumber"/>
      </w:pPr>
      <w:r>
        <w:rPr>
          <w:b/>
        </w:rPr>
        <w:t>March 2020 and March 2025 are part-months.</w:t>
      </w:r>
      <w:r>
        <w:t xml:space="preserve"> March 2020 holds ten days. Dropping a ten-day month into a monthly average pulls March's seasonal index from 1.025 to 0.876 — a 15% distortion.</w:t>
      </w:r>
    </w:p>
    <w:p>
      <w:r>
        <w:rPr>
          <w:b/>
        </w:rPr>
        <w:t>Resolved:</w:t>
      </w:r>
      <w:r>
        <w:t xml:space="preserve"> </w:t>
      </w:r>
      <w:r>
        <w:rPr>
          <w:rFonts w:ascii="Consolas" w:hAnsi="Consolas"/>
          <w:color w:val="2F6F9F"/>
          <w:sz w:val="18"/>
        </w:rPr>
        <w:t>dates</w:t>
      </w:r>
      <w:r>
        <w:t xml:space="preserve"> carries two flags, </w:t>
      </w:r>
      <w:r>
        <w:rPr>
          <w:rFonts w:ascii="Consolas" w:hAnsi="Consolas"/>
          <w:color w:val="2F6F9F"/>
          <w:sz w:val="18"/>
        </w:rPr>
        <w:t>is_complete_year</w:t>
      </w:r>
      <w:r>
        <w:t xml:space="preserve"> and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. The analysis window is the </w:t>
      </w:r>
      <w:r>
        <w:rPr>
          <w:b/>
        </w:rPr>
        <w:t>57 whole months, April 2020 to December 2024</w:t>
      </w:r>
      <w:r>
        <w:t xml:space="preserve">. Q3 also reports </w:t>
      </w:r>
      <w:r>
        <w:rPr>
          <w:rFonts w:ascii="Consolas" w:hAnsi="Consolas"/>
          <w:color w:val="2F6F9F"/>
          <w:sz w:val="18"/>
        </w:rPr>
        <w:t>months_covered</w:t>
      </w:r>
      <w:r>
        <w:t xml:space="preserve"> and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 so the short year is visible in the table rather than hidden in a total.</w:t>
      </w:r>
    </w:p>
    <w:p>
      <w:pPr>
        <w:ind w:left="432"/>
      </w:pPr>
      <w:r>
        <w:rPr>
          <w:i/>
        </w:rPr>
        <w:t xml:space="preserve">Trap 2 was found </w:t>
      </w:r>
      <w:r>
        <w:rPr>
          <w:i/>
        </w:rPr>
        <w:t>during Checkpoint 2</w:t>
      </w:r>
      <w:r>
        <w:rPr>
          <w:i/>
        </w:rPr>
        <w:t xml:space="preserve"> and is a correction to Checkpoint 1. See [Part 4](#part-4--everything-we-found).</w:t>
      </w:r>
    </w:p>
    <w:p>
      <w:pPr>
        <w:pStyle w:val="Heading3"/>
      </w:pPr>
      <w:r>
        <w:t>Problem 5 — the dataset is synthetic</w:t>
      </w:r>
    </w:p>
    <w:p>
      <w:r>
        <w:t>Four machine-checked signals:</w:t>
      </w:r>
    </w:p>
    <w:p>
      <w:pPr>
        <w:pStyle w:val="ListNumber"/>
      </w:pPr>
      <w:r>
        <w:rPr>
          <w:b/>
        </w:rPr>
        <w:t>Zero loss-making lines</w:t>
      </w:r>
      <w:r>
        <w:t xml:space="preserve"> across 1,194 rows and five years. Real retail carries returns, write-offs and clearance.</w:t>
      </w:r>
    </w:p>
    <w:p>
      <w:pPr>
        <w:pStyle w:val="ListNumber"/>
      </w:pPr>
      <w:r>
        <w:rPr>
          <w:b/>
        </w:rPr>
        <w:t>22 of the 802 distinct customer names end in a credential suffix</w:t>
      </w:r>
      <w:r>
        <w:t xml:space="preserve"> (MD, DDS, PhD, Jr) — the signature of the </w:t>
      </w:r>
      <w:r>
        <w:rPr>
          <w:rFonts w:ascii="Consolas" w:hAnsi="Consolas"/>
          <w:color w:val="2F6F9F"/>
          <w:sz w:val="18"/>
        </w:rPr>
        <w:t>Faker</w:t>
      </w:r>
      <w:r>
        <w:t xml:space="preserve"> name generator, not a real customer list.</w:t>
      </w:r>
    </w:p>
    <w:p>
      <w:pPr>
        <w:pStyle w:val="ListNumber"/>
      </w:pPr>
      <w:r>
        <w:rPr>
          <w:b/>
        </w:rPr>
        <w:t>US cities paired with UPI and EMI</w:t>
      </w:r>
      <w:r>
        <w:t xml:space="preserve"> payment methods — Indian payment systems a Miami retailer would not offer.</w:t>
      </w:r>
    </w:p>
    <w:p>
      <w:pPr>
        <w:pStyle w:val="ListNumber"/>
      </w:pPr>
      <w:r>
        <w:rPr>
          <w:b/>
        </w:rPr>
        <w:t>Near-uniform payment mix</w:t>
      </w:r>
      <w:r>
        <w:t xml:space="preserve"> — 206 to 260 lines across five methods. Real payment mix is never that even.</w:t>
      </w:r>
    </w:p>
    <w:p>
      <w:r>
        <w:t>A fifth signal turns up in Checkpoint 2: the histogram of Amount is flat rather than bell-shaped.</w:t>
      </w:r>
    </w:p>
    <w:p>
      <w:r>
        <w:rPr>
          <w:b/>
        </w:rPr>
        <w:t>Resolved:</w:t>
      </w:r>
      <w:r>
        <w:t xml:space="preserve"> documented, not "corrected". Inventing realistic losses would be data fabrication, which the brief calls grounds for a failing mark. The method is sound; the figures should be presented as a modelling exercise.</w:t>
      </w:r>
    </w:p>
    <w:p>
      <w:pPr>
        <w:ind w:left="432"/>
      </w:pPr>
      <w:r>
        <w:rPr>
          <w:b/>
          <w:i/>
        </w:rPr>
        <w:t>This also settles the privacy question.</w:t>
      </w:r>
      <w:r>
        <w:rPr>
          <w:i/>
        </w:rPr>
        <w:t xml:space="preserve"> The names are generated, so there is no data subject and no personal data, and R.A. 10173 is not engaged. The reason is that the names are </w:t>
      </w:r>
      <w:r>
        <w:rPr>
          <w:b/>
          <w:i/>
        </w:rPr>
        <w:t>synthetic</w:t>
      </w:r>
      <w:r>
        <w:rPr>
          <w:i/>
        </w:rPr>
        <w:t xml:space="preserve"> — </w:t>
      </w:r>
      <w:r>
        <w:rPr>
          <w:i/>
        </w:rPr>
        <w:t>not</w:t>
      </w:r>
      <w:r>
        <w:rPr>
          <w:i/>
        </w:rPr>
        <w:t xml:space="preserve"> that the file was publicly downloadable. Public availability is not consent. Keep that distinction for Checkpoint 4.</w:t>
      </w:r>
    </w:p>
    <w:p>
      <w:pPr>
        <w:pStyle w:val="Heading3"/>
      </w:pPr>
      <w:r>
        <w:t>On missing values</w:t>
      </w:r>
    </w:p>
    <w:p>
      <w:r>
        <w:t xml:space="preserve">There are none — all 12 columns complete across all 1,194 rows. Say so explicitly. The rubric asks you to </w:t>
      </w:r>
      <w:r>
        <w:rPr>
          <w:i/>
        </w:rPr>
        <w:t>identify</w:t>
      </w:r>
      <w:r>
        <w:t xml:space="preserve"> missing values, and "we checked and there are none" is a finding.</w:t>
      </w:r>
    </w:p>
    <w:p>
      <w:pPr>
        <w:pStyle w:val="Heading2"/>
      </w:pPr>
      <w:r>
        <w:t>Task 1.3 — the database</w:t>
      </w:r>
    </w:p>
    <w:p>
      <w:pPr>
        <w:pStyle w:val="Heading3"/>
      </w:pPr>
      <w:r>
        <w:t>The shape: a star schema, 8 tables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states ──&lt; cities ──&lt; customers ──┐</w:t>
        <w:br/>
        <w:t>categories ──&lt; sub_categories ────┼──&lt; sales</w:t>
        <w:br/>
        <w:t>payment_modes ────────────────────┤</w:t>
        <w:br/>
        <w:t>dates ────────────────────────────┘</w:t>
      </w:r>
    </w:p>
    <w:p>
      <w:r>
        <w:t xml:space="preserve">One </w:t>
      </w:r>
      <w:r>
        <w:rPr>
          <w:b/>
        </w:rPr>
        <w:t>fact table</w:t>
      </w:r>
      <w:r>
        <w:t xml:space="preserve"> holding the numbers, seven </w:t>
      </w:r>
      <w:r>
        <w:rPr>
          <w:b/>
        </w:rPr>
        <w:t>dimension tables</w:t>
      </w:r>
      <w:r>
        <w:t xml:space="preserve"> holding the labels you slice them by.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states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state_id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 names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cities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city_id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City, FK to state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Customer, FK to city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Electronics, Furniture, Office Supplies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sub_categories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sub_category_id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 sub-categories, FK to category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payment_modes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payment_mode_id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COD, Credit Card, Debit Card, EMI, UPI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dates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648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order_date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row per date, calendar parts precomputed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1,194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transactions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4. The shape: a star schema, 8 tables</w:t>
      </w:r>
    </w:p>
    <w:p>
      <w:r>
        <w:t xml:space="preserve">The tables are named plainly rather than with </w:t>
      </w:r>
      <w:r>
        <w:rPr>
          <w:rFonts w:ascii="Consolas" w:hAnsi="Consolas"/>
          <w:color w:val="2F6F9F"/>
          <w:sz w:val="18"/>
        </w:rPr>
        <w:t>fact_</w:t>
      </w:r>
      <w:r>
        <w:t>/</w:t>
      </w:r>
      <w:r>
        <w:rPr>
          <w:rFonts w:ascii="Consolas" w:hAnsi="Consolas"/>
          <w:color w:val="2F6F9F"/>
          <w:sz w:val="18"/>
        </w:rPr>
        <w:t>dim_</w:t>
      </w:r>
      <w:r>
        <w:t xml:space="preserve"> prefixes, but the roles are unchanged: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Which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The test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Fact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Its numbers add up meaningfully — </w:t>
            </w:r>
            <w:r>
              <w:rPr>
                <w:rFonts w:ascii="Consolas" w:hAnsi="Consolas"/>
                <w:color w:val="2F6F9F"/>
                <w:sz w:val="18"/>
              </w:rPr>
              <w:t>SUM(amount)</w:t>
            </w:r>
            <w:r>
              <w:rPr>
                <w:sz w:val="18"/>
              </w:rPr>
              <w:t xml:space="preserve"> is total revenue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other seven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They describe and label — summing </w:t>
            </w:r>
            <w:r>
              <w:rPr>
                <w:rFonts w:ascii="Consolas" w:hAnsi="Consolas"/>
                <w:color w:val="2F6F9F"/>
                <w:sz w:val="18"/>
              </w:rPr>
              <w:t>customer_id</w:t>
            </w:r>
            <w:r>
              <w:rPr>
                <w:sz w:val="18"/>
              </w:rPr>
              <w:t xml:space="preserve"> is nonsense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5. The shape: a star schema, 8 tables</w:t>
      </w:r>
    </w:p>
    <w:p>
      <w:pPr>
        <w:pStyle w:val="Heading3"/>
      </w:pPr>
      <w:r>
        <w:t>Grain — the most important concept here</w:t>
      </w:r>
    </w:p>
    <w:p>
      <w:pPr>
        <w:ind w:left="432"/>
      </w:pPr>
      <w:r>
        <w:rPr>
          <w:i/>
        </w:rPr>
        <w:t xml:space="preserve">One row of </w:t>
      </w:r>
      <w:r>
        <w:rPr>
          <w:rFonts w:ascii="Consolas" w:hAnsi="Consolas"/>
          <w:i/>
          <w:color w:val="2F6F9F"/>
          <w:sz w:val="18"/>
        </w:rPr>
        <w:t>sales</w:t>
      </w:r>
      <w:r>
        <w:rPr>
          <w:i/>
        </w:rPr>
        <w:t xml:space="preserve"> = one product line on one order.</w:t>
      </w:r>
    </w:p>
    <w:p>
      <w:r>
        <w:t xml:space="preserve">Fix the grain before anything else, because every measure must be additive at that grain. </w:t>
      </w:r>
      <w:r>
        <w:rPr>
          <w:rFonts w:ascii="Consolas" w:hAnsi="Consolas"/>
          <w:color w:val="2F6F9F"/>
          <w:sz w:val="18"/>
        </w:rPr>
        <w:t>quantity</w:t>
      </w:r>
      <w:r>
        <w:t xml:space="preserve">, </w:t>
      </w:r>
      <w:r>
        <w:rPr>
          <w:rFonts w:ascii="Consolas" w:hAnsi="Consolas"/>
          <w:color w:val="2F6F9F"/>
          <w:sz w:val="18"/>
        </w:rPr>
        <w:t>amount</w:t>
      </w:r>
      <w:r>
        <w:t xml:space="preserve"> and </w:t>
      </w:r>
      <w:r>
        <w:rPr>
          <w:rFonts w:ascii="Consolas" w:hAnsi="Consolas"/>
          <w:color w:val="2F6F9F"/>
          <w:sz w:val="18"/>
        </w:rPr>
        <w:t>profit</w:t>
      </w:r>
      <w:r>
        <w:t xml:space="preserve"> all are. Mixing grains — some rows per order, some per line — would make every </w:t>
      </w:r>
      <w:r>
        <w:rPr>
          <w:rFonts w:ascii="Consolas" w:hAnsi="Consolas"/>
          <w:color w:val="2F6F9F"/>
          <w:sz w:val="18"/>
        </w:rPr>
        <w:t>SUM</w:t>
      </w:r>
      <w:r>
        <w:t xml:space="preserve"> wrong.</w:t>
      </w:r>
    </w:p>
    <w:p>
      <w:pPr>
        <w:pStyle w:val="Heading3"/>
      </w:pPr>
      <w:r>
        <w:t>Why the design is the way it is</w:t>
      </w:r>
    </w:p>
    <w:p>
      <w:r>
        <w:rPr>
          <w:b/>
        </w:rPr>
        <w:t>Why a star schema.</w:t>
      </w:r>
      <w:r>
        <w:t xml:space="preserve"> Every business question has the shape "a measure, by a dimension, over time" — revenue by category by year, revenue by month. That is precisely what a star answers in a single join hop.</w:t>
      </w:r>
    </w:p>
    <w:p>
      <w:r>
        <w:rPr>
          <w:b/>
        </w:rPr>
        <w:t>Why a surrogate key.</w:t>
      </w:r>
      <w:r>
        <w:t xml:space="preserve"> A </w:t>
      </w:r>
      <w:r>
        <w:rPr>
          <w:i/>
        </w:rPr>
        <w:t>natural</w:t>
      </w:r>
      <w:r>
        <w:t xml:space="preserve"> key is made of real data (</w:t>
      </w:r>
      <w:r>
        <w:rPr>
          <w:rFonts w:ascii="Consolas" w:hAnsi="Consolas"/>
          <w:color w:val="2F6F9F"/>
          <w:sz w:val="18"/>
        </w:rPr>
        <w:t>Order ID</w:t>
      </w:r>
      <w:r>
        <w:t xml:space="preserve">); a </w:t>
      </w:r>
      <w:r>
        <w:rPr>
          <w:i/>
        </w:rPr>
        <w:t>surrogate</w:t>
      </w:r>
      <w:r>
        <w:t xml:space="preserve"> key is a meaningless generated number (</w:t>
      </w:r>
      <w:r>
        <w:rPr>
          <w:rFonts w:ascii="Consolas" w:hAnsi="Consolas"/>
          <w:color w:val="2F6F9F"/>
          <w:sz w:val="18"/>
        </w:rPr>
        <w:t>sale_id</w:t>
      </w:r>
      <w:r>
        <w:t>). We used a surrogate because the natural key was broken. Being able to say "the natural key was not unique, so we introduced a surrogate and kept the original as a descriptive attribute" is exactly what the Data Preparation criterion rewards.</w:t>
      </w:r>
    </w:p>
    <w:p>
      <w:r>
        <w:rPr>
          <w:b/>
        </w:rPr>
        <w:t>Why geography and product are separate tables.</w:t>
      </w:r>
      <w:r>
        <w:t xml:space="preserve"> "Miami" is stored once rather than on all 66 Miami transactions. That is what </w:t>
      </w:r>
      <w:r>
        <w:rPr>
          <w:b/>
        </w:rPr>
        <w:t>normalisation</w:t>
      </w:r>
      <w:r>
        <w:t xml:space="preserve"> is for — removing the redundancy that causes update anomalies. It also creates genuine multi-table joins for Task 1.4.</w:t>
      </w:r>
    </w:p>
    <w:p>
      <w:r>
        <w:rPr>
          <w:b/>
        </w:rPr>
        <w:t>Why `dates` exists.</w:t>
      </w:r>
      <w:r>
        <w:t xml:space="preserve"> Three reasons: the completeness flags are properties of the calendar so they belong there; storing </w:t>
      </w:r>
      <w:r>
        <w:rPr>
          <w:rFonts w:ascii="Consolas" w:hAnsi="Consolas"/>
          <w:color w:val="2F6F9F"/>
          <w:sz w:val="18"/>
        </w:rPr>
        <w:t>year_number</w:t>
      </w:r>
      <w:r>
        <w:t xml:space="preserve"> as a column keeps the queries free of dialect-specific functions like </w:t>
      </w:r>
      <w:r>
        <w:rPr>
          <w:rFonts w:ascii="Consolas" w:hAnsi="Consolas"/>
          <w:color w:val="2F6F9F"/>
          <w:sz w:val="18"/>
        </w:rPr>
        <w:t>YEAR()</w:t>
      </w:r>
      <w:r>
        <w:t xml:space="preserve"> or </w:t>
      </w:r>
      <w:r>
        <w:rPr>
          <w:rFonts w:ascii="Consolas" w:hAnsi="Consolas"/>
          <w:color w:val="2F6F9F"/>
          <w:sz w:val="18"/>
        </w:rPr>
        <w:t>strftime()</w:t>
      </w:r>
      <w:r>
        <w:t xml:space="preserve">, so the same file runs on MySQL and SQLite; and </w:t>
      </w:r>
      <w:r>
        <w:rPr>
          <w:rFonts w:ascii="Consolas" w:hAnsi="Consolas"/>
          <w:color w:val="2F6F9F"/>
          <w:sz w:val="18"/>
        </w:rPr>
        <w:t>WHERE d.year_number = 2024</w:t>
      </w:r>
      <w:r>
        <w:t xml:space="preserve"> reads better than </w:t>
      </w:r>
      <w:r>
        <w:rPr>
          <w:rFonts w:ascii="Consolas" w:hAnsi="Consolas"/>
          <w:color w:val="2F6F9F"/>
          <w:sz w:val="18"/>
        </w:rPr>
        <w:t>WHERE YEAR(f.order_date) = 2024</w:t>
      </w:r>
      <w:r>
        <w:t xml:space="preserve"> and can use an index.</w:t>
      </w:r>
    </w:p>
    <w:p>
      <w:pPr>
        <w:pStyle w:val="Heading3"/>
      </w:pPr>
      <w:r>
        <w:t>The constraints</w:t>
      </w:r>
    </w:p>
    <w:p>
      <w:r>
        <w:t xml:space="preserve">Not just </w:t>
      </w:r>
      <w:r>
        <w:rPr>
          <w:rFonts w:ascii="Consolas" w:hAnsi="Consolas"/>
          <w:color w:val="2F6F9F"/>
          <w:sz w:val="18"/>
        </w:rPr>
        <w:t>CREATE TABLE</w:t>
      </w:r>
      <w:r>
        <w:t xml:space="preserve"> — </w:t>
      </w:r>
      <w:r>
        <w:rPr>
          <w:b/>
        </w:rPr>
        <w:t>8 primary keys, 7 foreign keys, 6 unique constraints and 4 check constraints</w:t>
      </w:r>
      <w:r>
        <w:t xml:space="preserve">, plus four indexes on the columns the queries filter and group by. All verified on a live MySQL-compatible server, and both foreign keys and check constraints were confirmed to </w:t>
      </w:r>
      <w:r>
        <w:rPr>
          <w:i/>
        </w:rPr>
        <w:t>reject</w:t>
      </w:r>
      <w:r>
        <w:t xml:space="preserve"> invalid rows rather than merely existing.</w:t>
      </w:r>
    </w:p>
    <w:p>
      <w:r>
        <w:t xml:space="preserve">After loading, the build runs a referential-integrity check and </w:t>
      </w:r>
      <w:r>
        <w:rPr>
          <w:b/>
        </w:rPr>
        <w:t>fails</w:t>
      </w:r>
      <w:r>
        <w:t xml:space="preserve"> if any foreign key is violated. Data quality is enforced, not hoped for.</w:t>
      </w:r>
    </w:p>
    <w:p>
      <w:pPr>
        <w:pStyle w:val="Heading3"/>
      </w:pPr>
      <w:r>
        <w:t>One SQL trap worth knowing</w:t>
      </w:r>
    </w:p>
    <w:p>
      <w:r>
        <w:rPr>
          <w:rFonts w:ascii="Consolas" w:hAnsi="Consolas"/>
          <w:color w:val="2F6F9F"/>
          <w:sz w:val="18"/>
        </w:rPr>
        <w:t>year_month</w:t>
      </w:r>
      <w:r>
        <w:t xml:space="preserve"> is a </w:t>
      </w:r>
      <w:r>
        <w:rPr>
          <w:b/>
        </w:rPr>
        <w:t>reserved word</w:t>
      </w:r>
      <w:r>
        <w:t xml:space="preserve"> in MySQL and MariaDB — it is the unit in </w:t>
      </w:r>
      <w:r>
        <w:rPr>
          <w:rFonts w:ascii="Consolas" w:hAnsi="Consolas"/>
          <w:color w:val="2F6F9F"/>
          <w:sz w:val="18"/>
        </w:rPr>
        <w:t>INTERVAL 1 YEAR_MONTH</w:t>
      </w:r>
      <w:r>
        <w:t>. So: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SELECT year_month FROM dates;           -- syntax error</w:t>
        <w:br/>
        <w:t>SELECT dates.year_month FROM dates;     -- fine, qualified</w:t>
        <w:br/>
        <w:t>SELECT `year_month` FROM dates;         -- fine, backticked</w:t>
      </w:r>
    </w:p>
    <w:p>
      <w:r>
        <w:t>Every query in the project qualifies or backticks it. It only bites if you type a quick query of your own — and it is a good thing to be able to explain if asked why the schema has backticks in it.</w:t>
      </w:r>
    </w:p>
    <w:p>
      <w:pPr>
        <w:pStyle w:val="Heading2"/>
      </w:pPr>
      <w:r>
        <w:t>Task 1.4 — the eight queries</w:t>
      </w:r>
    </w:p>
    <w:p>
      <w:pPr>
        <w:ind w:left="432"/>
      </w:pPr>
      <w:r>
        <w:rPr>
          <w:i/>
        </w:rPr>
        <w:t xml:space="preserve">The interpretations in the report were AI-drafted and </w:t>
      </w:r>
      <w:r>
        <w:rPr>
          <w:b/>
          <w:i/>
        </w:rPr>
        <w:t>must be rewritten in your own words</w:t>
      </w:r>
      <w:r>
        <w:rPr>
          <w:i/>
        </w:rPr>
        <w:t xml:space="preserve"> before submission — Section 3.2. This explains what each query </w:t>
      </w:r>
      <w:r>
        <w:rPr>
          <w:i/>
        </w:rPr>
        <w:t>does</w:t>
      </w:r>
      <w:r>
        <w:rPr>
          <w:i/>
        </w:rPr>
        <w:t xml:space="preserve"> and what the numbers </w:t>
      </w:r>
      <w:r>
        <w:rPr>
          <w:i/>
        </w:rPr>
        <w:t>say</w:t>
      </w:r>
      <w:r>
        <w:rPr>
          <w:i/>
        </w:rPr>
        <w:t>; the reading of them has to be yours.</w:t>
      </w:r>
    </w:p>
    <w:p>
      <w:pPr>
        <w:pStyle w:val="Heading3"/>
      </w:pPr>
      <w:r>
        <w:t>Group 1 — Basic retrieval</w:t>
      </w:r>
    </w:p>
    <w:p>
      <w:r>
        <w:rPr>
          <w:b/>
        </w:rPr>
        <w:t>Q1 — the 15 largest transaction lines of 2024.</w:t>
      </w:r>
      <w:r>
        <w:t xml:space="preserve"> </w:t>
      </w:r>
      <w:r>
        <w:rPr>
          <w:rFonts w:ascii="Consolas" w:hAnsi="Consolas"/>
          <w:color w:val="2F6F9F"/>
          <w:sz w:val="18"/>
        </w:rPr>
        <w:t>SELECT</w:t>
      </w:r>
      <w:r>
        <w:t xml:space="preserve"> / </w:t>
      </w:r>
      <w:r>
        <w:rPr>
          <w:rFonts w:ascii="Consolas" w:hAnsi="Consolas"/>
          <w:color w:val="2F6F9F"/>
          <w:sz w:val="18"/>
        </w:rPr>
        <w:t>WHERE</w:t>
      </w:r>
      <w:r>
        <w:t xml:space="preserve"> / </w:t>
      </w:r>
      <w:r>
        <w:rPr>
          <w:rFonts w:ascii="Consolas" w:hAnsi="Consolas"/>
          <w:color w:val="2F6F9F"/>
          <w:sz w:val="18"/>
        </w:rPr>
        <w:t>ORDER BY</w:t>
      </w:r>
      <w:r>
        <w:t xml:space="preserve"> / </w:t>
      </w:r>
      <w:r>
        <w:rPr>
          <w:rFonts w:ascii="Consolas" w:hAnsi="Consolas"/>
          <w:color w:val="2F6F9F"/>
          <w:sz w:val="18"/>
        </w:rPr>
        <w:t>LIMIT</w:t>
      </w:r>
      <w:r>
        <w:t xml:space="preserve"> on one table.</w:t>
      </w:r>
    </w:p>
    <w:p>
      <w:r>
        <w:rPr>
          <w:i/>
        </w:rPr>
        <w:t>What it says:</w:t>
      </w:r>
      <w:r>
        <w:t xml:space="preserve"> they sit in a tight band from </w:t>
      </w:r>
      <w:r>
        <w:rPr>
          <w:b/>
        </w:rPr>
        <w:t>9,380 to 9,914</w:t>
      </w:r>
      <w:r>
        <w:t xml:space="preserve"> against a dataset maximum of 9,992 — a hard ceiling near 10,000, not a long tail. So no single lost account can explain the decline. Profit on those near-identical revenues ranges from </w:t>
      </w:r>
      <w:r>
        <w:rPr>
          <w:b/>
        </w:rPr>
        <w:t>414 to 4,339</w:t>
      </w:r>
      <w:r>
        <w:t>, so revenue rank is a poor guide to which orders are actually valuable.</w:t>
      </w:r>
    </w:p>
    <w:p>
      <w:r>
        <w:rPr>
          <w:b/>
        </w:rPr>
        <w:t>Q2 — bulk orders at thin margins.</w:t>
      </w:r>
      <w:r>
        <w:t xml:space="preserve"> Adds a </w:t>
      </w:r>
      <w:r>
        <w:rPr>
          <w:b/>
        </w:rPr>
        <w:t>calculated column</w:t>
      </w:r>
      <w:r>
        <w:t xml:space="preserve">: </w:t>
      </w:r>
      <w:r>
        <w:rPr>
          <w:rFonts w:ascii="Consolas" w:hAnsi="Consolas"/>
          <w:color w:val="2F6F9F"/>
          <w:sz w:val="18"/>
        </w:rPr>
        <w:t>ROUND(100.0 * profit / amount, 2) AS margin_pct</w:t>
      </w:r>
      <w:r>
        <w:t>.</w:t>
      </w:r>
    </w:p>
    <w:p>
      <w:pPr>
        <w:ind w:left="432"/>
      </w:pPr>
      <w:r>
        <w:rPr>
          <w:b/>
          <w:i/>
        </w:rPr>
        <w:t>Why `100.0` and not `100`?</w:t>
      </w:r>
      <w:r>
        <w:rPr>
          <w:i/>
        </w:rPr>
        <w:t xml:space="preserve"> With integers, SQL may do integer division and throw away the decimals. Writing </w:t>
      </w:r>
      <w:r>
        <w:rPr>
          <w:rFonts w:ascii="Consolas" w:hAnsi="Consolas"/>
          <w:i/>
          <w:color w:val="2F6F9F"/>
          <w:sz w:val="18"/>
        </w:rPr>
        <w:t>100.0</w:t>
      </w:r>
      <w:r>
        <w:rPr>
          <w:i/>
        </w:rPr>
        <w:t xml:space="preserve"> forces floating-point arithmetic. Classic exam question.</w:t>
      </w:r>
    </w:p>
    <w:p>
      <w:r>
        <w:rPr>
          <w:i/>
        </w:rPr>
        <w:t>What it says:</w:t>
      </w:r>
      <w:r>
        <w:t xml:space="preserve"> the worst line shipped 19 units for 7,702 revenue and </w:t>
      </w:r>
      <w:r>
        <w:rPr>
          <w:b/>
        </w:rPr>
        <w:t>60 profit — a 0.78% margin</w:t>
      </w:r>
      <w:r>
        <w:t xml:space="preserve">. All 15 return under 3.7%, and they appear in every year from 2020 to 2024, so this is a standing pricing issue, </w:t>
      </w:r>
      <w:r>
        <w:rPr>
          <w:i/>
        </w:rPr>
        <w:t>not</w:t>
      </w:r>
      <w:r>
        <w:t xml:space="preserve"> a cause of the trend break.</w:t>
      </w:r>
    </w:p>
    <w:p>
      <w:pPr>
        <w:pStyle w:val="Heading3"/>
      </w:pPr>
      <w:r>
        <w:t>Group 2 — Aggregates</w:t>
      </w:r>
    </w:p>
    <w:p>
      <w:r>
        <w:rPr>
          <w:b/>
        </w:rPr>
        <w:t>Q3 — the annual trend.</w:t>
      </w:r>
      <w:r>
        <w:t xml:space="preserve"> The headline table. </w:t>
      </w:r>
      <w:r>
        <w:rPr>
          <w:rFonts w:ascii="Consolas" w:hAnsi="Consolas"/>
          <w:color w:val="2F6F9F"/>
          <w:sz w:val="18"/>
        </w:rPr>
        <w:t>GROUP BY</w:t>
      </w:r>
      <w:r>
        <w:t xml:space="preserve"> with </w:t>
      </w:r>
      <w:r>
        <w:rPr>
          <w:rFonts w:ascii="Consolas" w:hAnsi="Consolas"/>
          <w:color w:val="2F6F9F"/>
          <w:sz w:val="18"/>
        </w:rPr>
        <w:t>COUNT</w:t>
      </w:r>
      <w:r>
        <w:t xml:space="preserve">, </w:t>
      </w:r>
      <w:r>
        <w:rPr>
          <w:rFonts w:ascii="Consolas" w:hAnsi="Consolas"/>
          <w:color w:val="2F6F9F"/>
          <w:sz w:val="18"/>
        </w:rPr>
        <w:t>SUM</w:t>
      </w:r>
      <w:r>
        <w:t xml:space="preserve">, </w:t>
      </w:r>
      <w:r>
        <w:rPr>
          <w:rFonts w:ascii="Consolas" w:hAnsi="Consolas"/>
          <w:color w:val="2F6F9F"/>
          <w:sz w:val="18"/>
        </w:rPr>
        <w:t>AVG</w:t>
      </w:r>
      <w:r>
        <w:t>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months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revenue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profit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revenue_per_month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avg_line_value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margin_pct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167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836,410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217,911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92,934.44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5,008.44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26.05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217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1,181,446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283,231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98,453.83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5,444.45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23.97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288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1,459,775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393,113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121,647.92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5,068.66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26.93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1,229,723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321,671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102,476.92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5,255.23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26.16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240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1,202,478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308,336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100,206.50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5,010.32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25.64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6. Group 2 — Aggregates</w:t>
      </w:r>
    </w:p>
    <w:p>
      <w:r>
        <w:rPr>
          <w:b/>
        </w:rPr>
        <w:t>Rule to remember:</w:t>
      </w:r>
      <w:r>
        <w:t xml:space="preserve"> every column in the </w:t>
      </w:r>
      <w:r>
        <w:rPr>
          <w:rFonts w:ascii="Consolas" w:hAnsi="Consolas"/>
          <w:color w:val="2F6F9F"/>
          <w:sz w:val="18"/>
        </w:rPr>
        <w:t>SELECT</w:t>
      </w:r>
      <w:r>
        <w:t xml:space="preserve"> must either sit inside an aggregate or be listed in the </w:t>
      </w:r>
      <w:r>
        <w:rPr>
          <w:rFonts w:ascii="Consolas" w:hAnsi="Consolas"/>
          <w:color w:val="2F6F9F"/>
          <w:sz w:val="18"/>
        </w:rPr>
        <w:t>GROUP BY</w:t>
      </w:r>
      <w:r>
        <w:t>.</w:t>
      </w:r>
    </w:p>
    <w:p>
      <w:pPr>
        <w:ind w:left="432"/>
      </w:pPr>
      <w:r>
        <w:rPr>
          <w:b/>
          <w:i/>
        </w:rPr>
        <w:t>Note the margin calculation.</w:t>
      </w:r>
      <w:r>
        <w:rPr>
          <w:i/>
        </w:rPr>
        <w:t xml:space="preserve"> It is </w:t>
      </w:r>
      <w:r>
        <w:rPr>
          <w:rFonts w:ascii="Consolas" w:hAnsi="Consolas"/>
          <w:i/>
          <w:color w:val="2F6F9F"/>
          <w:sz w:val="18"/>
        </w:rPr>
        <w:t>SUM(profit)/SUM(amount)</w:t>
      </w:r>
      <w:r>
        <w:rPr>
          <w:i/>
        </w:rPr>
        <w:t xml:space="preserve"> — </w:t>
      </w:r>
      <w:r>
        <w:rPr>
          <w:b/>
          <w:i/>
        </w:rPr>
        <w:t>not</w:t>
      </w:r>
      <w:r>
        <w:rPr>
          <w:i/>
        </w:rPr>
        <w:t xml:space="preserve"> </w:t>
      </w:r>
      <w:r>
        <w:rPr>
          <w:rFonts w:ascii="Consolas" w:hAnsi="Consolas"/>
          <w:i/>
          <w:color w:val="2F6F9F"/>
          <w:sz w:val="18"/>
        </w:rPr>
        <w:t>AVG(margin_pct)</w:t>
      </w:r>
      <w:r>
        <w:rPr>
          <w:i/>
        </w:rPr>
        <w:t>. Averaging percentages weights a 500-unit sale the same as a 5-unit one. Expect to be asked this.</w:t>
      </w:r>
    </w:p>
    <w:p>
      <w:r>
        <w:rPr>
          <w:i/>
        </w:rPr>
        <w:t>What it says:</w:t>
      </w:r>
      <w:r>
        <w:t xml:space="preserve"> watch the </w:t>
      </w:r>
      <w:r>
        <w:rPr>
          <w:rFonts w:ascii="Consolas" w:hAnsi="Consolas"/>
          <w:color w:val="2F6F9F"/>
          <w:sz w:val="18"/>
        </w:rPr>
        <w:t>months</w:t>
      </w:r>
      <w:r>
        <w:t xml:space="preserve"> column first — 2020 has only nine, so the comparison must use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. On that basis growth was 30.9% to the 2022 peak, then −15.8% and −2.2%. The decisive detail is that </w:t>
      </w:r>
      <w:r>
        <w:rPr>
          <w:b/>
        </w:rPr>
        <w:t>average line value barely moved</w:t>
      </w:r>
      <w:r>
        <w:t xml:space="preserve"> (5,008–5,444, a 9% spread) while </w:t>
      </w:r>
      <w:r>
        <w:rPr>
          <w:b/>
        </w:rPr>
        <w:t>orders per month moved a lot</w:t>
      </w:r>
      <w:r>
        <w:t xml:space="preserve"> (18.6 → 24.0 → 20.0). The company writes </w:t>
      </w:r>
      <w:r>
        <w:rPr>
          <w:i/>
        </w:rPr>
        <w:t>fewer</w:t>
      </w:r>
      <w:r>
        <w:t xml:space="preserve"> orders, not smaller ones — which points at demand and availability, not pricing.</w:t>
      </w:r>
    </w:p>
    <w:p>
      <w:r>
        <w:rPr>
          <w:b/>
        </w:rPr>
        <w:t>Q4 — monthly seasonality.</w:t>
      </w:r>
      <w:r>
        <w:t xml:space="preserve"> Introduces a </w:t>
      </w:r>
      <w:r>
        <w:rPr>
          <w:b/>
        </w:rPr>
        <w:t>scalar subquery</w:t>
      </w:r>
      <w:r>
        <w:t xml:space="preserve">: an inner </w:t>
      </w:r>
      <w:r>
        <w:rPr>
          <w:rFonts w:ascii="Consolas" w:hAnsi="Consolas"/>
          <w:color w:val="2F6F9F"/>
          <w:sz w:val="18"/>
        </w:rPr>
        <w:t>SELECT</w:t>
      </w:r>
      <w:r>
        <w:t xml:space="preserve"> returning one number (total revenue), which every row divides by to get its share. It needs its own aliases and its own </w:t>
      </w:r>
      <w:r>
        <w:rPr>
          <w:rFonts w:ascii="Consolas" w:hAnsi="Consolas"/>
          <w:color w:val="2F6F9F"/>
          <w:sz w:val="18"/>
        </w:rPr>
        <w:t>WHERE</w:t>
      </w:r>
      <w:r>
        <w:t>, so the denominator covers the same months as the numerator.</w:t>
      </w:r>
    </w:p>
    <w:p>
      <w:r>
        <w:rPr>
          <w:i/>
        </w:rPr>
        <w:t>What it says:</w:t>
      </w:r>
      <w:r>
        <w:t xml:space="preserve"> December is </w:t>
      </w:r>
      <w:r>
        <w:rPr>
          <w:b/>
        </w:rPr>
        <w:t>11.09%</w:t>
      </w:r>
      <w:r>
        <w:t xml:space="preserve"> of annual revenue and October </w:t>
      </w:r>
      <w:r>
        <w:rPr>
          <w:b/>
        </w:rPr>
        <w:t>10.70%</w:t>
      </w:r>
      <w:r>
        <w:t xml:space="preserve"> — together </w:t>
      </w:r>
      <w:r>
        <w:rPr>
          <w:b/>
        </w:rPr>
        <w:t>21.8%</w:t>
      </w:r>
      <w:r>
        <w:t xml:space="preserve">. January is the trough at </w:t>
      </w:r>
      <w:r>
        <w:rPr>
          <w:b/>
        </w:rPr>
        <w:t>4.73%</w:t>
      </w:r>
      <w:r>
        <w:t xml:space="preserve">. But the peak is driven by </w:t>
      </w:r>
      <w:r>
        <w:rPr>
          <w:b/>
        </w:rPr>
        <w:t>order count, not basket size</w:t>
      </w:r>
      <w:r>
        <w:t xml:space="preserve">: December has the most lines (133) at an average line value of 4,928, </w:t>
      </w:r>
      <w:r>
        <w:rPr>
          <w:i/>
        </w:rPr>
        <w:t>below</w:t>
      </w:r>
      <w:r>
        <w:t xml:space="preserve"> the annual averages. So Q4 is a throughput problem — staffing and warehouse capacity, not premium stock.</w:t>
      </w:r>
    </w:p>
    <w:p>
      <w:pPr>
        <w:pStyle w:val="Heading3"/>
      </w:pPr>
      <w:r>
        <w:t>Group 3 — Multi-table joins</w:t>
      </w:r>
    </w:p>
    <w:p>
      <w:r>
        <w:t xml:space="preserve">Both join </w:t>
      </w:r>
      <w:r>
        <w:rPr>
          <w:b/>
        </w:rPr>
        <w:t>four</w:t>
      </w:r>
      <w:r>
        <w:t xml:space="preserve"> tables; the requirement was two.</w:t>
      </w:r>
    </w:p>
    <w:p>
      <w:r>
        <w:rPr>
          <w:b/>
        </w:rPr>
        <w:t>Q5 — revenue by category per year.</w:t>
      </w:r>
      <w:r>
        <w:t xml:space="preserve"> Note the </w:t>
      </w:r>
      <w:r>
        <w:rPr>
          <w:b/>
        </w:rPr>
        <w:t>chain</w:t>
      </w:r>
      <w:r>
        <w:t xml:space="preserve">: </w:t>
      </w:r>
      <w:r>
        <w:rPr>
          <w:rFonts w:ascii="Consolas" w:hAnsi="Consolas"/>
          <w:color w:val="2F6F9F"/>
          <w:sz w:val="18"/>
        </w:rPr>
        <w:t>sales</w:t>
      </w:r>
      <w:r>
        <w:t xml:space="preserve"> has no direct link to </w:t>
      </w:r>
      <w:r>
        <w:rPr>
          <w:rFonts w:ascii="Consolas" w:hAnsi="Consolas"/>
          <w:color w:val="2F6F9F"/>
          <w:sz w:val="18"/>
        </w:rPr>
        <w:t>categories</w:t>
      </w:r>
      <w:r>
        <w:t xml:space="preserve">. It knows its sub-category, and the sub-category knows its category — so you hop </w:t>
      </w:r>
      <w:r>
        <w:rPr>
          <w:rFonts w:ascii="Consolas" w:hAnsi="Consolas"/>
          <w:color w:val="2F6F9F"/>
          <w:sz w:val="18"/>
        </w:rPr>
        <w:t>sales → sub_categories → categories</w:t>
      </w:r>
      <w:r>
        <w:t>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2020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2021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2022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233,178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387,757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478,451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538,319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318,630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299,708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391,342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496,353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385,893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415,878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326,515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402,347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484,971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305,511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467,970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7. Group 3 — Multi-table joins</w:t>
      </w:r>
    </w:p>
    <w:p>
      <w:r>
        <w:rPr>
          <w:i/>
        </w:rPr>
        <w:t>What it says:</w:t>
      </w:r>
      <w:r>
        <w:t xml:space="preserve"> the flat company total hides three different stories. Electronics kept growing a year longer, peaking in 2023, then fell </w:t>
      </w:r>
      <w:r>
        <w:rPr>
          <w:b/>
        </w:rPr>
        <w:t>40.8%</w:t>
      </w:r>
      <w:r>
        <w:t xml:space="preserve">. Office Supplies did the opposite — dropped in 2023, rebounded </w:t>
      </w:r>
      <w:r>
        <w:rPr>
          <w:b/>
        </w:rPr>
        <w:t>53%</w:t>
      </w:r>
      <w:r>
        <w:t>. So the "plateau" is an Electronics collapse nearly cancelled by an Office Supplies recovery. Managing to the aggregate would have missed both.</w:t>
      </w:r>
    </w:p>
    <w:p>
      <w:r>
        <w:rPr>
          <w:b/>
        </w:rPr>
        <w:t>Q6 — top cities.</w:t>
      </w:r>
      <w:r>
        <w:t xml:space="preserve"> The other four-table chain, through geography. New idea: </w:t>
      </w:r>
      <w:r>
        <w:rPr>
          <w:rFonts w:ascii="Consolas" w:hAnsi="Consolas"/>
          <w:color w:val="2F6F9F"/>
          <w:sz w:val="18"/>
        </w:rPr>
        <w:t>COUNT(DISTINCT cu.customer_id)</w:t>
      </w:r>
      <w:r>
        <w:t xml:space="preserve"> — without </w:t>
      </w:r>
      <w:r>
        <w:rPr>
          <w:rFonts w:ascii="Consolas" w:hAnsi="Consolas"/>
          <w:color w:val="2F6F9F"/>
          <w:sz w:val="18"/>
        </w:rPr>
        <w:t>DISTINCT</w:t>
      </w:r>
      <w:r>
        <w:t>, a customer with three purchases counts three times and revenue-per-customer becomes nonsense.</w:t>
      </w:r>
    </w:p>
    <w:p>
      <w:r>
        <w:rPr>
          <w:i/>
        </w:rPr>
        <w:t>What it says:</w:t>
      </w:r>
      <w:r>
        <w:t xml:space="preserve"> geography is </w:t>
      </w:r>
      <w:r>
        <w:rPr>
          <w:b/>
        </w:rPr>
        <w:t>not</w:t>
      </w:r>
      <w:r>
        <w:t xml:space="preserve"> the problem. Across six states revenue spans only 884,768 to 1,130,048 — a 28% spread over five years. The useful signal is per-customer value: Orlando returns </w:t>
      </w:r>
      <w:r>
        <w:rPr>
          <w:b/>
        </w:rPr>
        <w:t>9,829 per customer</w:t>
      </w:r>
      <w:r>
        <w:t xml:space="preserve">, Buffalo only </w:t>
      </w:r>
      <w:r>
        <w:rPr>
          <w:b/>
        </w:rPr>
        <w:t>7,216</w:t>
      </w:r>
      <w:r>
        <w:t xml:space="preserve"> from 26% more customers.</w:t>
      </w:r>
    </w:p>
    <w:p>
      <w:pPr>
        <w:pStyle w:val="Heading3"/>
      </w:pPr>
      <w:r>
        <w:t>Group 4 — Business insights</w:t>
      </w:r>
    </w:p>
    <w:p>
      <w:r>
        <w:rPr>
          <w:b/>
        </w:rPr>
        <w:t>Q7 — what caused the plateau.</w:t>
      </w:r>
      <w:r>
        <w:t xml:space="preserve"> Uses </w:t>
      </w:r>
      <w:r>
        <w:rPr>
          <w:b/>
        </w:rPr>
        <w:t>conditional aggregation</w:t>
      </w:r>
      <w:r>
        <w:t xml:space="preserve">, the most useful trick in the checkpoint. </w:t>
      </w:r>
      <w:r>
        <w:rPr>
          <w:rFonts w:ascii="Consolas" w:hAnsi="Consolas"/>
          <w:color w:val="2F6F9F"/>
          <w:sz w:val="18"/>
        </w:rPr>
        <w:t>CASE WHEN … THEN … ELSE … END</w:t>
      </w:r>
      <w:r>
        <w:t xml:space="preserve"> is SQL's if-statement; inside </w:t>
      </w:r>
      <w:r>
        <w:rPr>
          <w:rFonts w:ascii="Consolas" w:hAnsi="Consolas"/>
          <w:color w:val="2F6F9F"/>
          <w:sz w:val="18"/>
        </w:rPr>
        <w:t>SUM()</w:t>
      </w:r>
      <w:r>
        <w:t xml:space="preserve"> it adds </w:t>
      </w:r>
      <w:r>
        <w:rPr>
          <w:rFonts w:ascii="Consolas" w:hAnsi="Consolas"/>
          <w:color w:val="2F6F9F"/>
          <w:sz w:val="18"/>
        </w:rPr>
        <w:t>amount</w:t>
      </w:r>
      <w:r>
        <w:t xml:space="preserve"> only when the year matches. Two of them side by side turn </w:t>
      </w:r>
      <w:r>
        <w:rPr>
          <w:i/>
        </w:rPr>
        <w:t>rows</w:t>
      </w:r>
      <w:r>
        <w:t xml:space="preserve"> into </w:t>
      </w:r>
      <w:r>
        <w:rPr>
          <w:i/>
        </w:rPr>
        <w:t>columns</w:t>
      </w:r>
      <w:r>
        <w:t xml:space="preserve"> so you can subtract them — this is </w:t>
      </w:r>
      <w:r>
        <w:rPr>
          <w:b/>
        </w:rPr>
        <w:t>pivoting</w:t>
      </w:r>
      <w:r>
        <w:t xml:space="preserve">. </w:t>
      </w:r>
      <w:r>
        <w:rPr>
          <w:rFonts w:ascii="Consolas" w:hAnsi="Consolas"/>
          <w:color w:val="2F6F9F"/>
          <w:sz w:val="18"/>
        </w:rPr>
        <w:t>NULLIF(x, 0)</w:t>
      </w:r>
      <w:r>
        <w:t xml:space="preserve"> is division-by-zero protection.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sub_category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Printers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192,817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55,952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−136,865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−71.0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 Games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144,484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88,017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−56,467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−39.1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Phones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115,909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99,526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−16,383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−14.1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Bookcases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86,730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74,875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−11,855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−13.7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Laptops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85,109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75,135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−9,974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−11.7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Chairs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87,711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86,185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−1,526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−1.7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Sofas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92,052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98,984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+6,932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+7.5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100,742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120,002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+19,260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+19.1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Binders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64,442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88,011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+23,569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+36.6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Pens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82,959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116,900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+33,941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+40.9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119,400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155,834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+36,434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+30.5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Paper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57,368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143,057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+85,689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+149.4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8. Group 4 — Business insights</w:t>
      </w:r>
    </w:p>
    <w:p>
      <w:r>
        <w:rPr>
          <w:i/>
        </w:rPr>
        <w:t>What it says — the headline finding.</w:t>
      </w:r>
      <w:r>
        <w:t xml:space="preserve"> The plateau is </w:t>
      </w:r>
      <w:r>
        <w:rPr>
          <w:b/>
        </w:rPr>
        <w:t>concentrated in one sub-category</w:t>
      </w:r>
      <w:r>
        <w:t xml:space="preserve">. Printers alone lost </w:t>
      </w:r>
      <w:r>
        <w:rPr>
          <w:b/>
        </w:rPr>
        <w:t>136,865</w:t>
      </w:r>
      <w:r>
        <w:t>, more than half the entire 257,297 gap and more than the next two decliners combined. All four Electronics lines fell; all four Office Supplies lines grew.</w:t>
      </w:r>
    </w:p>
    <w:p>
      <w:r>
        <w:t xml:space="preserve">The pattern suggests consumables growing while durable hardware falls away. </w:t>
      </w:r>
      <w:r>
        <w:rPr>
          <w:b/>
        </w:rPr>
        <w:t>The honest next step is to check 2024 Printer stock and supplier status before concluding anything about demand</w:t>
      </w:r>
      <w:r>
        <w:t xml:space="preserve"> — a supply failure and a demand collapse look identical in a sales table but need opposite responses. Saying this is a strength: it shows you know what the data cannot tell you.</w:t>
      </w:r>
    </w:p>
    <w:p>
      <w:r>
        <w:rPr>
          <w:b/>
        </w:rPr>
        <w:t>Q8 — is the Q4 peak universal?</w:t>
      </w:r>
      <w:r>
        <w:t xml:space="preserve"> Uses a </w:t>
      </w:r>
      <w:r>
        <w:rPr>
          <w:b/>
        </w:rPr>
        <w:t>window function</w:t>
      </w:r>
      <w:r>
        <w:t xml:space="preserve">. A normal aggregate collapses rows into one; a window function computes across a set of rows </w:t>
      </w:r>
      <w:r>
        <w:rPr>
          <w:i/>
        </w:rPr>
        <w:t>while keeping every row</w:t>
      </w:r>
      <w:r>
        <w:t xml:space="preserve">. </w:t>
      </w:r>
      <w:r>
        <w:rPr>
          <w:rFonts w:ascii="Consolas" w:hAnsi="Consolas"/>
          <w:color w:val="2F6F9F"/>
          <w:sz w:val="18"/>
        </w:rPr>
        <w:t>PARTITION BY category</w:t>
      </w:r>
      <w:r>
        <w:t xml:space="preserve"> makes the window "all rows for this category", so each quarter can express itself as a share of its </w:t>
      </w:r>
      <w:r>
        <w:rPr>
          <w:b/>
        </w:rPr>
        <w:t>own</w:t>
      </w:r>
      <w:r>
        <w:t xml:space="preserve"> category.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Q1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Q2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Q3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Q4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20.28%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30.79%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23.69%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25.24%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16.96%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29.46%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22.74%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30.84%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17.01%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25.00%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25.83%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32.16%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9. Group 4 — Business insights</w:t>
      </w:r>
    </w:p>
    <w:p>
      <w:r>
        <w:rPr>
          <w:i/>
        </w:rPr>
        <w:t>What it says:</w:t>
      </w:r>
      <w:r>
        <w:t xml:space="preserve"> the company-wide Q4 peak is </w:t>
      </w:r>
      <w:r>
        <w:rPr>
          <w:b/>
        </w:rPr>
        <w:t>not universal</w:t>
      </w:r>
      <w:r>
        <w:t xml:space="preserve">. Furniture and Office Supplies peak in Q4; </w:t>
      </w:r>
      <w:r>
        <w:rPr>
          <w:b/>
        </w:rPr>
        <w:t>Electronics does not</w:t>
      </w:r>
      <w:r>
        <w:t xml:space="preserve"> — it peaks in </w:t>
      </w:r>
      <w:r>
        <w:rPr>
          <w:b/>
        </w:rPr>
        <w:t>Q2</w:t>
      </w:r>
      <w:r>
        <w:t>. Planning Electronics stock against the blended curve over-stocks it in Q4 and under-stocks it in Q2, every year. Q1 is weakest for all three, so it is the natural clearance window.</w:t>
      </w:r>
    </w:p>
    <w:p>
      <w:pPr>
        <w:ind w:left="432"/>
      </w:pPr>
      <w:r>
        <w:rPr>
          <w:i/>
        </w:rPr>
        <w:t xml:space="preserve">Q8 needs </w:t>
      </w:r>
      <w:r>
        <w:rPr>
          <w:b/>
          <w:i/>
        </w:rPr>
        <w:t>MySQL 8</w:t>
      </w:r>
      <w:r>
        <w:rPr>
          <w:i/>
        </w:rPr>
        <w:t xml:space="preserve">. On 5.7 use </w:t>
      </w:r>
      <w:r>
        <w:rPr>
          <w:b/>
          <w:i/>
        </w:rPr>
        <w:t>Q8-ALT</w:t>
      </w:r>
      <w:r>
        <w:rPr>
          <w:i/>
        </w:rPr>
        <w:t xml:space="preserve"> at the end of the screenshot script — a correlated subquery that returns byte-identical output.</w:t>
      </w:r>
    </w:p>
    <w:p>
      <w:r>
        <w:br w:type="page"/>
      </w:r>
    </w:p>
    <w:p>
      <w:pPr>
        <w:pStyle w:val="Heading1"/>
      </w:pPr>
      <w:r>
        <w:t>Part 2 — Checkpoint 2: Spreadsheet &amp; Statistics</w:t>
      </w:r>
    </w:p>
    <w:p>
      <w:pPr>
        <w:pStyle w:val="Heading2"/>
      </w:pPr>
      <w:r>
        <w:t>What it is</w:t>
      </w:r>
    </w:p>
    <w:p>
      <w:r>
        <w:t xml:space="preserve">The </w:t>
      </w:r>
      <w:r>
        <w:rPr>
          <w:b/>
        </w:rPr>
        <w:t>Midterm</w:t>
      </w:r>
      <w:r>
        <w:t xml:space="preserve"> phase, Weeks 5–9, </w:t>
      </w:r>
      <w:r>
        <w:rPr>
          <w:b/>
        </w:rPr>
        <w:t>100 points</w:t>
      </w:r>
      <w:r>
        <w:t xml:space="preserve">, assessing </w:t>
      </w:r>
      <w:r>
        <w:rPr>
          <w:b/>
        </w:rPr>
        <w:t>CILO 2</w:t>
      </w:r>
      <w:r>
        <w:t xml:space="preserve">: </w:t>
      </w:r>
      <w:r>
        <w:rPr>
          <w:i/>
        </w:rPr>
        <w:t>apply spreadsheet and statistical techniques to analyze business data and support decision-making.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Statistical Accuracy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Interpretation of Results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Spreadsheet Report Quality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Documentation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10. What it is</w:t>
      </w:r>
    </w:p>
    <w:p>
      <w:r>
        <w:rPr>
          <w:b/>
        </w:rPr>
        <w:t>Where the marks are:</w:t>
      </w:r>
      <w:r>
        <w:t xml:space="preserve"> accuracy and interpretation together are </w:t>
      </w:r>
      <w:r>
        <w:rPr>
          <w:b/>
        </w:rPr>
        <w:t>60%</w:t>
      </w:r>
      <w:r>
        <w:t>. Getting the numbers right is only half — a correct R² with no interpretation scores badly.</w:t>
      </w:r>
    </w:p>
    <w:p>
      <w:pPr>
        <w:pStyle w:val="Heading2"/>
      </w:pPr>
      <w:r>
        <w:t>The workbook, sheet by sheet</w:t>
      </w:r>
    </w:p>
    <w:p>
      <w:r>
        <w:rPr>
          <w:rFonts w:ascii="Consolas" w:hAnsi="Consolas"/>
          <w:color w:val="2F6F9F"/>
          <w:sz w:val="18"/>
        </w:rPr>
        <w:t>reports/Checkpoint_2_Workbook.xlsx</w:t>
      </w:r>
      <w:r>
        <w:t xml:space="preserve"> — </w:t>
      </w:r>
      <w:r>
        <w:rPr>
          <w:b/>
        </w:rPr>
        <w:t>13 sheets, 1,724 formula cells, 11 charts.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it holds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Read Me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Sheet guide and seven self-checks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Cleaned Data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2.1 (1)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1,194 lines × 19 columns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Pivot Analysis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2.1 (2)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Four SUMIFS cross-tabs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Pivot Charts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2.1 (3)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Four charts from those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Formulas Showcase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2.1 (4)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Eight Excel functions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Descriptive Stats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13 statistics × 3 variables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Distribution table and histogram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Correlation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Two pairs plus a supporting third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Regression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Equation, R², t, p, forecasts, limits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Forecast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Trend test, seasonal index, forecast, holdout check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PivotTable 1–3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2.1 (2, 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Three native PivotTables, each with a PivotChart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11. The workbook, sheet by sheet</w:t>
      </w:r>
    </w:p>
    <w:p>
      <w:pPr>
        <w:pStyle w:val="Heading3"/>
      </w:pPr>
      <w:r>
        <w:t>Three design decisions to be able to defend</w:t>
      </w:r>
    </w:p>
    <w:p>
      <w:r>
        <w:rPr>
          <w:b/>
        </w:rPr>
        <w:t>Every computed cell is a live formula, never a pasted number.</w:t>
      </w:r>
      <w:r>
        <w:t xml:space="preserve"> Change a value in Cleaned Data and every statistic, chart and forecast updates. Typed-in constants would make the workbook a </w:t>
      </w:r>
      <w:r>
        <w:rPr>
          <w:i/>
        </w:rPr>
        <w:t>picture</w:t>
      </w:r>
      <w:r>
        <w:t xml:space="preserve"> of an analysis rather than an analysis, and nothing could silently drift out of step with the data.</w:t>
      </w:r>
    </w:p>
    <w:p>
      <w:r>
        <w:rPr>
          <w:b/>
        </w:rPr>
        <w:t>Formulas use named ranges.</w:t>
      </w:r>
      <w:r>
        <w:t xml:space="preserve"> </w:t>
      </w:r>
      <w:r>
        <w:rPr>
          <w:rFonts w:ascii="Consolas" w:hAnsi="Consolas"/>
          <w:color w:val="2F6F9F"/>
          <w:sz w:val="18"/>
        </w:rPr>
        <w:t>Amount</w:t>
      </w:r>
      <w:r>
        <w:t xml:space="preserve">, </w:t>
      </w:r>
      <w:r>
        <w:rPr>
          <w:rFonts w:ascii="Consolas" w:hAnsi="Consolas"/>
          <w:color w:val="2F6F9F"/>
          <w:sz w:val="18"/>
        </w:rPr>
        <w:t>Profit</w:t>
      </w:r>
      <w:r>
        <w:t xml:space="preserve">, </w:t>
      </w:r>
      <w:r>
        <w:rPr>
          <w:rFonts w:ascii="Consolas" w:hAnsi="Consolas"/>
          <w:color w:val="2F6F9F"/>
          <w:sz w:val="18"/>
        </w:rPr>
        <w:t>Quantity</w:t>
      </w:r>
      <w:r>
        <w:t xml:space="preserve">, </w:t>
      </w:r>
      <w:r>
        <w:rPr>
          <w:rFonts w:ascii="Consolas" w:hAnsi="Consolas"/>
          <w:color w:val="2F6F9F"/>
          <w:sz w:val="18"/>
        </w:rPr>
        <w:t>Category</w:t>
      </w:r>
      <w:r>
        <w:t xml:space="preserve">, </w:t>
      </w:r>
      <w:r>
        <w:rPr>
          <w:rFonts w:ascii="Consolas" w:hAnsi="Consolas"/>
          <w:color w:val="2F6F9F"/>
          <w:sz w:val="18"/>
        </w:rPr>
        <w:t>State</w:t>
      </w:r>
      <w:r>
        <w:t xml:space="preserve">, </w:t>
      </w:r>
      <w:r>
        <w:rPr>
          <w:rFonts w:ascii="Consolas" w:hAnsi="Consolas"/>
          <w:color w:val="2F6F9F"/>
          <w:sz w:val="18"/>
        </w:rPr>
        <w:t>Yr</w:t>
      </w:r>
      <w:r>
        <w:t xml:space="preserve">, </w:t>
      </w:r>
      <w:r>
        <w:rPr>
          <w:rFonts w:ascii="Consolas" w:hAnsi="Consolas"/>
          <w:color w:val="2F6F9F"/>
          <w:sz w:val="18"/>
        </w:rPr>
        <w:t>YearMonth</w:t>
      </w:r>
      <w:r>
        <w:t xml:space="preserve">, </w:t>
      </w:r>
      <w:r>
        <w:rPr>
          <w:rFonts w:ascii="Consolas" w:hAnsi="Consolas"/>
          <w:color w:val="2F6F9F"/>
          <w:sz w:val="18"/>
        </w:rPr>
        <w:t>SubCategory</w:t>
      </w:r>
      <w:r>
        <w:t xml:space="preserve"> and </w:t>
      </w:r>
      <w:r>
        <w:rPr>
          <w:rFonts w:ascii="Consolas" w:hAnsi="Consolas"/>
          <w:color w:val="2F6F9F"/>
          <w:sz w:val="18"/>
        </w:rPr>
        <w:t>PaymentMode</w:t>
      </w:r>
      <w:r>
        <w:t xml:space="preserve"> each name a column, so the workbook says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=SUMIF(Category,"Electronics",Amount)</w:t>
      </w:r>
    </w:p>
    <w:p>
      <w:r>
        <w:t xml:space="preserve">rather than </w:t>
      </w:r>
      <w:r>
        <w:rPr>
          <w:rFonts w:ascii="Consolas" w:hAnsi="Consolas"/>
          <w:color w:val="2F6F9F"/>
          <w:sz w:val="18"/>
        </w:rPr>
        <w:t>=SUMIF('Cleaned Data'!$M$2:$M$1195,"Electronics",'Cleaned Data'!$Q$2:$Q$1195)</w:t>
      </w:r>
      <w:r>
        <w:t>. Same result, but you can read it aloud.</w:t>
      </w:r>
    </w:p>
    <w:p>
      <w:r>
        <w:rPr>
          <w:b/>
        </w:rPr>
        <w:t>Both kinds of pivot are present.</w:t>
      </w:r>
      <w:r>
        <w:t xml:space="preserve"> </w:t>
      </w:r>
      <w:r>
        <w:rPr>
          <w:i/>
        </w:rPr>
        <w:t>Pivot Analysis</w:t>
      </w:r>
      <w:r>
        <w:t xml:space="preserve"> holds four </w:t>
      </w:r>
      <w:r>
        <w:rPr>
          <w:b/>
        </w:rPr>
        <w:t>formula-driven cross-tabs</w:t>
      </w:r>
      <w:r>
        <w:t xml:space="preserve"> — they compute exactly what a PivotTable computes, recalculate live, and every cell is auditable, which a PivotTable's internals are not. </w:t>
      </w:r>
      <w:r>
        <w:rPr>
          <w:i/>
        </w:rPr>
        <w:t>PivotTable 1–3</w:t>
      </w:r>
      <w:r>
        <w:t xml:space="preserve"> are </w:t>
      </w:r>
      <w:r>
        <w:rPr>
          <w:b/>
        </w:rPr>
        <w:t>native PivotTable objects</w:t>
      </w:r>
      <w:r>
        <w:t xml:space="preserve"> with the Fields pane and drag-and-drop: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Columns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Values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PivotChart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PivotTable 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Sum of Amount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Clustered column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PivotTable 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Average of Amount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Column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PivotTable 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YearMonth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Count of SaleID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Line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12. Three design decisions to be able to defend</w:t>
      </w:r>
    </w:p>
    <w:p>
      <w:r>
        <w:t xml:space="preserve">All three read </w:t>
      </w:r>
      <w:r>
        <w:rPr>
          <w:rFonts w:ascii="Consolas" w:hAnsi="Consolas"/>
          <w:color w:val="2F6F9F"/>
          <w:sz w:val="18"/>
        </w:rPr>
        <w:t>Cleaned Data!A1:S1195</w:t>
      </w:r>
      <w:r>
        <w:t xml:space="preserve"> through </w:t>
      </w:r>
      <w:r>
        <w:rPr>
          <w:b/>
        </w:rPr>
        <w:t>one shared pivot cache</w:t>
      </w:r>
      <w:r>
        <w:t xml:space="preserve"> — what Excel does itself when several PivotTables come from one range, so the data is cached once and one refresh updates all three.</w:t>
      </w:r>
    </w:p>
    <w:p>
      <w:pPr>
        <w:pStyle w:val="Heading3"/>
      </w:pPr>
      <w:r>
        <w:t>The self-checks</w:t>
      </w:r>
    </w:p>
    <w:p>
      <w:r>
        <w:t xml:space="preserve">The Read Me sheet ends with seven rows that each recompute a total </w:t>
      </w:r>
      <w:r>
        <w:rPr>
          <w:b/>
        </w:rPr>
        <w:t>two independent ways</w:t>
      </w:r>
      <w:r>
        <w:t xml:space="preserve"> and compare — Pivot 1's grand total against </w:t>
      </w:r>
      <w:r>
        <w:rPr>
          <w:rFonts w:ascii="Consolas" w:hAnsi="Consolas"/>
          <w:color w:val="2F6F9F"/>
          <w:sz w:val="18"/>
        </w:rPr>
        <w:t>SUM(Amount)</w:t>
      </w:r>
      <w:r>
        <w:t xml:space="preserve">, and so on. All seven must read </w:t>
      </w:r>
      <w:r>
        <w:rPr>
          <w:b/>
        </w:rPr>
        <w:t>OK</w:t>
      </w:r>
      <w:r>
        <w:t>.</w:t>
      </w:r>
    </w:p>
    <w:p>
      <w:r>
        <w:t>They exist because the workbook was built outside Excel, where formulas are written but never calculated. Excel calculates them on open, and these rows are what prove it worked.</w:t>
      </w:r>
    </w:p>
    <w:p>
      <w:pPr>
        <w:pStyle w:val="Heading2"/>
      </w:pPr>
      <w:r>
        <w:t>Task 2.2 — descriptive statistics</w:t>
      </w:r>
    </w:p>
    <w:p>
      <w:r>
        <w:t>Three variables, n = 1,194.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Profit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Quantity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Mean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5,178.09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1,348.99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10.67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5,152.00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1,014.00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11.00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Mode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717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177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Standard deviation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2,804.92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1,117.99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5.78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Variance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7,867,587.17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1,249,907.39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33.37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Min / Max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508 / 9,992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50 / 4,930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 / 20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Range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9,484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4,880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Q1 / Q3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2,799 / 7,626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410 / 2,035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 / 16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IQR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4,827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1,625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Coefficient of variation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54.2%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82.9%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54.1%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13. Task 2.2 — descriptive statistics</w:t>
      </w:r>
    </w:p>
    <w:p>
      <w:pPr>
        <w:pStyle w:val="Heading3"/>
      </w:pPr>
      <w:r>
        <w:t>What each statistic is for</w:t>
      </w:r>
    </w:p>
    <w:p>
      <w:r>
        <w:rPr>
          <w:b/>
        </w:rPr>
        <w:t>Mean vs median — the skew test.</w:t>
      </w:r>
      <w:r>
        <w:t xml:space="preserve"> Close together means symmetric; mean well above median means a few large values are pulling it up.</w:t>
      </w:r>
    </w:p>
    <w:p>
      <w:pPr>
        <w:pStyle w:val="ListBullet"/>
      </w:pPr>
      <w:r>
        <w:t xml:space="preserve">Amount: 5,178 ≈ 5,152 → </w:t>
      </w:r>
      <w:r>
        <w:rPr>
          <w:b/>
        </w:rPr>
        <w:t>symmetric</w:t>
      </w:r>
    </w:p>
    <w:p>
      <w:pPr>
        <w:pStyle w:val="ListBullet"/>
      </w:pPr>
      <w:r>
        <w:t xml:space="preserve">Profit: 1,349 ≫ 1,014 → </w:t>
      </w:r>
      <w:r>
        <w:rPr>
          <w:b/>
        </w:rPr>
        <w:t>right-skewed</w:t>
      </w:r>
      <w:r>
        <w:t xml:space="preserve"> (skewness +0.94)</w:t>
      </w:r>
    </w:p>
    <w:p>
      <w:r>
        <w:t xml:space="preserve">That single comparison is the most useful thing on the sheet, and it is why the </w:t>
      </w:r>
      <w:r>
        <w:rPr>
          <w:b/>
        </w:rPr>
        <w:t>median</w:t>
      </w:r>
      <w:r>
        <w:t xml:space="preserve"> is the honest figure to quote for a typical order's profit.</w:t>
      </w:r>
    </w:p>
    <w:p>
      <w:r>
        <w:rPr>
          <w:b/>
        </w:rPr>
        <w:t>Mode</w:t>
      </w:r>
      <w:r>
        <w:t xml:space="preserve"> is the most frequent value — useful for Quantity, close to meaningless for a continuous variable like Amount where the "mode" of 717 appears just 6 times in 1,194 rows. Saying so is worth marks: knowing when a statistic does not apply is part of using it.</w:t>
      </w:r>
    </w:p>
    <w:p>
      <w:r>
        <w:rPr>
          <w:b/>
        </w:rPr>
        <w:t>Standard deviation vs variance.</w:t>
      </w:r>
      <w:r>
        <w:t xml:space="preserve"> Variance is the SD squared — same information, but in </w:t>
      </w:r>
      <w:r>
        <w:rPr>
          <w:i/>
        </w:rPr>
        <w:t>squared</w:t>
      </w:r>
      <w:r>
        <w:t xml:space="preserve"> units, which means nothing to a business reader. Quote the SD; report the variance because the brief asks for it.</w:t>
      </w:r>
    </w:p>
    <w:p>
      <w:r>
        <w:rPr>
          <w:b/>
        </w:rPr>
        <w:t>Coefficient of variation</w:t>
      </w:r>
      <w:r>
        <w:t xml:space="preserve"> is SD ÷ mean, so spread can be compared across different units. This is the one that produces a finding: Profit's </w:t>
      </w:r>
      <w:r>
        <w:rPr>
          <w:b/>
        </w:rPr>
        <w:t>82.9%</w:t>
      </w:r>
      <w:r>
        <w:t xml:space="preserve"> against Amount's </w:t>
      </w:r>
      <w:r>
        <w:rPr>
          <w:b/>
        </w:rPr>
        <w:t>54.2%</w:t>
      </w:r>
      <w:r>
        <w:t xml:space="preserve"> says profit is far less predictable than revenue — two orders of the same value can return very different profits.</w:t>
      </w:r>
    </w:p>
    <w:p>
      <w:r>
        <w:rPr>
          <w:b/>
        </w:rPr>
        <w:t>Quartiles and IQR.</w:t>
      </w:r>
      <w:r>
        <w:t xml:space="preserve"> Q1 is the value 25% fall below, Q3 the value 75% fall below. The IQR is the middle half, and unlike the range it ignores extremes.</w:t>
      </w:r>
    </w:p>
    <w:p>
      <w:pPr>
        <w:pStyle w:val="Heading3"/>
      </w:pPr>
      <w:r>
        <w:t>The histogram is the real finding</w:t>
      </w:r>
    </w:p>
    <w:p>
      <w:r>
        <w:t xml:space="preserve">Amount binned into ten bands of 1,000, counted with </w:t>
      </w:r>
      <w:r>
        <w:rPr>
          <w:rFonts w:ascii="Consolas" w:hAnsi="Consolas"/>
          <w:color w:val="2F6F9F"/>
          <w:sz w:val="18"/>
        </w:rPr>
        <w:t>COUNTIFS</w:t>
      </w:r>
      <w:r>
        <w:t xml:space="preserve"> rather than the </w:t>
      </w:r>
      <w:r>
        <w:rPr>
          <w:rFonts w:ascii="Consolas" w:hAnsi="Consolas"/>
          <w:color w:val="2F6F9F"/>
          <w:sz w:val="18"/>
        </w:rPr>
        <w:t>FREQUENCY</w:t>
      </w:r>
      <w:r>
        <w:t xml:space="preserve"> array function so each cell is independent and auditable.</w:t>
      </w:r>
    </w:p>
    <w:p>
      <w:r>
        <w:t xml:space="preserve">The shape is </w:t>
      </w:r>
      <w:r>
        <w:rPr>
          <w:b/>
        </w:rPr>
        <w:t>flat, not bell-shaped</w:t>
      </w:r>
      <w:r>
        <w:t>. A normal distribution peaks in the middle and thins at both ends; this one is roughly level across the whole range — what a random number generator produces, and the fifth piece of evidence that the dataset is synthetic.</w:t>
      </w:r>
    </w:p>
    <w:p>
      <w:r>
        <w:rPr>
          <w:i/>
        </w:rPr>
        <w:t>Business reading:</w:t>
      </w:r>
      <w:r>
        <w:t xml:space="preserve"> there is </w:t>
      </w:r>
      <w:r>
        <w:rPr>
          <w:b/>
        </w:rPr>
        <w:t>no "typical" order size</w:t>
      </w:r>
      <w:r>
        <w:t xml:space="preserve"> to design around, and no premium segment to separate out.</w:t>
      </w:r>
    </w:p>
    <w:p>
      <w:pPr>
        <w:pStyle w:val="Heading2"/>
      </w:pPr>
      <w:r>
        <w:t>Task 2.3 — correlation</w:t>
      </w:r>
    </w:p>
    <w:p>
      <w:pPr>
        <w:pStyle w:val="Heading3"/>
      </w:pPr>
      <w:r>
        <w:t>What r means</w:t>
      </w:r>
    </w:p>
    <w:p>
      <w:r>
        <w:t xml:space="preserve">Pearson's </w:t>
      </w:r>
      <w:r>
        <w:rPr>
          <w:b/>
        </w:rPr>
        <w:t>r</w:t>
      </w:r>
      <w:r>
        <w:t xml:space="preserve"> runs from −1 to +1. </w:t>
      </w:r>
      <w:r>
        <w:rPr>
          <w:b/>
        </w:rPr>
        <w:t>Sign</w:t>
      </w:r>
      <w:r>
        <w:t xml:space="preserve"> is direction, </w:t>
      </w:r>
      <w:r>
        <w:rPr>
          <w:b/>
        </w:rPr>
        <w:t>size</w:t>
      </w:r>
      <w:r>
        <w:t xml:space="preserve"> is strength (0.7+ strong, 0.4–0.7 moderate, below 0.4 weak), </w:t>
      </w:r>
      <w:r>
        <w:rPr>
          <w:b/>
        </w:rPr>
        <w:t>r²</w:t>
      </w:r>
      <w:r>
        <w:t xml:space="preserve"> is the share of variation the two share, and the </w:t>
      </w:r>
      <w:r>
        <w:rPr>
          <w:b/>
        </w:rPr>
        <w:t>p-value</w:t>
      </w:r>
      <w:r>
        <w:t xml:space="preserve"> answers a different question: could a correlation this large have arisen by chance if the true one were zero?</w:t>
      </w:r>
    </w:p>
    <w:p>
      <w:pPr>
        <w:pStyle w:val="Heading3"/>
      </w:pPr>
      <w:r>
        <w:t>Pair 1 — monthly orders vs monthly revenue</w:t>
      </w:r>
    </w:p>
    <w:p>
      <w:r>
        <w:rPr>
          <w:b/>
        </w:rPr>
        <w:t>r = +0.9227, r² = 0.8514, p = 1.98 × 10⁻²⁴, n = 57. Strong positive.</w:t>
      </w:r>
    </w:p>
    <w:p>
      <w:r>
        <w:t xml:space="preserve">Months with more orders have proportionally more revenue; order count alone tracks about </w:t>
      </w:r>
      <w:r>
        <w:rPr>
          <w:b/>
        </w:rPr>
        <w:t>85%</w:t>
      </w:r>
      <w:r>
        <w:t xml:space="preserve"> of the variation. This is the statistical form of the Checkpoint 1 finding — CP1 </w:t>
      </w:r>
      <w:r>
        <w:rPr>
          <w:i/>
        </w:rPr>
        <w:t>observed</w:t>
      </w:r>
      <w:r>
        <w:t xml:space="preserve"> that revenue fell while average order value stayed flat and </w:t>
      </w:r>
      <w:r>
        <w:rPr>
          <w:i/>
        </w:rPr>
        <w:t>inferred</w:t>
      </w:r>
      <w:r>
        <w:t xml:space="preserve"> order count was doing the work. This tests the inference and confirms it.</w:t>
      </w:r>
    </w:p>
    <w:p>
      <w:pPr>
        <w:pStyle w:val="Heading3"/>
      </w:pPr>
      <w:r>
        <w:t>Pair 2 — line quantity vs line amount</w:t>
      </w:r>
    </w:p>
    <w:p>
      <w:r>
        <w:rPr>
          <w:b/>
        </w:rPr>
        <w:t>r = +0.0446, r² = 0.0020, p = 0.123, n = 1,194. Negligible — not significant.</w:t>
      </w:r>
    </w:p>
    <w:p>
      <w:r>
        <w:t xml:space="preserve">Units sold explains </w:t>
      </w:r>
      <w:r>
        <w:rPr>
          <w:b/>
        </w:rPr>
        <w:t>0.2%</w:t>
      </w:r>
      <w:r>
        <w:t xml:space="preserve"> of the variation in order value, and at p = 0.123 we </w:t>
      </w:r>
      <w:r>
        <w:rPr>
          <w:b/>
        </w:rPr>
        <w:t>cannot reject</w:t>
      </w:r>
      <w:r>
        <w:t xml:space="preserve"> the hypothesis that the true correlation is zero.</w:t>
      </w:r>
    </w:p>
    <w:p>
      <w:r>
        <w:rPr>
          <w:b/>
        </w:rPr>
        <w:t>A negative result is still a result, and this is the more useful of the two.</w:t>
      </w:r>
      <w:r>
        <w:t xml:space="preserve"> The intuitive assumption — sell more units, earn more revenue — is false here, because unit price varies so widely across the twelve sub-categories that volume carries no information about value. So an incentive built on units shifted would not raise revenue, and "units sold" should not be a performance measure.</w:t>
      </w:r>
    </w:p>
    <w:p>
      <w:pPr>
        <w:pStyle w:val="Heading3"/>
      </w:pPr>
      <w:r>
        <w:t>Supporting check — amount vs profit</w:t>
      </w:r>
    </w:p>
    <w:p>
      <w:r>
        <w:rPr>
          <w:b/>
        </w:rPr>
        <w:t>r = +0.6753, r² = 0.4560, p &lt; 0.001.</w:t>
      </w:r>
      <w:r>
        <w:t xml:space="preserve"> Moderate-to-strong, but notably </w:t>
      </w:r>
      <w:r>
        <w:rPr>
          <w:i/>
        </w:rPr>
        <w:t>not</w:t>
      </w:r>
      <w:r>
        <w:t xml:space="preserve"> near 1.0: only </w:t>
      </w:r>
      <w:r>
        <w:rPr>
          <w:b/>
        </w:rPr>
        <w:t>46%</w:t>
      </w:r>
      <w:r>
        <w:t xml:space="preserve"> of profit variation tracks revenue. The rest is margin differences between products — the same story the coefficient of variation told, reached a different way.</w:t>
      </w:r>
    </w:p>
    <w:p>
      <w:pPr>
        <w:pStyle w:val="Heading3"/>
      </w:pPr>
      <w:r>
        <w:t>The caveat you must state</w:t>
      </w:r>
    </w:p>
    <w:p>
      <w:r>
        <w:rPr>
          <w:b/>
        </w:rPr>
        <w:t>Correlation is not causation.</w:t>
      </w:r>
      <w:r>
        <w:t xml:space="preserve"> A strong r says two things move together. It does not say one causes the other. Say it explicitly about Pair 1: it does not prove that pushing order count up would mechanically raise revenue — if the extra orders were won by discounting, average order value would fall and the relationship would not hold.</w:t>
      </w:r>
    </w:p>
    <w:p>
      <w:pPr>
        <w:pStyle w:val="Heading2"/>
      </w:pPr>
      <w:r>
        <w:t>Task 2.4 — regression</w:t>
      </w:r>
    </w:p>
    <w:p>
      <w:pPr>
        <w:pStyle w:val="ListBullet"/>
      </w:pPr>
      <w:r>
        <w:rPr>
          <w:b/>
        </w:rPr>
        <w:t>Y (dependent):</w:t>
      </w:r>
      <w:r>
        <w:t xml:space="preserve"> monthly revenue</w:t>
      </w:r>
    </w:p>
    <w:p>
      <w:pPr>
        <w:pStyle w:val="ListBullet"/>
      </w:pPr>
      <w:r>
        <w:rPr>
          <w:b/>
        </w:rPr>
        <w:t>X (predictor):</w:t>
      </w:r>
      <w:r>
        <w:t xml:space="preserve"> number of orders that month</w:t>
      </w:r>
    </w:p>
    <w:p>
      <w:r>
        <w:t xml:space="preserve">Chosen because it tests the CP1 claim rather than asserting it, it had by far the strongest correlation, and it is </w:t>
      </w:r>
      <w:r>
        <w:rPr>
          <w:b/>
        </w:rPr>
        <w:t>actionable</w:t>
      </w:r>
      <w:r>
        <w:t xml:space="preserve"> — a business can influence how many orders it wins far more readily than how large each is.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Months in the sample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Slope (b)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5,224.25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added per extra order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Intercept (a)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−1,353.65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Predicted revenue at zero orders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0.9227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Correlation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R²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0.8514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Share of variation explained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Std error of estimate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15,099.14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Typical prediction error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Std error of slope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294.35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Uncertainty in the slope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 statistic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17.75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Slope ÷ its standard error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Degrees of freedom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 − 2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1.98 × 10⁻²⁴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Chance of this slope if the truth were zero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14. Task 2.4 — regression</w:t>
      </w:r>
    </w:p>
    <w:p>
      <w:pPr>
        <w:ind w:left="432"/>
      </w:pPr>
      <w:r>
        <w:rPr>
          <w:b/>
          <w:i/>
        </w:rPr>
        <w:t>Monthly Revenue = −1,353.65 + 5,224.25 × Orders</w:t>
      </w:r>
    </w:p>
    <w:p>
      <w:pPr>
        <w:pStyle w:val="Heading3"/>
      </w:pPr>
      <w:r>
        <w:t>Reading it properly</w:t>
      </w:r>
    </w:p>
    <w:p>
      <w:r>
        <w:rPr>
          <w:b/>
        </w:rPr>
        <w:t>The slope.</w:t>
      </w:r>
      <w:r>
        <w:t xml:space="preserve"> Each additional order is associated with about </w:t>
      </w:r>
      <w:r>
        <w:rPr>
          <w:b/>
        </w:rPr>
        <w:t>5,224</w:t>
      </w:r>
      <w:r>
        <w:t xml:space="preserve"> more revenue. Now the detail worth leading with: the average transaction line is worth </w:t>
      </w:r>
      <w:r>
        <w:rPr>
          <w:b/>
        </w:rPr>
        <w:t>5,178</w:t>
      </w:r>
      <w:r>
        <w:t xml:space="preserve">. The slope and the average order value agree to within </w:t>
      </w:r>
      <w:r>
        <w:rPr>
          <w:b/>
        </w:rPr>
        <w:t>1%</w:t>
      </w:r>
      <w:r>
        <w:t xml:space="preserve"> — exactly what should happen if revenue is order count times a stable order size. </w:t>
      </w:r>
      <w:r>
        <w:rPr>
          <w:b/>
        </w:rPr>
        <w:t>The model is *consistent with* the data, not merely fitted to it.</w:t>
      </w:r>
      <w:r>
        <w:t xml:space="preserve"> Two independent routes to the same number is the strongest evidence in the project.</w:t>
      </w:r>
    </w:p>
    <w:p>
      <w:r>
        <w:rPr>
          <w:b/>
        </w:rPr>
        <w:t>R² = 0.8514</w:t>
      </w:r>
      <w:r>
        <w:t xml:space="preserve"> — order count explains </w:t>
      </w:r>
      <w:r>
        <w:rPr>
          <w:b/>
        </w:rPr>
        <w:t>85.1%</w:t>
      </w:r>
      <w:r>
        <w:t xml:space="preserve"> of month-to-month variation. The other 14.9% is product mix, seasonality and noise.</w:t>
      </w:r>
    </w:p>
    <w:p>
      <w:r>
        <w:rPr>
          <w:b/>
        </w:rPr>
        <w:t>The t statistic and p-value.</w:t>
      </w:r>
      <w:r>
        <w:t xml:space="preserve"> The </w:t>
      </w:r>
      <w:r>
        <w:rPr>
          <w:b/>
        </w:rPr>
        <w:t>null hypothesis</w:t>
      </w:r>
      <w:r>
        <w:t xml:space="preserve"> is that the true slope is zero. The t statistic is the slope divided by its own uncertainty: 5,224.25 ÷ 294.35 = </w:t>
      </w:r>
      <w:r>
        <w:rPr>
          <w:b/>
        </w:rPr>
        <w:t>17.75</w:t>
      </w:r>
      <w:r>
        <w:t xml:space="preserve">. About 2 is the usual threshold, so 17.75 is enormous, and the p-value converts it to </w:t>
      </w:r>
      <w:r>
        <w:rPr>
          <w:b/>
        </w:rPr>
        <w:t>1.98 × 10⁻²⁴</w:t>
      </w:r>
      <w:r>
        <w:t xml:space="preserve"> — far below 0.05, so we </w:t>
      </w:r>
      <w:r>
        <w:rPr>
          <w:b/>
        </w:rPr>
        <w:t>reject the null</w:t>
      </w:r>
      <w:r>
        <w:t>.</w:t>
      </w:r>
    </w:p>
    <w:p>
      <w:r>
        <w:rPr>
          <w:b/>
        </w:rPr>
        <w:t>The intercept is meaningless here, and say so.</w:t>
      </w:r>
      <w:r>
        <w:t xml:space="preserve"> −1,353.65 is revenue at zero orders — impossible, and far outside the observed range of 9 to 45 orders per month. It is an artefact of fitting a line, not a business quantity. Volunteering this shows you understand the model rather than just reporting it.</w:t>
      </w:r>
    </w:p>
    <w:p>
      <w:pPr>
        <w:pStyle w:val="Heading3"/>
      </w:pPr>
      <w:r>
        <w:t>The forecast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Orders in month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Predicted revenue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77,010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103,131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129,253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155,374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15. The forecast</w:t>
      </w:r>
    </w:p>
    <w:p>
      <w:r>
        <w:t xml:space="preserve">2024 ran at </w:t>
      </w:r>
      <w:r>
        <w:rPr>
          <w:b/>
        </w:rPr>
        <w:t>20.0</w:t>
      </w:r>
      <w:r>
        <w:t xml:space="preserve"> orders per month against </w:t>
      </w:r>
      <w:r>
        <w:rPr>
          <w:b/>
        </w:rPr>
        <w:t>24.0</w:t>
      </w:r>
      <w:r>
        <w:t xml:space="preserve"> in 2022. The model puts that four-order gap at roughly </w:t>
      </w:r>
      <w:r>
        <w:rPr>
          <w:b/>
        </w:rPr>
        <w:t>250,000 a year</w:t>
      </w:r>
      <w:r>
        <w:t xml:space="preserve"> — very close to the </w:t>
      </w:r>
      <w:r>
        <w:rPr>
          <w:b/>
        </w:rPr>
        <w:t>257,297</w:t>
      </w:r>
      <w:r>
        <w:t xml:space="preserve"> shortfall measured directly in Checkpoint 1 by a completely different method.</w:t>
      </w:r>
    </w:p>
    <w:p>
      <w:pPr>
        <w:pStyle w:val="Heading3"/>
      </w:pPr>
      <w:r>
        <w:t>Six limitations</w:t>
      </w:r>
    </w:p>
    <w:p>
      <w:pPr>
        <w:pStyle w:val="ListNumber"/>
      </w:pPr>
      <w:r>
        <w:rPr>
          <w:b/>
        </w:rPr>
        <w:t>Linearity</w:t>
      </w:r>
      <w:r>
        <w:t xml:space="preserve"> — assumed straight-line; the scatter supports it over the observed range.</w:t>
      </w:r>
    </w:p>
    <w:p>
      <w:pPr>
        <w:pStyle w:val="ListNumber"/>
      </w:pPr>
      <w:r>
        <w:rPr>
          <w:b/>
        </w:rPr>
        <w:t>Independence</w:t>
      </w:r>
      <w:r>
        <w:t xml:space="preserve"> — </w:t>
      </w:r>
      <w:r>
        <w:rPr>
          <w:b/>
        </w:rPr>
        <w:t>the weakest assumption.</w:t>
      </w:r>
      <w:r>
        <w:t xml:space="preserve"> Monthly sales series are usually autocorrelated, which inflates apparent significance. With t = 17.75 the conclusion survives, but read the p-value as "clearly significant" rather than as a precise probability.</w:t>
      </w:r>
    </w:p>
    <w:p>
      <w:pPr>
        <w:pStyle w:val="ListNumber"/>
      </w:pPr>
      <w:r>
        <w:rPr>
          <w:b/>
        </w:rPr>
        <w:t>Range of validity</w:t>
      </w:r>
      <w:r>
        <w:t xml:space="preserve"> — 9 to 45 orders. Outside that, including the intercept, is extrapolation.</w:t>
      </w:r>
    </w:p>
    <w:p>
      <w:pPr>
        <w:pStyle w:val="ListNumber"/>
      </w:pPr>
      <w:r>
        <w:rPr>
          <w:b/>
        </w:rPr>
        <w:t>Correlation is not causation.</w:t>
      </w:r>
    </w:p>
    <w:p>
      <w:pPr>
        <w:pStyle w:val="ListNumber"/>
      </w:pPr>
      <w:r>
        <w:rPr>
          <w:b/>
        </w:rPr>
        <w:t>One predictor only</w:t>
      </w:r>
      <w:r>
        <w:t xml:space="preserve"> — cannot capture seasonality, mix, or the Printer problem. Multiple regression in Checkpoint 4 is the extension.</w:t>
      </w:r>
    </w:p>
    <w:p>
      <w:pPr>
        <w:pStyle w:val="ListNumber"/>
      </w:pPr>
      <w:r>
        <w:rPr>
          <w:b/>
        </w:rPr>
        <w:t>Synthetic data</w:t>
      </w:r>
      <w:r>
        <w:t xml:space="preserve"> — the coefficients describe this file, not a market.</w:t>
      </w:r>
    </w:p>
    <w:p>
      <w:pPr>
        <w:pStyle w:val="Heading2"/>
      </w:pPr>
      <w:r>
        <w:t>Task 2.5 — trend and seasonality</w:t>
      </w:r>
    </w:p>
    <w:p>
      <w:pPr>
        <w:pStyle w:val="Heading3"/>
      </w:pPr>
      <w:r>
        <w:t>The 57-month window</w:t>
      </w:r>
    </w:p>
    <w:p>
      <w:r>
        <w:t xml:space="preserve">Both ends of the file are partial, so </w:t>
      </w:r>
      <w:r>
        <w:rPr>
          <w:b/>
        </w:rPr>
        <w:t>March 2020</w:t>
      </w:r>
      <w:r>
        <w:t xml:space="preserve">, </w:t>
      </w:r>
      <w:r>
        <w:rPr>
          <w:b/>
        </w:rPr>
        <w:t>March 2025</w:t>
      </w:r>
      <w:r>
        <w:t xml:space="preserve"> and </w:t>
      </w:r>
      <w:r>
        <w:rPr>
          <w:b/>
        </w:rPr>
        <w:t>all of 2025</w:t>
      </w:r>
      <w:r>
        <w:t xml:space="preserve"> are excluded, leaving </w:t>
      </w:r>
      <w:r>
        <w:rPr>
          <w:b/>
        </w:rPr>
        <w:t>April 2020 to December 2024</w:t>
      </w:r>
      <w:r>
        <w:t xml:space="preserve">. January and February 2025 are complete months in a partial year, so they are </w:t>
      </w:r>
      <w:r>
        <w:rPr>
          <w:b/>
        </w:rPr>
        <w:t>held back</w:t>
      </w:r>
      <w:r>
        <w:t xml:space="preserve"> and used only to check the forecast.</w:t>
      </w:r>
    </w:p>
    <w:p>
      <w:pPr>
        <w:pStyle w:val="Heading3"/>
      </w:pPr>
      <w:r>
        <w:t>Step 1 — is there a trend to project?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Slope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+206.0 per month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R²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0.0078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0.515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16. Step 1 — is there a trend to project?</w:t>
      </w:r>
    </w:p>
    <w:p>
      <w:r>
        <w:t xml:space="preserve">Time explains </w:t>
      </w:r>
      <w:r>
        <w:rPr>
          <w:b/>
        </w:rPr>
        <w:t>less than 1%</w:t>
      </w:r>
      <w:r>
        <w:t xml:space="preserve"> of the variation, and at p = 0.515 the apparent slope is indistinguishable from noise.</w:t>
      </w:r>
    </w:p>
    <w:p>
      <w:r>
        <w:rPr>
          <w:b/>
        </w:rPr>
        <w:t>This is a finding, not a failure.</w:t>
      </w:r>
      <w:r>
        <w:t xml:space="preserve"> The series is not a trend — it is a </w:t>
      </w:r>
      <w:r>
        <w:rPr>
          <w:b/>
        </w:rPr>
        <w:t>growth phase followed by a plateau</w:t>
      </w:r>
      <w:r>
        <w:t xml:space="preserve">, and one straight line across a structural break describes neither regime. So </w:t>
      </w:r>
      <w:r>
        <w:rPr>
          <w:b/>
        </w:rPr>
        <w:t>no growth rate is projected</w:t>
      </w:r>
      <w:r>
        <w:t>. Forecasting a slope the data does not support is the easiest way to be badly wrong, and saying so is worth more than a confident-looking number.</w:t>
      </w:r>
    </w:p>
    <w:p>
      <w:pPr>
        <w:pStyle w:val="Heading3"/>
      </w:pPr>
      <w:r>
        <w:t>Step 2 — the seasonal index</w:t>
      </w:r>
    </w:p>
    <w:p>
      <w:r>
        <w:t>Each month's average revenue ÷ the overall average month. 1.00 = average.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Month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Month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January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0.679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July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0.966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February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0.889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August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1.006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March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1.025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September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0.793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April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1.103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October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1.229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1.131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November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0.878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June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1.028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December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1.273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17. Step 2 — the seasonal index</w:t>
      </w:r>
    </w:p>
    <w:p>
      <w:pPr>
        <w:pStyle w:val="Heading3"/>
      </w:pPr>
      <w:r>
        <w:t>Step 3 — the forecast</w:t>
      </w:r>
    </w:p>
    <w:p>
      <w:r>
        <w:t xml:space="preserve">Because the recent regime is flat rather than sloping, the forecast is </w:t>
      </w:r>
      <w:r>
        <w:rPr>
          <w:b/>
        </w:rPr>
        <w:t>recent level × seasonal index</w:t>
      </w:r>
      <w:r>
        <w:t xml:space="preserve"> — the standard construction for a series stable in level but strongly seasonal. The level is the mean of the last 24 months (</w:t>
      </w:r>
      <w:r>
        <w:rPr>
          <w:b/>
        </w:rPr>
        <w:t>101,342</w:t>
      </w:r>
      <w:r>
        <w:t>), a window confirmed flat (p = 0.857).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Period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Forecast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2025-01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0.679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68,853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112,906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−39.0%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2025-02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0.889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90,064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84,712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+6.3%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2025-03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1.025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103,870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(partial)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2025-04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1.103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111,806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2025-05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1.131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114,574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2025-06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1.028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104,156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18. Step 3 — the forecast</w:t>
      </w:r>
    </w:p>
    <w:p>
      <w:pPr>
        <w:pStyle w:val="Heading3"/>
      </w:pPr>
      <w:r>
        <w:t>Step 4 — the honest check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Jan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Feb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Mean absolute error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Seasonal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−39.0%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+6.3%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22.7%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Flat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−10.2%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+19.6%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14.9%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19. Step 4 — the honest check</w:t>
      </w:r>
    </w:p>
    <w:p>
      <w:r>
        <w:rPr>
          <w:b/>
        </w:rPr>
        <w:t>The seasonal model did not win.</w:t>
      </w:r>
      <w:r>
        <w:t xml:space="preserve"> Better in February, much worse in January, and on average the simpler flat forecast was more accurate.</w:t>
      </w:r>
    </w:p>
    <w:p>
      <w:r>
        <w:t xml:space="preserve">The cause is identifiable: January is historically the weakest month at 0.679, but </w:t>
      </w:r>
      <w:r>
        <w:rPr>
          <w:b/>
        </w:rPr>
        <w:t>January 2025 came in at 112,906 — above the recent average, not 32% below it.</w:t>
      </w:r>
      <w:r>
        <w:t xml:space="preserve"> Either the seasonal pattern has broken, or January 2025 was unusual. Two observations cannot tell those apart.</w:t>
      </w:r>
    </w:p>
    <w:p>
      <w:r>
        <w:rPr>
          <w:b/>
        </w:rPr>
        <w:t>State the conclusion: with two comparable months, no forecasting method can be validated here.</w:t>
      </w:r>
      <w:r>
        <w:t xml:space="preserve"> This is a sanity check, not evidence the model works. Reporting a check your own model failed is a strength — the alternative, presenting an unvalidated forecast, is what most submissions do.</w:t>
      </w:r>
    </w:p>
    <w:p>
      <w:r>
        <w:br w:type="page"/>
      </w:r>
    </w:p>
    <w:p>
      <w:pPr>
        <w:pStyle w:val="Heading1"/>
      </w:pPr>
      <w:r>
        <w:t>Part 3 — Reference</w:t>
      </w:r>
    </w:p>
    <w:p>
      <w:pPr>
        <w:pStyle w:val="Heading2"/>
      </w:pPr>
      <w:r>
        <w:t>SQL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WHERE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Filters </w:t>
            </w:r>
            <w:r>
              <w:rPr>
                <w:b/>
                <w:sz w:val="18"/>
              </w:rPr>
              <w:t>rows</w:t>
            </w:r>
            <w:r>
              <w:rPr>
                <w:sz w:val="18"/>
              </w:rPr>
              <w:t>, before grouping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Q1–Q7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HAVING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Filters </w:t>
            </w:r>
            <w:r>
              <w:rPr>
                <w:b/>
                <w:sz w:val="18"/>
              </w:rPr>
              <w:t>groups</w:t>
            </w:r>
            <w:r>
              <w:rPr>
                <w:sz w:val="18"/>
              </w:rPr>
              <w:t>, after grouping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not needed here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ORDER BY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Sorts. </w:t>
            </w:r>
            <w:r>
              <w:rPr>
                <w:rFonts w:ascii="Consolas" w:hAnsi="Consolas"/>
                <w:color w:val="2F6F9F"/>
                <w:sz w:val="18"/>
              </w:rPr>
              <w:t>ASC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F6F9F"/>
                <w:sz w:val="18"/>
              </w:rPr>
              <w:t>DESC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Q1, Q2, Q6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JOIN … 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Combines tables on a matching rule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GROUP BY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Collapses rows into one per group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COUNT(DISTINCT x)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Counts </w:t>
            </w:r>
            <w:r>
              <w:rPr>
                <w:i/>
                <w:sz w:val="18"/>
              </w:rPr>
              <w:t>unique</w:t>
            </w:r>
            <w:r>
              <w:rPr>
                <w:sz w:val="18"/>
              </w:rPr>
              <w:t xml:space="preserve"> values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Scalar subquery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Inner query returning one value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Q4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CASE WHEN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SQL's if-statement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Conditional aggregation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SUM(CASE WHEN …)</w:t>
            </w:r>
            <w:r>
              <w:rPr>
                <w:sz w:val="18"/>
              </w:rPr>
              <w:t xml:space="preserve"> to pivot rows into columns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NULLIF(x, 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Division-by-zero guard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Window function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Aggregates across rows without collapsing them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Q8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20. SQL</w:t>
      </w:r>
    </w:p>
    <w:p>
      <w:r>
        <w:rPr>
          <w:b/>
        </w:rPr>
        <w:t>Join types.</w:t>
      </w:r>
      <w:r>
        <w:t xml:space="preserve"> All ours are </w:t>
      </w:r>
      <w:r>
        <w:rPr>
          <w:b/>
        </w:rPr>
        <w:t>INNER</w:t>
      </w:r>
      <w:r>
        <w:t xml:space="preserve"> joins (plain </w:t>
      </w:r>
      <w:r>
        <w:rPr>
          <w:rFonts w:ascii="Consolas" w:hAnsi="Consolas"/>
          <w:color w:val="2F6F9F"/>
          <w:sz w:val="18"/>
        </w:rPr>
        <w:t>JOIN</w:t>
      </w:r>
      <w:r>
        <w:t xml:space="preserve">), which keep only matching rows — safe here because foreign keys guarantee every fact row has a matching dimension row. A </w:t>
      </w:r>
      <w:r>
        <w:rPr>
          <w:b/>
        </w:rPr>
        <w:t>LEFT JOIN</w:t>
      </w:r>
      <w:r>
        <w:t xml:space="preserve"> keeps every row from the left table even without a match; you would need it to show categories with zero sales.</w:t>
      </w:r>
    </w:p>
    <w:p>
      <w:pPr>
        <w:pStyle w:val="Heading2"/>
      </w:pPr>
      <w:r>
        <w:t>Statistics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Mean / median / mode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Average / middle value / most frequent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Standard deviation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Typical distance from the mean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Variance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SD squared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Coefficient of variation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SD ÷ mean; compares spread across units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Skewness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Asymmetry; mean &gt; median means right-skewed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Quartile / IQR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25th and 75th percentile; the middle half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Pearson r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Linear correlation, −1 to +1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r²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Share of variation shared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p-value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Chance of the result if the null were true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Slope / intercept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2F6F9F"/>
                <w:sz w:val="18"/>
              </w:rPr>
              <w:t>b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2F6F9F"/>
                <w:sz w:val="18"/>
              </w:rPr>
              <w:t>a</w:t>
            </w:r>
            <w:r>
              <w:rPr>
                <w:sz w:val="18"/>
              </w:rPr>
              <w:t xml:space="preserve"> in Y = a + bX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Standard error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Uncertainty in an estimate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 statistic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Estimate ÷ its standard error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Degrees of freedom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 − 2 for simple regression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Null hypothesis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"There is no relationship"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Seasonal index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Month's average ÷ overall average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Mean absolute error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Average error size, ignoring sign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Holdout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Data withheld to test a model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21. Statistics</w:t>
      </w:r>
    </w:p>
    <w:p>
      <w:pPr>
        <w:pStyle w:val="Heading2"/>
      </w:pPr>
      <w:r>
        <w:t>Excel functions used</w:t>
      </w:r>
    </w:p>
    <w:p>
      <w:r>
        <w:rPr>
          <w:rFonts w:ascii="Consolas" w:hAnsi="Consolas"/>
          <w:color w:val="2F6F9F"/>
          <w:sz w:val="18"/>
        </w:rPr>
        <w:t>AVERAGE</w:t>
      </w:r>
      <w:r>
        <w:t xml:space="preserve"> </w:t>
      </w:r>
      <w:r>
        <w:rPr>
          <w:rFonts w:ascii="Consolas" w:hAnsi="Consolas"/>
          <w:color w:val="2F6F9F"/>
          <w:sz w:val="18"/>
        </w:rPr>
        <w:t>MEDIAN</w:t>
      </w:r>
      <w:r>
        <w:t xml:space="preserve"> </w:t>
      </w:r>
      <w:r>
        <w:rPr>
          <w:rFonts w:ascii="Consolas" w:hAnsi="Consolas"/>
          <w:color w:val="2F6F9F"/>
          <w:sz w:val="18"/>
        </w:rPr>
        <w:t>MODE</w:t>
      </w:r>
      <w:r>
        <w:t xml:space="preserve"> </w:t>
      </w:r>
      <w:r>
        <w:rPr>
          <w:rFonts w:ascii="Consolas" w:hAnsi="Consolas"/>
          <w:color w:val="2F6F9F"/>
          <w:sz w:val="18"/>
        </w:rPr>
        <w:t>STDEV</w:t>
      </w:r>
      <w:r>
        <w:t xml:space="preserve"> </w:t>
      </w:r>
      <w:r>
        <w:rPr>
          <w:rFonts w:ascii="Consolas" w:hAnsi="Consolas"/>
          <w:color w:val="2F6F9F"/>
          <w:sz w:val="18"/>
        </w:rPr>
        <w:t>VAR</w:t>
      </w:r>
      <w:r>
        <w:t xml:space="preserve"> </w:t>
      </w:r>
      <w:r>
        <w:rPr>
          <w:rFonts w:ascii="Consolas" w:hAnsi="Consolas"/>
          <w:color w:val="2F6F9F"/>
          <w:sz w:val="18"/>
        </w:rPr>
        <w:t>MIN</w:t>
      </w:r>
      <w:r>
        <w:t xml:space="preserve"> </w:t>
      </w:r>
      <w:r>
        <w:rPr>
          <w:rFonts w:ascii="Consolas" w:hAnsi="Consolas"/>
          <w:color w:val="2F6F9F"/>
          <w:sz w:val="18"/>
        </w:rPr>
        <w:t>MAX</w:t>
      </w:r>
      <w:r>
        <w:t xml:space="preserve"> </w:t>
      </w:r>
      <w:r>
        <w:rPr>
          <w:rFonts w:ascii="Consolas" w:hAnsi="Consolas"/>
          <w:color w:val="2F6F9F"/>
          <w:sz w:val="18"/>
        </w:rPr>
        <w:t>QUARTILE</w:t>
      </w:r>
      <w:r>
        <w:t xml:space="preserve"> </w:t>
      </w:r>
      <w:r>
        <w:rPr>
          <w:rFonts w:ascii="Consolas" w:hAnsi="Consolas"/>
          <w:color w:val="2F6F9F"/>
          <w:sz w:val="18"/>
        </w:rPr>
        <w:t>COUNT</w:t>
      </w:r>
      <w:r>
        <w:t xml:space="preserve"> </w:t>
      </w:r>
      <w:r>
        <w:rPr>
          <w:rFonts w:ascii="Consolas" w:hAnsi="Consolas"/>
          <w:color w:val="2F6F9F"/>
          <w:sz w:val="18"/>
        </w:rPr>
        <w:t>SUMIF</w:t>
      </w:r>
      <w:r>
        <w:t xml:space="preserve"> </w:t>
      </w:r>
      <w:r>
        <w:rPr>
          <w:rFonts w:ascii="Consolas" w:hAnsi="Consolas"/>
          <w:color w:val="2F6F9F"/>
          <w:sz w:val="18"/>
        </w:rPr>
        <w:t>SUMIFS</w:t>
      </w:r>
      <w:r>
        <w:t xml:space="preserve"> </w:t>
      </w:r>
      <w:r>
        <w:rPr>
          <w:rFonts w:ascii="Consolas" w:hAnsi="Consolas"/>
          <w:color w:val="2F6F9F"/>
          <w:sz w:val="18"/>
        </w:rPr>
        <w:t>COUNTIF</w:t>
      </w:r>
      <w:r>
        <w:t xml:space="preserve"> </w:t>
      </w:r>
      <w:r>
        <w:rPr>
          <w:rFonts w:ascii="Consolas" w:hAnsi="Consolas"/>
          <w:color w:val="2F6F9F"/>
          <w:sz w:val="18"/>
        </w:rPr>
        <w:t>COUNTIFS</w:t>
      </w:r>
      <w:r>
        <w:t xml:space="preserve"> </w:t>
      </w:r>
      <w:r>
        <w:rPr>
          <w:rFonts w:ascii="Consolas" w:hAnsi="Consolas"/>
          <w:color w:val="2F6F9F"/>
          <w:sz w:val="18"/>
        </w:rPr>
        <w:t>AVERAGEIF</w:t>
      </w:r>
      <w:r>
        <w:t xml:space="preserve"> </w:t>
      </w:r>
      <w:r>
        <w:rPr>
          <w:rFonts w:ascii="Consolas" w:hAnsi="Consolas"/>
          <w:color w:val="2F6F9F"/>
          <w:sz w:val="18"/>
        </w:rPr>
        <w:t>AVERAGEIFS</w:t>
      </w:r>
      <w:r>
        <w:t xml:space="preserve"> </w:t>
      </w:r>
      <w:r>
        <w:rPr>
          <w:rFonts w:ascii="Consolas" w:hAnsi="Consolas"/>
          <w:color w:val="2F6F9F"/>
          <w:sz w:val="18"/>
        </w:rPr>
        <w:t>CORREL</w:t>
      </w:r>
      <w:r>
        <w:t xml:space="preserve"> </w:t>
      </w:r>
      <w:r>
        <w:rPr>
          <w:rFonts w:ascii="Consolas" w:hAnsi="Consolas"/>
          <w:color w:val="2F6F9F"/>
          <w:sz w:val="18"/>
        </w:rPr>
        <w:t>SLOPE</w:t>
      </w:r>
      <w:r>
        <w:t xml:space="preserve"> </w:t>
      </w:r>
      <w:r>
        <w:rPr>
          <w:rFonts w:ascii="Consolas" w:hAnsi="Consolas"/>
          <w:color w:val="2F6F9F"/>
          <w:sz w:val="18"/>
        </w:rPr>
        <w:t>INTERCEPT</w:t>
      </w:r>
      <w:r>
        <w:t xml:space="preserve"> </w:t>
      </w:r>
      <w:r>
        <w:rPr>
          <w:rFonts w:ascii="Consolas" w:hAnsi="Consolas"/>
          <w:color w:val="2F6F9F"/>
          <w:sz w:val="18"/>
        </w:rPr>
        <w:t>RSQ</w:t>
      </w:r>
      <w:r>
        <w:t xml:space="preserve"> </w:t>
      </w:r>
      <w:r>
        <w:rPr>
          <w:rFonts w:ascii="Consolas" w:hAnsi="Consolas"/>
          <w:color w:val="2F6F9F"/>
          <w:sz w:val="18"/>
        </w:rPr>
        <w:t>STEYX</w:t>
      </w:r>
      <w:r>
        <w:t xml:space="preserve"> </w:t>
      </w:r>
      <w:r>
        <w:rPr>
          <w:rFonts w:ascii="Consolas" w:hAnsi="Consolas"/>
          <w:color w:val="2F6F9F"/>
          <w:sz w:val="18"/>
        </w:rPr>
        <w:t>DEVSQ</w:t>
      </w:r>
      <w:r>
        <w:t xml:space="preserve"> </w:t>
      </w:r>
      <w:r>
        <w:rPr>
          <w:rFonts w:ascii="Consolas" w:hAnsi="Consolas"/>
          <w:color w:val="2F6F9F"/>
          <w:sz w:val="18"/>
        </w:rPr>
        <w:t>TDIST</w:t>
      </w:r>
      <w:r>
        <w:t xml:space="preserve"> </w:t>
      </w:r>
      <w:r>
        <w:rPr>
          <w:rFonts w:ascii="Consolas" w:hAnsi="Consolas"/>
          <w:color w:val="2F6F9F"/>
          <w:sz w:val="18"/>
        </w:rPr>
        <w:t>VLOOKUP</w:t>
      </w:r>
      <w:r>
        <w:t xml:space="preserve"> </w:t>
      </w:r>
      <w:r>
        <w:rPr>
          <w:rFonts w:ascii="Consolas" w:hAnsi="Consolas"/>
          <w:color w:val="2F6F9F"/>
          <w:sz w:val="18"/>
        </w:rPr>
        <w:t>IF</w:t>
      </w:r>
      <w:r>
        <w:t xml:space="preserve"> </w:t>
      </w:r>
      <w:r>
        <w:rPr>
          <w:rFonts w:ascii="Consolas" w:hAnsi="Consolas"/>
          <w:color w:val="2F6F9F"/>
          <w:sz w:val="18"/>
        </w:rPr>
        <w:t>TEXT</w:t>
      </w:r>
      <w:r>
        <w:t xml:space="preserve"> </w:t>
      </w:r>
      <w:r>
        <w:rPr>
          <w:rFonts w:ascii="Consolas" w:hAnsi="Consolas"/>
          <w:color w:val="2F6F9F"/>
          <w:sz w:val="18"/>
        </w:rPr>
        <w:t>ROUND</w:t>
      </w:r>
      <w:r>
        <w:t xml:space="preserve"> </w:t>
      </w:r>
      <w:r>
        <w:rPr>
          <w:rFonts w:ascii="Consolas" w:hAnsi="Consolas"/>
          <w:color w:val="2F6F9F"/>
          <w:sz w:val="18"/>
        </w:rPr>
        <w:t>ABS</w:t>
      </w:r>
      <w:r>
        <w:t xml:space="preserve"> </w:t>
      </w:r>
      <w:r>
        <w:rPr>
          <w:rFonts w:ascii="Consolas" w:hAnsi="Consolas"/>
          <w:color w:val="2F6F9F"/>
          <w:sz w:val="18"/>
        </w:rPr>
        <w:t>SQRT</w:t>
      </w:r>
    </w:p>
    <w:p>
      <w:r>
        <w:t xml:space="preserve">All are Excel-2007-era, chosen deliberately so the workbook opens correctly in any Excel version and in Google Sheets. Newer functions such as </w:t>
      </w:r>
      <w:r>
        <w:rPr>
          <w:rFonts w:ascii="Consolas" w:hAnsi="Consolas"/>
          <w:color w:val="2F6F9F"/>
          <w:sz w:val="18"/>
        </w:rPr>
        <w:t>XLOOKUP</w:t>
      </w:r>
      <w:r>
        <w:t xml:space="preserve">, </w:t>
      </w:r>
      <w:r>
        <w:rPr>
          <w:rFonts w:ascii="Consolas" w:hAnsi="Consolas"/>
          <w:color w:val="2F6F9F"/>
          <w:sz w:val="18"/>
        </w:rPr>
        <w:t>FILTER</w:t>
      </w:r>
      <w:r>
        <w:t xml:space="preserve"> and </w:t>
      </w:r>
      <w:r>
        <w:rPr>
          <w:rFonts w:ascii="Consolas" w:hAnsi="Consolas"/>
          <w:color w:val="2F6F9F"/>
          <w:sz w:val="18"/>
        </w:rPr>
        <w:t>TEXTJOIN</w:t>
      </w:r>
      <w:r>
        <w:t xml:space="preserve"> are avoided.</w:t>
      </w:r>
    </w:p>
    <w:p>
      <w:pPr>
        <w:pStyle w:val="Heading2"/>
      </w:pPr>
      <w:r>
        <w:t>Six things people get wrong</w:t>
      </w:r>
    </w:p>
    <w:p>
      <w:pPr>
        <w:pStyle w:val="ListNumber"/>
      </w:pPr>
      <w:r>
        <w:rPr>
          <w:b/>
        </w:rPr>
        <w:t>`WHERE` vs `HAVING`.</w:t>
      </w:r>
      <w:r>
        <w:t xml:space="preserve"> </w:t>
      </w:r>
      <w:r>
        <w:rPr>
          <w:rFonts w:ascii="Consolas" w:hAnsi="Consolas"/>
          <w:color w:val="2F6F9F"/>
          <w:sz w:val="18"/>
        </w:rPr>
        <w:t>WHERE</w:t>
      </w:r>
      <w:r>
        <w:t xml:space="preserve"> filters rows before grouping; </w:t>
      </w:r>
      <w:r>
        <w:rPr>
          <w:rFonts w:ascii="Consolas" w:hAnsi="Consolas"/>
          <w:color w:val="2F6F9F"/>
          <w:sz w:val="18"/>
        </w:rPr>
        <w:t>HAVING</w:t>
      </w:r>
      <w:r>
        <w:t xml:space="preserve"> filters groups after. To keep only years above 1,000,000 in revenue you need </w:t>
      </w:r>
      <w:r>
        <w:rPr>
          <w:rFonts w:ascii="Consolas" w:hAnsi="Consolas"/>
          <w:color w:val="2F6F9F"/>
          <w:sz w:val="18"/>
        </w:rPr>
        <w:t>HAVING SUM(amount) &gt; 1000000</w:t>
      </w:r>
      <w:r>
        <w:t xml:space="preserve">, because the sum does not exist yet at </w:t>
      </w:r>
      <w:r>
        <w:rPr>
          <w:rFonts w:ascii="Consolas" w:hAnsi="Consolas"/>
          <w:color w:val="2F6F9F"/>
          <w:sz w:val="18"/>
        </w:rPr>
        <w:t>WHERE</w:t>
      </w:r>
      <w:r>
        <w:t xml:space="preserve"> time.</w:t>
      </w:r>
    </w:p>
    <w:p>
      <w:pPr>
        <w:pStyle w:val="ListNumber"/>
      </w:pPr>
      <w:r>
        <w:rPr>
          <w:b/>
        </w:rPr>
        <w:t>Integer division.</w:t>
      </w:r>
      <w:r>
        <w:t xml:space="preserve"> </w:t>
      </w:r>
      <w:r>
        <w:rPr>
          <w:rFonts w:ascii="Consolas" w:hAnsi="Consolas"/>
          <w:color w:val="2F6F9F"/>
          <w:sz w:val="18"/>
        </w:rPr>
        <w:t>100 * profit / amount</w:t>
      </w:r>
      <w:r>
        <w:t xml:space="preserve"> can truncate. Write </w:t>
      </w:r>
      <w:r>
        <w:rPr>
          <w:rFonts w:ascii="Consolas" w:hAnsi="Consolas"/>
          <w:color w:val="2F6F9F"/>
          <w:sz w:val="18"/>
        </w:rPr>
        <w:t>100.0</w:t>
      </w:r>
      <w:r>
        <w:t>.</w:t>
      </w:r>
    </w:p>
    <w:p>
      <w:pPr>
        <w:pStyle w:val="ListNumber"/>
      </w:pPr>
      <w:r>
        <w:rPr>
          <w:b/>
        </w:rPr>
        <w:t>Averaging percentages.</w:t>
      </w:r>
      <w:r>
        <w:t xml:space="preserve"> </w:t>
      </w:r>
      <w:r>
        <w:rPr>
          <w:rFonts w:ascii="Consolas" w:hAnsi="Consolas"/>
          <w:color w:val="2F6F9F"/>
          <w:sz w:val="18"/>
        </w:rPr>
        <w:t>SUM(profit)/SUM(amount)</w:t>
      </w:r>
      <w:r>
        <w:t xml:space="preserve"> is right; </w:t>
      </w:r>
      <w:r>
        <w:rPr>
          <w:rFonts w:ascii="Consolas" w:hAnsi="Consolas"/>
          <w:color w:val="2F6F9F"/>
          <w:sz w:val="18"/>
        </w:rPr>
        <w:t>AVG(margin_pct)</w:t>
      </w:r>
      <w:r>
        <w:t xml:space="preserve"> is wrong because it ignores the size of each sale.</w:t>
      </w:r>
    </w:p>
    <w:p>
      <w:pPr>
        <w:pStyle w:val="ListNumber"/>
      </w:pPr>
      <w:r>
        <w:rPr>
          <w:b/>
        </w:rPr>
        <w:t>r vs r².</w:t>
      </w:r>
      <w:r>
        <w:t xml:space="preserve"> r = 0.92 does not mean "92% explained". r² does — 85%.</w:t>
      </w:r>
    </w:p>
    <w:p>
      <w:pPr>
        <w:pStyle w:val="ListNumber"/>
      </w:pPr>
      <w:r>
        <w:rPr>
          <w:b/>
        </w:rPr>
        <w:t>A high p-value is not proof of no relationship.</w:t>
      </w:r>
      <w:r>
        <w:t xml:space="preserve"> It means insufficient evidence. Pair 2 shows "not significant", not "proven unrelated".</w:t>
      </w:r>
    </w:p>
    <w:p>
      <w:pPr>
        <w:pStyle w:val="ListNumber"/>
      </w:pPr>
      <w:r>
        <w:rPr>
          <w:b/>
        </w:rPr>
        <w:t>Significance is not importance.</w:t>
      </w:r>
      <w:r>
        <w:t xml:space="preserve"> With a big enough sample a trivial relationship can be significant. Read the effect size alongside the p-value.</w:t>
      </w:r>
    </w:p>
    <w:p>
      <w:r>
        <w:br w:type="page"/>
      </w:r>
    </w:p>
    <w:p>
      <w:pPr>
        <w:pStyle w:val="Heading1"/>
      </w:pPr>
      <w:r>
        <w:t>Part 4 — Everything we found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Growth stopped in 2022.</w:t>
            </w:r>
            <w:r>
              <w:rPr>
                <w:sz w:val="18"/>
              </w:rPr>
              <w:t xml:space="preserve"> Revenue per month is 17.6% below peak, but margin and average order value never moved — the company writes </w:t>
            </w:r>
            <w:r>
              <w:rPr>
                <w:i/>
                <w:sz w:val="18"/>
              </w:rPr>
              <w:t>fewer</w:t>
            </w:r>
            <w:r>
              <w:rPr>
                <w:sz w:val="18"/>
              </w:rPr>
              <w:t xml:space="preserve"> orders, not worse ones.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One sub-category explains most of it.</w:t>
            </w:r>
            <w:r>
              <w:rPr>
                <w:sz w:val="18"/>
              </w:rPr>
              <w:t xml:space="preserve"> Printers lost 136,865, over half the entire gap. All Electronics fell; all Office Supplies grew.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Q5, 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Seasonality is category-specific.</w:t>
            </w:r>
            <w:r>
              <w:rPr>
                <w:sz w:val="18"/>
              </w:rPr>
              <w:t xml:space="preserve"> Electronics peaks in Q2, the others in Q4. The blended planning curve is wrong for all three.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Q4, 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Geography is not a factor.</w:t>
            </w:r>
            <w:r>
              <w:rPr>
                <w:sz w:val="18"/>
              </w:rPr>
              <w:t xml:space="preserve"> State revenue spans only 28% over five years.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Order count drives revenue</w:t>
            </w:r>
            <w:r>
              <w:rPr>
                <w:sz w:val="18"/>
              </w:rPr>
              <w:t xml:space="preserve"> — now proven, not inferred. r = 0.923, R² = 0.851, p &lt; 0.001.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CP2 regression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Units sold predicts nothing.</w:t>
            </w:r>
            <w:r>
              <w:rPr>
                <w:sz w:val="18"/>
              </w:rPr>
              <w:t xml:space="preserve"> r = 0.045, p = 0.123. Volume-based targets would not move revenue.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CP2 correlation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Revenue is a poor proxy for profit.</w:t>
            </w:r>
            <w:r>
              <w:rPr>
                <w:sz w:val="18"/>
              </w:rPr>
              <w:t xml:space="preserve"> Profit skew +0.94, CV 82.9% vs 54.2%; only 46% of profit variation tracks revenue.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CP2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trend runs in two regimes — growth to 2022, then plateau.</w:t>
            </w:r>
            <w:r>
              <w:rPr>
                <w:sz w:val="18"/>
              </w:rPr>
              <w:t xml:space="preserve"> A single line across both explains under 1% (p = 0.515), so the forecast uses level and seasonality instead of a growth rate.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CP2 trend test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four-order gap is worth ~250,000 a year</w:t>
            </w:r>
            <w:r>
              <w:rPr>
                <w:sz w:val="18"/>
              </w:rPr>
              <w:t>, corroborating CP1's 257,297 independently.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CP2 regression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seasonal forecast did not beat a flat average</w:t>
            </w:r>
            <w:r>
              <w:rPr>
                <w:sz w:val="18"/>
              </w:rPr>
              <w:t xml:space="preserve"> over the two holdout months.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CP2 forecast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22. Part 4 — Everything we found</w:t>
      </w:r>
    </w:p>
    <w:p>
      <w:r>
        <w:t xml:space="preserve">Findings 5 and 9 </w:t>
      </w:r>
      <w:r>
        <w:rPr>
          <w:b/>
        </w:rPr>
        <w:t>confirm Checkpoint 1 by a different route</w:t>
      </w:r>
      <w:r>
        <w:t xml:space="preserve">, which is the strongest thing Checkpoint 2 does. Findings 6, 8 and 10 are </w:t>
      </w:r>
      <w:r>
        <w:rPr>
          <w:i/>
        </w:rPr>
        <w:t>negative</w:t>
      </w:r>
      <w:r>
        <w:t xml:space="preserve"> results — things that turned out not to be true — and they are what demonstrate analysis rather than confirmation.</w:t>
      </w:r>
    </w:p>
    <w:p>
      <w:pPr>
        <w:pStyle w:val="Heading2"/>
      </w:pPr>
      <w:r>
        <w:t>The correction</w:t>
      </w:r>
    </w:p>
    <w:p>
      <w:r>
        <w:t xml:space="preserve">Building the Checkpoint 2 monthly series exposed an error in Checkpoint 1. </w:t>
      </w:r>
      <w:r>
        <w:rPr>
          <w:b/>
        </w:rPr>
        <w:t>2020 was treated as a full year when the file starts on 22 March</w:t>
      </w:r>
      <w:r>
        <w:t xml:space="preserve">, so it holds only nine months. That overstated 2020→2022 growth as </w:t>
      </w:r>
      <w:r>
        <w:rPr>
          <w:b/>
        </w:rPr>
        <w:t>69.9%</w:t>
      </w:r>
      <w:r>
        <w:t xml:space="preserve"> when the like-for-like figure is </w:t>
      </w:r>
      <w:r>
        <w:rPr>
          <w:b/>
        </w:rPr>
        <w:t>30.9%</w:t>
      </w:r>
      <w:r>
        <w:t>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Affected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Unaffected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2020→2022 growth figure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−17.6% peak-to-2024 decline (both full years)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March's seasonal index (0.876 → 1.025)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Printers −136,865; Electronics −40.8%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Category-specific seasonality; geography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23. The correction</w:t>
      </w:r>
    </w:p>
    <w:p>
      <w:r>
        <w:t xml:space="preserve">The central thesis stands; one supporting number was overstated. Checkpoint 1 was reissued with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added and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 in Q3.</w:t>
      </w:r>
    </w:p>
    <w:p>
      <w:r>
        <w:t>Section 3.4 of the brief allows CP1 and CP2 to be revised and resubmitted with CP3, capped at 80/100. If CP1 is already marked, ask the instructor whether to resubmit or simply cite the correction — it is documented in the CP2 report either way.</w:t>
      </w:r>
    </w:p>
    <w:p>
      <w:pPr>
        <w:pStyle w:val="Heading2"/>
      </w:pPr>
      <w:r>
        <w:t>Where this points for Checkpoint 3</w:t>
      </w:r>
    </w:p>
    <w:p>
      <w:r>
        <w:t xml:space="preserve">Build the dashboard around </w:t>
      </w:r>
      <w:r>
        <w:rPr>
          <w:b/>
        </w:rPr>
        <w:t>order count</w:t>
      </w:r>
      <w:r>
        <w:t xml:space="preserve"> as the primary KPI rather than revenue, since it is the leading indicator and the actionable one. Segment on </w:t>
      </w:r>
      <w:r>
        <w:rPr>
          <w:b/>
        </w:rPr>
        <w:t>margin</w:t>
      </w:r>
      <w:r>
        <w:t xml:space="preserve"> rather than revenue, given how weakly the two are related.</w:t>
      </w:r>
    </w:p>
    <w:p>
      <w:r>
        <w:br w:type="page"/>
      </w:r>
    </w:p>
    <w:p>
      <w:pPr>
        <w:pStyle w:val="Heading1"/>
      </w:pPr>
      <w:r>
        <w:t>Part 5 — Defense questions</w:t>
      </w:r>
    </w:p>
    <w:p>
      <w:pPr>
        <w:pStyle w:val="Heading2"/>
      </w:pPr>
      <w:r>
        <w:t>On the data</w:t>
      </w:r>
    </w:p>
    <w:p>
      <w:r>
        <w:rPr>
          <w:b/>
        </w:rPr>
        <w:t>Your dataset looks fake. Doesn't that invalidate the project?</w:t>
      </w:r>
      <w:r>
        <w:t xml:space="preserve"> It invalidates the </w:t>
      </w:r>
      <w:r>
        <w:rPr>
          <w:i/>
        </w:rPr>
        <w:t>figures</w:t>
      </w:r>
      <w:r>
        <w:t xml:space="preserve">, not the </w:t>
      </w:r>
      <w:r>
        <w:rPr>
          <w:i/>
        </w:rPr>
        <w:t>method</w:t>
      </w:r>
      <w:r>
        <w:t>. We state it plainly with five pieces of evidence, and we did not fabricate corrections because that would be worse. The schema, queries and analysis would run identically on real data.</w:t>
      </w:r>
    </w:p>
    <w:p>
      <w:r>
        <w:rPr>
          <w:b/>
        </w:rPr>
        <w:t>Why exclude 2025, and why is 2020 shown per month?</w:t>
      </w:r>
      <w:r>
        <w:t xml:space="preserve"> The file stops 15 March 2025, so including 2025 shows a fake collapse. It also </w:t>
      </w:r>
      <w:r>
        <w:rPr>
          <w:i/>
        </w:rPr>
        <w:t>starts</w:t>
      </w:r>
      <w:r>
        <w:t xml:space="preserve"> 22 March 2020, so 2020 holds nine complete months — comparing its part-year total against a full 2021 would suggest 69.9% growth when the like-for-like figure is 30.9%.</w:t>
      </w:r>
    </w:p>
    <w:p>
      <w:r>
        <w:rPr>
          <w:b/>
        </w:rPr>
        <w:t>What is the difference between the two date flags?</w:t>
      </w:r>
      <w:r>
        <w:t xml:space="preserve"> </w:t>
      </w:r>
      <w:r>
        <w:rPr>
          <w:rFonts w:ascii="Consolas" w:hAnsi="Consolas"/>
          <w:color w:val="2F6F9F"/>
          <w:sz w:val="18"/>
        </w:rPr>
        <w:t>is_complete_year</w:t>
      </w:r>
      <w:r>
        <w:t xml:space="preserve"> excludes 2025 entirely.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excludes just the two part-months at the ends. Together they define the 57-month window.</w:t>
      </w:r>
    </w:p>
    <w:p>
      <w:pPr>
        <w:pStyle w:val="Heading2"/>
      </w:pPr>
      <w:r>
        <w:t>On the database</w:t>
      </w:r>
    </w:p>
    <w:p>
      <w:r>
        <w:rPr>
          <w:b/>
        </w:rPr>
        <w:t>Which is the fact table, and how do you know?</w:t>
      </w:r>
      <w:r>
        <w:t xml:space="preserve"> </w:t>
      </w:r>
      <w:r>
        <w:rPr>
          <w:rFonts w:ascii="Consolas" w:hAnsi="Consolas"/>
          <w:color w:val="2F6F9F"/>
          <w:sz w:val="18"/>
        </w:rPr>
        <w:t>sales</w:t>
      </w:r>
      <w:r>
        <w:t xml:space="preserve">. Two tests: the grain — one row is one product line on one order — and the measures are additive at that grain. The other seven describe and label; summing a </w:t>
      </w:r>
      <w:r>
        <w:rPr>
          <w:rFonts w:ascii="Consolas" w:hAnsi="Consolas"/>
          <w:color w:val="2F6F9F"/>
          <w:sz w:val="18"/>
        </w:rPr>
        <w:t>customer_id</w:t>
      </w:r>
      <w:r>
        <w:t xml:space="preserve"> is meaningless.</w:t>
      </w:r>
    </w:p>
    <w:p>
      <w:r>
        <w:rPr>
          <w:b/>
        </w:rPr>
        <w:t>Why is `Order ID` not your primary key?</w:t>
      </w:r>
      <w:r>
        <w:t xml:space="preserve"> 194 of its 547 values appear against different dates </w:t>
      </w:r>
      <w:r>
        <w:rPr>
          <w:i/>
        </w:rPr>
        <w:t>and</w:t>
      </w:r>
      <w:r>
        <w:t xml:space="preserve"> different customers. The first three rows of the raw file show one ID across three dates, three customers and three states.</w:t>
      </w:r>
    </w:p>
    <w:p>
      <w:r>
        <w:rPr>
          <w:b/>
        </w:rPr>
        <w:t>Why does `customers` have 807 rows when there are 802 names?</w:t>
      </w:r>
      <w:r>
        <w:t xml:space="preserve"> Five names appear in more than one city. Keying on name alone would merge two different people.</w:t>
      </w:r>
    </w:p>
    <w:p>
      <w:r>
        <w:rPr>
          <w:b/>
        </w:rPr>
        <w:t>Why a star schema and not one flat table?</w:t>
      </w:r>
      <w:r>
        <w:t xml:space="preserve"> The business questions are all "a measure by a dimension over time", which a star answers in one join. A flat table repeats "Miami" on all 66 Miami rows — redundancy that causes update anomalies.</w:t>
      </w:r>
    </w:p>
    <w:p>
      <w:r>
        <w:rPr>
          <w:b/>
        </w:rPr>
        <w:t>Why does the schema have backticks around `year_month`?</w:t>
      </w:r>
      <w:r>
        <w:t xml:space="preserve"> </w:t>
      </w:r>
      <w:r>
        <w:rPr>
          <w:rFonts w:ascii="Consolas" w:hAnsi="Consolas"/>
          <w:color w:val="2F6F9F"/>
          <w:sz w:val="18"/>
        </w:rPr>
        <w:t>YEAR_MONTH</w:t>
      </w:r>
      <w:r>
        <w:t xml:space="preserve"> is a reserved word in MySQL — the unit in </w:t>
      </w:r>
      <w:r>
        <w:rPr>
          <w:rFonts w:ascii="Consolas" w:hAnsi="Consolas"/>
          <w:color w:val="2F6F9F"/>
          <w:sz w:val="18"/>
        </w:rPr>
        <w:t>INTERVAL 1 YEAR_MONTH</w:t>
      </w:r>
      <w:r>
        <w:t>. Unqualified and unquoted it is a syntax error.</w:t>
      </w:r>
    </w:p>
    <w:p>
      <w:pPr>
        <w:pStyle w:val="Heading2"/>
      </w:pPr>
      <w:r>
        <w:t>On the statistics</w:t>
      </w:r>
    </w:p>
    <w:p>
      <w:r>
        <w:rPr>
          <w:b/>
        </w:rPr>
        <w:t>What does R² = 0.85 actually mean?</w:t>
      </w:r>
      <w:r>
        <w:t xml:space="preserve"> That 85% of the month-to-month variation in revenue moves together with order count. It is </w:t>
      </w:r>
      <w:r>
        <w:rPr>
          <w:i/>
        </w:rPr>
        <w:t>not</w:t>
      </w:r>
      <w:r>
        <w:t xml:space="preserve"> a statement that order count causes 85% of revenue.</w:t>
      </w:r>
    </w:p>
    <w:p>
      <w:r>
        <w:rPr>
          <w:b/>
        </w:rPr>
        <w:t>What hypothesis is the p-value testing?</w:t>
      </w:r>
      <w:r>
        <w:t xml:space="preserve"> The null hypothesis that the true slope is zero. With t = 17.75 on 55 degrees of freedom, the probability of a slope this large if the null were true is about 2 in 10²⁴, so we reject it.</w:t>
      </w:r>
    </w:p>
    <w:p>
      <w:r>
        <w:rPr>
          <w:b/>
        </w:rPr>
        <w:t>Why is your intercept negative? Revenue cannot be negative.</w:t>
      </w:r>
      <w:r>
        <w:t xml:space="preserve"> Correct — which is why it is not a business quantity. It is where the fitted line crosses zero orders, far outside the observed 9-to-45 range.</w:t>
      </w:r>
    </w:p>
    <w:p>
      <w:r>
        <w:rPr>
          <w:b/>
        </w:rPr>
        <w:t>How do you know the regression is not just curve-fitting?</w:t>
      </w:r>
      <w:r>
        <w:t xml:space="preserve"> The slope came out at 5,224 and the average order value is 5,178 — within 1%. Two independent routes to the same number.</w:t>
      </w:r>
    </w:p>
    <w:p>
      <w:r>
        <w:rPr>
          <w:b/>
        </w:rPr>
        <w:t>Pair 2 has r = 0.045. Why include a correlation that shows nothing?</w:t>
      </w:r>
      <w:r>
        <w:t xml:space="preserve"> Because "nothing" is the finding. It rules out a units-based sales target.</w:t>
      </w:r>
    </w:p>
    <w:p>
      <w:r>
        <w:rPr>
          <w:b/>
        </w:rPr>
        <w:t>Did you actually analyse the sales trend?</w:t>
      </w:r>
      <w:r>
        <w:t xml:space="preserve"> Yes, in five ways: year-on-year (Q3), monthly seasonality (Q4), category trajectory (Q5), sub-category change (Q7), quarterly pattern (Q8), plus a 57-month series and a six-month forecast in Task 2.5. The trend itself is </w:t>
      </w:r>
      <w:r>
        <w:rPr>
          <w:b/>
        </w:rPr>
        <w:t>two regimes — growth to 2022, then plateau</w:t>
      </w:r>
      <w:r>
        <w:t xml:space="preserve"> — which is a more useful answer than one growth percentage.</w:t>
      </w:r>
    </w:p>
    <w:p>
      <w:r>
        <w:rPr>
          <w:b/>
        </w:rPr>
        <w:t>Why did you not project a trend line?</w:t>
      </w:r>
      <w:r>
        <w:t xml:space="preserve"> Because the series has a structural break. A line fitted across both regimes gives R² = 0.008, p = 0.515 — it describes neither. We forecast on level and seasonality instead, which is the correct construction for a flat, seasonal series, and it still produced six months of projections.</w:t>
      </w:r>
    </w:p>
    <w:p>
      <w:r>
        <w:rPr>
          <w:b/>
        </w:rPr>
        <w:t>Your forecast lost to a naive average. Is that not a failure?</w:t>
      </w:r>
      <w:r>
        <w:t xml:space="preserve"> It is an honest result over the only two complete holdout months, driven by January 2025 breaking its historical index. Two months cannot validate a method, which is exactly what we say.</w:t>
      </w:r>
    </w:p>
    <w:p>
      <w:r>
        <w:rPr>
          <w:b/>
        </w:rPr>
        <w:t>Why `SUM(profit)/SUM(amount)` instead of `AVG(margin)`?</w:t>
      </w:r>
      <w:r>
        <w:t xml:space="preserve"> Averaging percentages treats a 20-unit sale and a 1-unit sale as equally important. Summing first weights each sale by its actual size.</w:t>
      </w:r>
    </w:p>
    <w:p>
      <w:pPr>
        <w:pStyle w:val="Heading2"/>
      </w:pPr>
      <w:r>
        <w:t>On the workbook</w:t>
      </w:r>
    </w:p>
    <w:p>
      <w:r>
        <w:rPr>
          <w:b/>
        </w:rPr>
        <w:t>Are these real PivotTables?</w:t>
      </w:r>
      <w:r>
        <w:t xml:space="preserve"> Both kinds are present. </w:t>
      </w:r>
      <w:r>
        <w:rPr>
          <w:i/>
        </w:rPr>
        <w:t>Pivot Analysis</w:t>
      </w:r>
      <w:r>
        <w:t xml:space="preserve"> holds SUMIFS cross-tabs, auditable cell by cell; </w:t>
      </w:r>
      <w:r>
        <w:rPr>
          <w:i/>
        </w:rPr>
        <w:t>PivotTable 1–3</w:t>
      </w:r>
      <w:r>
        <w:t xml:space="preserve"> are native PivotTable objects sharing one pivot cache, each with a PivotChart.</w:t>
      </w:r>
    </w:p>
    <w:p>
      <w:r>
        <w:rPr>
          <w:b/>
        </w:rPr>
        <w:t>Why share a cache between the three PivotTables?</w:t>
      </w:r>
      <w:r>
        <w:t xml:space="preserve"> They read the same range. A shared cache stores the data once instead of three times, and one refresh updates all three. It is what Excel does by default.</w:t>
      </w:r>
    </w:p>
    <w:p>
      <w:r>
        <w:rPr>
          <w:b/>
        </w:rPr>
        <w:t>How do you know Printers is the cause and not just correlated?</w:t>
      </w:r>
      <w:r>
        <w:t xml:space="preserve"> We don't — and we say so. Q7 establishes </w:t>
      </w:r>
      <w:r>
        <w:rPr>
          <w:i/>
        </w:rPr>
        <w:t>where</w:t>
      </w:r>
      <w:r>
        <w:t xml:space="preserve"> the revenue went, not </w:t>
      </w:r>
      <w:r>
        <w:rPr>
          <w:i/>
        </w:rPr>
        <w:t>why</w:t>
      </w:r>
      <w:r>
        <w:t>. A supply failure and a demand collapse produce the same signature, so the report recommends checking stock and supplier records first.</w:t>
      </w:r>
    </w:p>
    <w:p>
      <w:r>
        <w:rPr>
          <w:b/>
        </w:rPr>
        <w:t>What would you do differently with more time?</w:t>
      </w:r>
      <w:r>
        <w:t xml:space="preserve"> Get a dataset with returns and loss-making orders so margin analysis is meaningful, and obtain inventory data so the Printer question could be settled rather than flagged.</w:t>
      </w:r>
    </w:p>
    <w:p>
      <w:r>
        <w:br w:type="page"/>
      </w:r>
    </w:p>
    <w:p>
      <w:pPr>
        <w:pStyle w:val="Heading1"/>
      </w:pPr>
      <w:r>
        <w:t>Part 6 — Glossary</w:t>
      </w:r>
    </w:p>
    <w:p>
      <w:r>
        <w:rPr>
          <w:b/>
        </w:rPr>
        <w:t>Aggregate function</w:t>
      </w:r>
      <w:r>
        <w:t xml:space="preserve"> — turns many rows into one value: </w:t>
      </w:r>
      <w:r>
        <w:rPr>
          <w:rFonts w:ascii="Consolas" w:hAnsi="Consolas"/>
          <w:color w:val="2F6F9F"/>
          <w:sz w:val="18"/>
        </w:rPr>
        <w:t>COUNT</w:t>
      </w:r>
      <w:r>
        <w:t xml:space="preserve">, </w:t>
      </w:r>
      <w:r>
        <w:rPr>
          <w:rFonts w:ascii="Consolas" w:hAnsi="Consolas"/>
          <w:color w:val="2F6F9F"/>
          <w:sz w:val="18"/>
        </w:rPr>
        <w:t>SUM</w:t>
      </w:r>
      <w:r>
        <w:t xml:space="preserve">, </w:t>
      </w:r>
      <w:r>
        <w:rPr>
          <w:rFonts w:ascii="Consolas" w:hAnsi="Consolas"/>
          <w:color w:val="2F6F9F"/>
          <w:sz w:val="18"/>
        </w:rPr>
        <w:t>AVG</w:t>
      </w:r>
      <w:r>
        <w:t>.</w:t>
      </w:r>
    </w:p>
    <w:p>
      <w:r>
        <w:rPr>
          <w:b/>
        </w:rPr>
        <w:t>Cardinality</w:t>
      </w:r>
      <w:r>
        <w:t xml:space="preserve"> — how many rows on one side of a relationship relate to the other. Ours are all one-to-many.</w:t>
      </w:r>
    </w:p>
    <w:p>
      <w:r>
        <w:rPr>
          <w:b/>
        </w:rPr>
        <w:t>Coefficient of variation</w:t>
      </w:r>
      <w:r>
        <w:t xml:space="preserve"> — SD as a percentage of the mean, so spread can be compared across variables with different units.</w:t>
      </w:r>
    </w:p>
    <w:p>
      <w:r>
        <w:rPr>
          <w:b/>
        </w:rPr>
        <w:t>Conditional aggregation</w:t>
      </w:r>
      <w:r>
        <w:t xml:space="preserve"> — </w:t>
      </w:r>
      <w:r>
        <w:rPr>
          <w:rFonts w:ascii="Consolas" w:hAnsi="Consolas"/>
          <w:color w:val="2F6F9F"/>
          <w:sz w:val="18"/>
        </w:rPr>
        <w:t>SUM(CASE WHEN … THEN … END)</w:t>
      </w:r>
      <w:r>
        <w:t>, used to turn rows into columns (pivoting).</w:t>
      </w:r>
    </w:p>
    <w:p>
      <w:r>
        <w:rPr>
          <w:b/>
        </w:rPr>
        <w:t>Correlation</w:t>
      </w:r>
      <w:r>
        <w:t xml:space="preserve"> — how strongly two variables move together, measured by r.</w:t>
      </w:r>
    </w:p>
    <w:p>
      <w:r>
        <w:rPr>
          <w:b/>
        </w:rPr>
        <w:t>Data dictionary</w:t>
      </w:r>
      <w:r>
        <w:t xml:space="preserve"> — the table listing every column with its type and meaning.</w:t>
      </w:r>
    </w:p>
    <w:p>
      <w:r>
        <w:rPr>
          <w:b/>
        </w:rPr>
        <w:t>Degrees of freedom</w:t>
      </w:r>
      <w:r>
        <w:t xml:space="preserve"> — n − 2 in simple regression, because two parameters are estimated from the data.</w:t>
      </w:r>
    </w:p>
    <w:p>
      <w:r>
        <w:rPr>
          <w:b/>
        </w:rPr>
        <w:t>Dimension table</w:t>
      </w:r>
      <w:r>
        <w:t xml:space="preserve"> — descriptive attributes you slice measures by. </w:t>
      </w:r>
      <w:r>
        <w:rPr>
          <w:b/>
        </w:rPr>
        <w:t>Fact table</w:t>
      </w:r>
      <w:r>
        <w:t xml:space="preserve"> — the central table holding the numeric measures.</w:t>
      </w:r>
    </w:p>
    <w:p>
      <w:r>
        <w:rPr>
          <w:b/>
        </w:rPr>
        <w:t>ERD</w:t>
      </w:r>
      <w:r>
        <w:t xml:space="preserve"> — Entity-Relationship Diagram; the picture of tables and their links.</w:t>
      </w:r>
    </w:p>
    <w:p>
      <w:r>
        <w:rPr>
          <w:b/>
        </w:rPr>
        <w:t>Foreign key (FK)</w:t>
      </w:r>
      <w:r>
        <w:t xml:space="preserve"> — a column pointing at another table's primary key. </w:t>
      </w:r>
      <w:r>
        <w:rPr>
          <w:b/>
        </w:rPr>
        <w:t>Primary key (PK)</w:t>
      </w:r>
      <w:r>
        <w:t xml:space="preserve"> — the column uniquely identifying each row.</w:t>
      </w:r>
    </w:p>
    <w:p>
      <w:r>
        <w:rPr>
          <w:b/>
        </w:rPr>
        <w:t>Grain</w:t>
      </w:r>
      <w:r>
        <w:t xml:space="preserve"> — what one row of the fact table represents.</w:t>
      </w:r>
    </w:p>
    <w:p>
      <w:r>
        <w:rPr>
          <w:b/>
        </w:rPr>
        <w:t>Holdout</w:t>
      </w:r>
      <w:r>
        <w:t xml:space="preserve"> — data withheld so a model can be tested on values it never saw.</w:t>
      </w:r>
    </w:p>
    <w:p>
      <w:r>
        <w:rPr>
          <w:b/>
        </w:rPr>
        <w:t>Mean absolute error</w:t>
      </w:r>
      <w:r>
        <w:t xml:space="preserve"> — average error size, ignoring direction.</w:t>
      </w:r>
    </w:p>
    <w:p>
      <w:r>
        <w:rPr>
          <w:b/>
        </w:rPr>
        <w:t>Natural key</w:t>
      </w:r>
      <w:r>
        <w:t xml:space="preserve"> — a key made from real data. </w:t>
      </w:r>
      <w:r>
        <w:rPr>
          <w:b/>
        </w:rPr>
        <w:t>Surrogate key</w:t>
      </w:r>
      <w:r>
        <w:t xml:space="preserve"> — a meaningless generated number.</w:t>
      </w:r>
    </w:p>
    <w:p>
      <w:r>
        <w:rPr>
          <w:b/>
        </w:rPr>
        <w:t>Normalisation</w:t>
      </w:r>
      <w:r>
        <w:t xml:space="preserve"> — removing redundancy by splitting data into related tables so each fact is stored once.</w:t>
      </w:r>
    </w:p>
    <w:p>
      <w:r>
        <w:rPr>
          <w:b/>
        </w:rPr>
        <w:t>Null hypothesis</w:t>
      </w:r>
      <w:r>
        <w:t xml:space="preserve"> — the default assumption that there is no relationship.</w:t>
      </w:r>
    </w:p>
    <w:p>
      <w:r>
        <w:rPr>
          <w:b/>
        </w:rPr>
        <w:t>p-value</w:t>
      </w:r>
      <w:r>
        <w:t xml:space="preserve"> — probability of a result at least this extreme if the null were true. Below 0.05 is conventionally "significant".</w:t>
      </w:r>
    </w:p>
    <w:p>
      <w:r>
        <w:rPr>
          <w:b/>
        </w:rPr>
        <w:t>Pearson r</w:t>
      </w:r>
      <w:r>
        <w:t xml:space="preserve"> — the linear correlation coefficient, −1 to +1.</w:t>
      </w:r>
    </w:p>
    <w:p>
      <w:r>
        <w:rPr>
          <w:b/>
        </w:rPr>
        <w:t>R²</w:t>
      </w:r>
      <w:r>
        <w:t xml:space="preserve"> — share of variation in Y explained by X. The square of r.</w:t>
      </w:r>
    </w:p>
    <w:p>
      <w:r>
        <w:rPr>
          <w:b/>
        </w:rPr>
        <w:t>Referential integrity</w:t>
      </w:r>
      <w:r>
        <w:t xml:space="preserve"> — the guarantee that every foreign key points at a row that exists.</w:t>
      </w:r>
    </w:p>
    <w:p>
      <w:r>
        <w:rPr>
          <w:b/>
        </w:rPr>
        <w:t>Regression</w:t>
      </w:r>
      <w:r>
        <w:t xml:space="preserve"> — fitting Y = a + bX to describe how Y moves with X.</w:t>
      </w:r>
    </w:p>
    <w:p>
      <w:r>
        <w:rPr>
          <w:b/>
        </w:rPr>
        <w:t>Seasonal index</w:t>
      </w:r>
      <w:r>
        <w:t xml:space="preserve"> — a month's average divided by the overall average month.</w:t>
      </w:r>
    </w:p>
    <w:p>
      <w:r>
        <w:rPr>
          <w:b/>
        </w:rPr>
        <w:t>Skewness</w:t>
      </w:r>
      <w:r>
        <w:t xml:space="preserve"> — asymmetry. Positive means a tail to the right.</w:t>
      </w:r>
    </w:p>
    <w:p>
      <w:r>
        <w:rPr>
          <w:b/>
        </w:rPr>
        <w:t>Standard error</w:t>
      </w:r>
      <w:r>
        <w:t xml:space="preserve"> — the uncertainty attached to an estimate.</w:t>
      </w:r>
    </w:p>
    <w:p>
      <w:r>
        <w:rPr>
          <w:b/>
        </w:rPr>
        <w:t>Star schema</w:t>
      </w:r>
      <w:r>
        <w:t xml:space="preserve"> — one fact table surrounded by dimension tables.</w:t>
      </w:r>
    </w:p>
    <w:p>
      <w:r>
        <w:rPr>
          <w:b/>
        </w:rPr>
        <w:t>t statistic</w:t>
      </w:r>
      <w:r>
        <w:t xml:space="preserve"> — an estimate divided by its own standard error.</w:t>
      </w:r>
    </w:p>
    <w:p>
      <w:r>
        <w:rPr>
          <w:b/>
        </w:rPr>
        <w:t>Window function</w:t>
      </w:r>
      <w:r>
        <w:t xml:space="preserve"> — an aggregate computed across a set of rows </w:t>
      </w:r>
      <w:r>
        <w:rPr>
          <w:i/>
        </w:rPr>
        <w:t>without</w:t>
      </w:r>
      <w:r>
        <w:t xml:space="preserve"> collapsing them, written </w:t>
      </w:r>
      <w:r>
        <w:rPr>
          <w:rFonts w:ascii="Consolas" w:hAnsi="Consolas"/>
          <w:color w:val="2F6F9F"/>
          <w:sz w:val="18"/>
        </w:rPr>
        <w:t>OVER (PARTITION BY …)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1F29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6F9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