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and the tables and charts under them are the exhibits to have on screen at that moment. Do not read any of it aloud — the spoken lines are the plain paragraphs.</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2"/>
      </w:pPr>
      <w:r>
        <w:t>Exhibit index — for Alber, editing</w:t>
      </w:r>
    </w:p>
    <w:p>
      <w:r>
        <w:t xml:space="preserve">Every exhibit is reproduced in this script at the point it is referred to, so you can work from here alone. This table says where each one comes from if you want the original — and note that the </w:t>
      </w:r>
      <w:r>
        <w:rPr>
          <w:b/>
        </w:rPr>
        <w:t>figure numbers in the reports do not match the file names</w:t>
      </w:r>
      <w:r>
        <w:t>: Checkpoint 1's Figure 1 is the ERD, not the trend chart.</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w:t>
            </w:r>
          </w:p>
        </w:tc>
        <w:tc>
          <w:tcPr>
            <w:tcW w:type="dxa" w:w="1872"/>
          </w:tcPr>
          <w:p>
            <w:r>
              <w:rPr>
                <w:b/>
              </w:rPr>
            </w:r>
            <w:r>
              <w:rPr>
                <w:b/>
              </w:rPr>
              <w:t>Part</w:t>
            </w:r>
          </w:p>
        </w:tc>
        <w:tc>
          <w:tcPr>
            <w:tcW w:type="dxa" w:w="1872"/>
          </w:tcPr>
          <w:p>
            <w:r>
              <w:rPr>
                <w:b/>
              </w:rPr>
            </w:r>
            <w:r>
              <w:rPr>
                <w:b/>
              </w:rPr>
              <w:t>Exhibit</w:t>
            </w:r>
          </w:p>
        </w:tc>
        <w:tc>
          <w:tcPr>
            <w:tcW w:type="dxa" w:w="1872"/>
          </w:tcPr>
          <w:p>
            <w:r>
              <w:rPr>
                <w:b/>
              </w:rPr>
            </w:r>
            <w:r>
              <w:rPr>
                <w:b/>
              </w:rPr>
              <w:t>File</w:t>
            </w:r>
          </w:p>
        </w:tc>
        <w:tc>
          <w:tcPr>
            <w:tcW w:type="dxa" w:w="1872"/>
          </w:tcPr>
          <w:p>
            <w:r>
              <w:rPr>
                <w:b/>
              </w:rPr>
            </w:r>
            <w:r>
              <w:rPr>
                <w:b/>
              </w:rPr>
              <w:t>In the reports</w:t>
            </w:r>
          </w:p>
        </w:tc>
      </w:tr>
      <w:tr>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1</w:t>
            </w:r>
          </w:p>
        </w:tc>
        <w:tc>
          <w:tcPr>
            <w:tcW w:type="dxa" w:w="1872"/>
          </w:tcPr>
          <w:p>
            <w:pPr>
              <w:spacing w:line="240" w:lineRule="auto"/>
            </w:pPr>
            <w:r>
              <w:rPr>
                <w:sz w:val="18"/>
              </w:rPr>
            </w:r>
            <w:r>
              <w:rPr>
                <w:sz w:val="18"/>
              </w:rPr>
              <w:t>Annual trend chart</w:t>
            </w:r>
          </w:p>
        </w:tc>
        <w:tc>
          <w:tcPr>
            <w:tcW w:type="dxa" w:w="1872"/>
          </w:tcPr>
          <w:p>
            <w:pPr>
              <w:spacing w:line="240" w:lineRule="auto"/>
            </w:pPr>
            <w:r>
              <w:rPr>
                <w:sz w:val="18"/>
              </w:rPr>
            </w:r>
            <w:r>
              <w:rPr>
                <w:rFonts w:ascii="Consolas" w:hAnsi="Consolas"/>
                <w:color w:val="2F6F9F"/>
                <w:sz w:val="18"/>
              </w:rPr>
              <w:t>docs/figures/fig1_annual_trend.png</w:t>
            </w:r>
          </w:p>
        </w:tc>
        <w:tc>
          <w:tcPr>
            <w:tcW w:type="dxa" w:w="1872"/>
          </w:tcPr>
          <w:p>
            <w:pPr>
              <w:spacing w:line="240" w:lineRule="auto"/>
            </w:pPr>
            <w:r>
              <w:rPr>
                <w:sz w:val="18"/>
              </w:rPr>
            </w:r>
            <w:r>
              <w:rPr>
                <w:sz w:val="18"/>
              </w:rPr>
              <w:t xml:space="preserve">CP1 report, </w:t>
            </w:r>
            <w:r>
              <w:rPr>
                <w:b/>
                <w:sz w:val="18"/>
              </w:rPr>
              <w:t>Figure 2</w:t>
            </w:r>
          </w:p>
        </w:tc>
      </w:tr>
      <w:tr>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2</w:t>
            </w:r>
          </w:p>
        </w:tc>
        <w:tc>
          <w:tcPr>
            <w:tcW w:type="dxa" w:w="1872"/>
          </w:tcPr>
          <w:p>
            <w:pPr>
              <w:spacing w:line="240" w:lineRule="auto"/>
            </w:pPr>
            <w:r>
              <w:rPr>
                <w:sz w:val="18"/>
              </w:rPr>
            </w:r>
            <w:r>
              <w:rPr>
                <w:sz w:val="18"/>
              </w:rPr>
              <w:t>Raw file extract</w:t>
            </w:r>
          </w:p>
        </w:tc>
        <w:tc>
          <w:tcPr>
            <w:tcW w:type="dxa" w:w="1872"/>
          </w:tcPr>
          <w:p>
            <w:pPr>
              <w:spacing w:line="240" w:lineRule="auto"/>
            </w:pPr>
            <w:r>
              <w:rPr>
                <w:sz w:val="18"/>
              </w:rPr>
            </w:r>
            <w:r>
              <w:rPr>
                <w:rFonts w:ascii="Consolas" w:hAnsi="Consolas"/>
                <w:color w:val="2F6F9F"/>
                <w:sz w:val="18"/>
              </w:rPr>
              <w:t>data/raw/sales_dataset_raw.csv</w:t>
            </w:r>
          </w:p>
        </w:tc>
        <w:tc>
          <w:tcPr>
            <w:tcW w:type="dxa" w:w="1872"/>
          </w:tcPr>
          <w:p>
            <w:pPr>
              <w:spacing w:line="240" w:lineRule="auto"/>
            </w:pPr>
            <w:r>
              <w:rPr>
                <w:sz w:val="18"/>
              </w:rPr>
            </w:r>
            <w:r>
              <w:rPr>
                <w:sz w:val="18"/>
              </w:rPr>
              <w:t>CP1 report, Raw dataset preview</w:t>
            </w:r>
          </w:p>
        </w:tc>
      </w:tr>
      <w:tr>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ERD</w:t>
            </w:r>
          </w:p>
        </w:tc>
        <w:tc>
          <w:tcPr>
            <w:tcW w:type="dxa" w:w="1872"/>
          </w:tcPr>
          <w:p>
            <w:pPr>
              <w:spacing w:line="240" w:lineRule="auto"/>
            </w:pPr>
            <w:r>
              <w:rPr>
                <w:sz w:val="18"/>
              </w:rPr>
            </w:r>
            <w:r>
              <w:rPr>
                <w:rFonts w:ascii="Consolas" w:hAnsi="Consolas"/>
                <w:color w:val="2F6F9F"/>
                <w:sz w:val="18"/>
              </w:rPr>
              <w:t>docs/figures/erd.png</w:t>
            </w:r>
          </w:p>
        </w:tc>
        <w:tc>
          <w:tcPr>
            <w:tcW w:type="dxa" w:w="1872"/>
          </w:tcPr>
          <w:p>
            <w:pPr>
              <w:spacing w:line="240" w:lineRule="auto"/>
            </w:pPr>
            <w:r>
              <w:rPr>
                <w:sz w:val="18"/>
              </w:rPr>
            </w:r>
            <w:r>
              <w:rPr>
                <w:sz w:val="18"/>
              </w:rPr>
              <w:t xml:space="preserve">CP1 report, </w:t>
            </w:r>
            <w:r>
              <w:rPr>
                <w:b/>
                <w:sz w:val="18"/>
              </w:rPr>
              <w:t>Figure 1</w:t>
            </w:r>
          </w:p>
        </w:tc>
      </w:tr>
      <w:tr>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Loaded row counts</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Populated row counts</w:t>
            </w:r>
          </w:p>
        </w:tc>
      </w:tr>
      <w:tr>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Q3 annual trend</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Q3</w:t>
            </w:r>
          </w:p>
        </w:tc>
      </w:tr>
      <w:tr>
        <w:tc>
          <w:tcPr>
            <w:tcW w:type="dxa" w:w="1872"/>
          </w:tcPr>
          <w:p>
            <w:pPr>
              <w:spacing w:line="240" w:lineRule="auto"/>
            </w:pPr>
            <w:r>
              <w:rPr>
                <w:sz w:val="18"/>
              </w:rPr>
            </w:r>
            <w:r>
              <w:rPr>
                <w:sz w:val="18"/>
              </w:rPr>
              <w:t>6</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Q7 sub-category change</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Q7</w:t>
            </w:r>
          </w:p>
        </w:tc>
      </w:tr>
      <w:tr>
        <w:tc>
          <w:tcPr>
            <w:tcW w:type="dxa" w:w="1872"/>
          </w:tcPr>
          <w:p>
            <w:pPr>
              <w:spacing w:line="240" w:lineRule="auto"/>
            </w:pPr>
            <w:r>
              <w:rPr>
                <w:sz w:val="18"/>
              </w:rPr>
            </w:r>
            <w:r>
              <w:rPr>
                <w:sz w:val="18"/>
              </w:rPr>
              <w:t>7</w:t>
            </w:r>
          </w:p>
        </w:tc>
        <w:tc>
          <w:tcPr>
            <w:tcW w:type="dxa" w:w="1872"/>
          </w:tcPr>
          <w:p>
            <w:pPr>
              <w:spacing w:line="240" w:lineRule="auto"/>
            </w:pPr>
            <w:r>
              <w:rPr>
                <w:sz w:val="18"/>
              </w:rPr>
            </w:r>
            <w:r>
              <w:rPr>
                <w:sz w:val="18"/>
              </w:rPr>
              <w:t>3</w:t>
            </w:r>
          </w:p>
        </w:tc>
        <w:tc>
          <w:tcPr>
            <w:tcW w:type="dxa" w:w="1872"/>
          </w:tcPr>
          <w:p>
            <w:pPr>
              <w:spacing w:line="240" w:lineRule="auto"/>
            </w:pPr>
            <w:r>
              <w:rPr>
                <w:sz w:val="18"/>
              </w:rPr>
            </w:r>
            <w:r>
              <w:rPr>
                <w:sz w:val="18"/>
              </w:rPr>
              <w:t>Q8 quarter shares</w:t>
            </w:r>
          </w:p>
        </w:tc>
        <w:tc>
          <w:tcPr>
            <w:tcW w:type="dxa" w:w="1872"/>
          </w:tcPr>
          <w:p>
            <w:pPr>
              <w:spacing w:line="240" w:lineRule="auto"/>
            </w:pPr>
            <w:r>
              <w:rPr>
                <w:sz w:val="18"/>
              </w:rPr>
            </w:r>
            <w:r>
              <w:rPr>
                <w:rFonts w:ascii="Consolas" w:hAnsi="Consolas"/>
                <w:color w:val="2F6F9F"/>
                <w:sz w:val="18"/>
              </w:rPr>
              <w:t>sql/04_queries.sql</w:t>
            </w:r>
          </w:p>
        </w:tc>
        <w:tc>
          <w:tcPr>
            <w:tcW w:type="dxa" w:w="1872"/>
          </w:tcPr>
          <w:p>
            <w:pPr>
              <w:spacing w:line="240" w:lineRule="auto"/>
            </w:pPr>
            <w:r>
              <w:rPr>
                <w:sz w:val="18"/>
              </w:rPr>
            </w:r>
            <w:r>
              <w:rPr>
                <w:sz w:val="18"/>
              </w:rPr>
              <w:t>CP1 report, Q8</w:t>
            </w:r>
          </w:p>
        </w:tc>
      </w:tr>
      <w:tr>
        <w:tc>
          <w:tcPr>
            <w:tcW w:type="dxa" w:w="1872"/>
          </w:tcPr>
          <w:p>
            <w:pPr>
              <w:spacing w:line="240" w:lineRule="auto"/>
            </w:pPr>
            <w:r>
              <w:rPr>
                <w:sz w:val="18"/>
              </w:rPr>
            </w:r>
            <w:r>
              <w:rPr>
                <w:sz w:val="18"/>
              </w:rPr>
              <w:t>8</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Workbook, Cleaned Data sheet</w:t>
            </w:r>
          </w:p>
        </w:tc>
        <w:tc>
          <w:tcPr>
            <w:tcW w:type="dxa" w:w="1872"/>
          </w:tcPr>
          <w:p>
            <w:pPr>
              <w:spacing w:line="240" w:lineRule="auto"/>
            </w:pPr>
            <w:r>
              <w:rPr>
                <w:sz w:val="18"/>
              </w:rPr>
            </w:r>
            <w:r>
              <w:rPr>
                <w:rFonts w:ascii="Consolas" w:hAnsi="Consolas"/>
                <w:color w:val="2F6F9F"/>
                <w:sz w:val="18"/>
              </w:rPr>
              <w:t>reports/Checkpoint_2_Workbook.xlsx</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9</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 PivotChart</w:t>
            </w:r>
          </w:p>
        </w:tc>
        <w:tc>
          <w:tcPr>
            <w:tcW w:type="dxa" w:w="1872"/>
          </w:tcPr>
          <w:p>
            <w:pPr>
              <w:spacing w:line="240" w:lineRule="auto"/>
            </w:pPr>
            <w:r>
              <w:rPr>
                <w:sz w:val="18"/>
              </w:rPr>
            </w:r>
            <w:r>
              <w:rPr>
                <w:rFonts w:ascii="Consolas" w:hAnsi="Consolas"/>
                <w:color w:val="2F6F9F"/>
                <w:sz w:val="18"/>
              </w:rPr>
              <w:t>Checkpoint_2_Workbook.xlsx</w:t>
            </w:r>
            <w:r>
              <w:rPr>
                <w:sz w:val="18"/>
              </w:rPr>
              <w:t>, sheets PivotTable 1–3</w:t>
            </w:r>
          </w:p>
        </w:tc>
        <w:tc>
          <w:tcPr>
            <w:tcW w:type="dxa" w:w="1872"/>
          </w:tcPr>
          <w:p>
            <w:pPr>
              <w:spacing w:line="240" w:lineRule="auto"/>
            </w:pPr>
            <w:r>
              <w:rPr>
                <w:sz w:val="18"/>
              </w:rPr>
            </w:r>
            <w:r>
              <w:rPr>
                <w:sz w:val="18"/>
              </w:rPr>
              <w:t>—</w:t>
            </w:r>
          </w:p>
        </w:tc>
      </w:tr>
      <w:tr>
        <w:tc>
          <w:tcPr>
            <w:tcW w:type="dxa" w:w="1872"/>
          </w:tcPr>
          <w:p>
            <w:pPr>
              <w:spacing w:line="240" w:lineRule="auto"/>
            </w:pPr>
            <w:r>
              <w:rPr>
                <w:sz w:val="18"/>
              </w:rPr>
            </w:r>
            <w:r>
              <w:rPr>
                <w:sz w:val="18"/>
              </w:rPr>
              <w:t>10</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Descriptive statistics</w:t>
            </w:r>
          </w:p>
        </w:tc>
        <w:tc>
          <w:tcPr>
            <w:tcW w:type="dxa" w:w="1872"/>
          </w:tcPr>
          <w:p>
            <w:pPr>
              <w:spacing w:line="240" w:lineRule="auto"/>
            </w:pPr>
            <w:r>
              <w:rPr>
                <w:sz w:val="18"/>
              </w:rPr>
            </w:r>
            <w:r>
              <w:rPr>
                <w:sz w:val="18"/>
              </w:rPr>
              <w:t>Workbook, Descriptive Stats</w:t>
            </w:r>
          </w:p>
        </w:tc>
        <w:tc>
          <w:tcPr>
            <w:tcW w:type="dxa" w:w="1872"/>
          </w:tcPr>
          <w:p>
            <w:pPr>
              <w:spacing w:line="240" w:lineRule="auto"/>
            </w:pPr>
            <w:r>
              <w:rPr>
                <w:sz w:val="18"/>
              </w:rPr>
            </w:r>
            <w:r>
              <w:rPr>
                <w:sz w:val="18"/>
              </w:rPr>
              <w:t>CP2 report, Task 2.2</w:t>
            </w:r>
          </w:p>
        </w:tc>
      </w:tr>
      <w:tr>
        <w:tc>
          <w:tcPr>
            <w:tcW w:type="dxa" w:w="1872"/>
          </w:tcPr>
          <w:p>
            <w:pPr>
              <w:spacing w:line="240" w:lineRule="auto"/>
            </w:pPr>
            <w:r>
              <w:rPr>
                <w:sz w:val="18"/>
              </w:rPr>
            </w:r>
            <w:r>
              <w:rPr>
                <w:sz w:val="18"/>
              </w:rPr>
              <w:t>11</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Amount histogram</w:t>
            </w:r>
          </w:p>
        </w:tc>
        <w:tc>
          <w:tcPr>
            <w:tcW w:type="dxa" w:w="1872"/>
          </w:tcPr>
          <w:p>
            <w:pPr>
              <w:spacing w:line="240" w:lineRule="auto"/>
            </w:pPr>
            <w:r>
              <w:rPr>
                <w:sz w:val="18"/>
              </w:rPr>
            </w:r>
            <w:r>
              <w:rPr>
                <w:rFonts w:ascii="Consolas" w:hAnsi="Consolas"/>
                <w:color w:val="2F6F9F"/>
                <w:sz w:val="18"/>
              </w:rPr>
              <w:t>docs/figures/cp2_fig1_histogram.png</w:t>
            </w:r>
          </w:p>
        </w:tc>
        <w:tc>
          <w:tcPr>
            <w:tcW w:type="dxa" w:w="1872"/>
          </w:tcPr>
          <w:p>
            <w:pPr>
              <w:spacing w:line="240" w:lineRule="auto"/>
            </w:pPr>
            <w:r>
              <w:rPr>
                <w:sz w:val="18"/>
              </w:rPr>
            </w:r>
            <w:r>
              <w:rPr>
                <w:sz w:val="18"/>
              </w:rPr>
              <w:t xml:space="preserve">CP2 report, </w:t>
            </w:r>
            <w:r>
              <w:rPr>
                <w:b/>
                <w:sz w:val="18"/>
              </w:rPr>
              <w:t>Figure 1</w:t>
            </w:r>
          </w:p>
        </w:tc>
      </w:tr>
      <w:tr>
        <w:tc>
          <w:tcPr>
            <w:tcW w:type="dxa" w:w="1872"/>
          </w:tcPr>
          <w:p>
            <w:pPr>
              <w:spacing w:line="240" w:lineRule="auto"/>
            </w:pPr>
            <w:r>
              <w:rPr>
                <w:sz w:val="18"/>
              </w:rPr>
            </w:r>
            <w:r>
              <w:rPr>
                <w:sz w:val="18"/>
              </w:rPr>
              <w:t>12</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Orders vs revenue scatter</w:t>
            </w:r>
          </w:p>
        </w:tc>
        <w:tc>
          <w:tcPr>
            <w:tcW w:type="dxa" w:w="1872"/>
          </w:tcPr>
          <w:p>
            <w:pPr>
              <w:spacing w:line="240" w:lineRule="auto"/>
            </w:pPr>
            <w:r>
              <w:rPr>
                <w:sz w:val="18"/>
              </w:rPr>
            </w:r>
            <w:r>
              <w:rPr>
                <w:rFonts w:ascii="Consolas" w:hAnsi="Consolas"/>
                <w:color w:val="2F6F9F"/>
                <w:sz w:val="18"/>
              </w:rPr>
              <w:t>docs/figures/cp2_fig2_regression.png</w:t>
            </w:r>
          </w:p>
        </w:tc>
        <w:tc>
          <w:tcPr>
            <w:tcW w:type="dxa" w:w="1872"/>
          </w:tcPr>
          <w:p>
            <w:pPr>
              <w:spacing w:line="240" w:lineRule="auto"/>
            </w:pPr>
            <w:r>
              <w:rPr>
                <w:sz w:val="18"/>
              </w:rPr>
            </w:r>
            <w:r>
              <w:rPr>
                <w:sz w:val="18"/>
              </w:rPr>
              <w:t xml:space="preserve">CP2 report, </w:t>
            </w:r>
            <w:r>
              <w:rPr>
                <w:b/>
                <w:sz w:val="18"/>
              </w:rPr>
              <w:t>Figure 3</w:t>
            </w:r>
          </w:p>
        </w:tc>
      </w:tr>
      <w:tr>
        <w:tc>
          <w:tcPr>
            <w:tcW w:type="dxa" w:w="1872"/>
          </w:tcPr>
          <w:p>
            <w:pPr>
              <w:spacing w:line="240" w:lineRule="auto"/>
            </w:pPr>
            <w:r>
              <w:rPr>
                <w:sz w:val="18"/>
              </w:rPr>
            </w:r>
            <w:r>
              <w:rPr>
                <w:sz w:val="18"/>
              </w:rPr>
              <w:t>13</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Quantity vs amount scatter</w:t>
            </w:r>
          </w:p>
        </w:tc>
        <w:tc>
          <w:tcPr>
            <w:tcW w:type="dxa" w:w="1872"/>
          </w:tcPr>
          <w:p>
            <w:pPr>
              <w:spacing w:line="240" w:lineRule="auto"/>
            </w:pPr>
            <w:r>
              <w:rPr>
                <w:sz w:val="18"/>
              </w:rPr>
            </w:r>
            <w:r>
              <w:rPr>
                <w:rFonts w:ascii="Consolas" w:hAnsi="Consolas"/>
                <w:color w:val="2F6F9F"/>
                <w:sz w:val="18"/>
              </w:rPr>
              <w:t>docs/figures/cp2_fig3_no_correlation.png</w:t>
            </w:r>
          </w:p>
        </w:tc>
        <w:tc>
          <w:tcPr>
            <w:tcW w:type="dxa" w:w="1872"/>
          </w:tcPr>
          <w:p>
            <w:pPr>
              <w:spacing w:line="240" w:lineRule="auto"/>
            </w:pPr>
            <w:r>
              <w:rPr>
                <w:sz w:val="18"/>
              </w:rPr>
            </w:r>
            <w:r>
              <w:rPr>
                <w:sz w:val="18"/>
              </w:rPr>
              <w:t xml:space="preserve">CP2 report, </w:t>
            </w:r>
            <w:r>
              <w:rPr>
                <w:b/>
                <w:sz w:val="18"/>
              </w:rPr>
              <w:t>Figure 2</w:t>
            </w:r>
          </w:p>
        </w:tc>
      </w:tr>
      <w:tr>
        <w:tc>
          <w:tcPr>
            <w:tcW w:type="dxa" w:w="1872"/>
          </w:tcPr>
          <w:p>
            <w:pPr>
              <w:spacing w:line="240" w:lineRule="auto"/>
            </w:pPr>
            <w:r>
              <w:rPr>
                <w:sz w:val="18"/>
              </w:rPr>
            </w:r>
            <w:r>
              <w:rPr>
                <w:sz w:val="18"/>
              </w:rPr>
              <w:t>14</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Regression output</w:t>
            </w:r>
          </w:p>
        </w:tc>
        <w:tc>
          <w:tcPr>
            <w:tcW w:type="dxa" w:w="1872"/>
          </w:tcPr>
          <w:p>
            <w:pPr>
              <w:spacing w:line="240" w:lineRule="auto"/>
            </w:pPr>
            <w:r>
              <w:rPr>
                <w:sz w:val="18"/>
              </w:rPr>
            </w:r>
            <w:r>
              <w:rPr>
                <w:sz w:val="18"/>
              </w:rPr>
              <w:t>Workbook, Regression</w:t>
            </w:r>
          </w:p>
        </w:tc>
        <w:tc>
          <w:tcPr>
            <w:tcW w:type="dxa" w:w="1872"/>
          </w:tcPr>
          <w:p>
            <w:pPr>
              <w:spacing w:line="240" w:lineRule="auto"/>
            </w:pPr>
            <w:r>
              <w:rPr>
                <w:sz w:val="18"/>
              </w:rPr>
            </w:r>
            <w:r>
              <w:rPr>
                <w:sz w:val="18"/>
              </w:rPr>
              <w:t>CP2 report, Task 2.4</w:t>
            </w:r>
          </w:p>
        </w:tc>
      </w:tr>
      <w:tr>
        <w:tc>
          <w:tcPr>
            <w:tcW w:type="dxa" w:w="1872"/>
          </w:tcPr>
          <w:p>
            <w:pPr>
              <w:spacing w:line="240" w:lineRule="auto"/>
            </w:pPr>
            <w:r>
              <w:rPr>
                <w:sz w:val="18"/>
              </w:rPr>
            </w:r>
            <w:r>
              <w:rPr>
                <w:sz w:val="18"/>
              </w:rPr>
              <w:t>15</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Trend and forecast chart</w:t>
            </w:r>
          </w:p>
        </w:tc>
        <w:tc>
          <w:tcPr>
            <w:tcW w:type="dxa" w:w="1872"/>
          </w:tcPr>
          <w:p>
            <w:pPr>
              <w:spacing w:line="240" w:lineRule="auto"/>
            </w:pPr>
            <w:r>
              <w:rPr>
                <w:sz w:val="18"/>
              </w:rPr>
            </w:r>
            <w:r>
              <w:rPr>
                <w:rFonts w:ascii="Consolas" w:hAnsi="Consolas"/>
                <w:color w:val="2F6F9F"/>
                <w:sz w:val="18"/>
              </w:rPr>
              <w:t>docs/figures/cp2_fig4_forecast.png</w:t>
            </w:r>
          </w:p>
        </w:tc>
        <w:tc>
          <w:tcPr>
            <w:tcW w:type="dxa" w:w="1872"/>
          </w:tcPr>
          <w:p>
            <w:pPr>
              <w:spacing w:line="240" w:lineRule="auto"/>
            </w:pPr>
            <w:r>
              <w:rPr>
                <w:sz w:val="18"/>
              </w:rPr>
            </w:r>
            <w:r>
              <w:rPr>
                <w:sz w:val="18"/>
              </w:rPr>
              <w:t xml:space="preserve">CP2 report, </w:t>
            </w:r>
            <w:r>
              <w:rPr>
                <w:b/>
                <w:sz w:val="18"/>
              </w:rPr>
              <w:t>Figure 4</w:t>
            </w:r>
          </w:p>
        </w:tc>
      </w:tr>
      <w:tr>
        <w:tc>
          <w:tcPr>
            <w:tcW w:type="dxa" w:w="1872"/>
          </w:tcPr>
          <w:p>
            <w:pPr>
              <w:spacing w:line="240" w:lineRule="auto"/>
            </w:pPr>
            <w:r>
              <w:rPr>
                <w:sz w:val="18"/>
              </w:rPr>
            </w:r>
            <w:r>
              <w:rPr>
                <w:sz w:val="18"/>
              </w:rPr>
              <w:t>16</w:t>
            </w:r>
          </w:p>
        </w:tc>
        <w:tc>
          <w:tcPr>
            <w:tcW w:type="dxa" w:w="1872"/>
          </w:tcPr>
          <w:p>
            <w:pPr>
              <w:spacing w:line="240" w:lineRule="auto"/>
            </w:pPr>
            <w:r>
              <w:rPr>
                <w:sz w:val="18"/>
              </w:rPr>
            </w:r>
            <w:r>
              <w:rPr>
                <w:sz w:val="18"/>
              </w:rPr>
              <w:t>4</w:t>
            </w:r>
          </w:p>
        </w:tc>
        <w:tc>
          <w:tcPr>
            <w:tcW w:type="dxa" w:w="1872"/>
          </w:tcPr>
          <w:p>
            <w:pPr>
              <w:spacing w:line="240" w:lineRule="auto"/>
            </w:pPr>
            <w:r>
              <w:rPr>
                <w:sz w:val="18"/>
              </w:rPr>
            </w:r>
            <w:r>
              <w:rPr>
                <w:sz w:val="18"/>
              </w:rPr>
              <w:t>Seasonal indices, forecast, accuracy</w:t>
            </w:r>
          </w:p>
        </w:tc>
        <w:tc>
          <w:tcPr>
            <w:tcW w:type="dxa" w:w="1872"/>
          </w:tcPr>
          <w:p>
            <w:pPr>
              <w:spacing w:line="240" w:lineRule="auto"/>
            </w:pPr>
            <w:r>
              <w:rPr>
                <w:sz w:val="18"/>
              </w:rPr>
            </w:r>
            <w:r>
              <w:rPr>
                <w:sz w:val="18"/>
              </w:rPr>
              <w:t>Workbook, Forecast</w:t>
            </w:r>
          </w:p>
        </w:tc>
        <w:tc>
          <w:tcPr>
            <w:tcW w:type="dxa" w:w="1872"/>
          </w:tcPr>
          <w:p>
            <w:pPr>
              <w:spacing w:line="240" w:lineRule="auto"/>
            </w:pPr>
            <w:r>
              <w:rPr>
                <w:sz w:val="18"/>
              </w:rPr>
            </w:r>
            <w:r>
              <w:rPr>
                <w:sz w:val="18"/>
              </w:rPr>
              <w:t>CP2 report, Task 2.5</w:t>
            </w:r>
          </w:p>
        </w:tc>
      </w:tr>
      <w:tr>
        <w:tc>
          <w:tcPr>
            <w:tcW w:type="dxa" w:w="1872"/>
          </w:tcPr>
          <w:p>
            <w:pPr>
              <w:spacing w:line="240" w:lineRule="auto"/>
            </w:pPr>
            <w:r>
              <w:rPr>
                <w:sz w:val="18"/>
              </w:rPr>
            </w:r>
            <w:r>
              <w:rPr>
                <w:sz w:val="18"/>
              </w:rPr>
              <w:t>17</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The correction</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CP2 report, section 2</w:t>
            </w:r>
          </w:p>
        </w:tc>
      </w:tr>
      <w:tr>
        <w:tc>
          <w:tcPr>
            <w:tcW w:type="dxa" w:w="1872"/>
          </w:tcPr>
          <w:p>
            <w:pPr>
              <w:spacing w:line="240" w:lineRule="auto"/>
            </w:pPr>
            <w:r>
              <w:rPr>
                <w:sz w:val="18"/>
              </w:rPr>
            </w:r>
            <w:r>
              <w:rPr>
                <w:sz w:val="18"/>
              </w:rPr>
              <w:t>18</w:t>
            </w:r>
          </w:p>
        </w:tc>
        <w:tc>
          <w:tcPr>
            <w:tcW w:type="dxa" w:w="1872"/>
          </w:tcPr>
          <w:p>
            <w:pPr>
              <w:spacing w:line="240" w:lineRule="auto"/>
            </w:pPr>
            <w:r>
              <w:rPr>
                <w:sz w:val="18"/>
              </w:rPr>
            </w:r>
            <w:r>
              <w:rPr>
                <w:sz w:val="18"/>
              </w:rPr>
              <w:t>5</w:t>
            </w:r>
          </w:p>
        </w:tc>
        <w:tc>
          <w:tcPr>
            <w:tcW w:type="dxa" w:w="1872"/>
          </w:tcPr>
          <w:p>
            <w:pPr>
              <w:spacing w:line="240" w:lineRule="auto"/>
            </w:pPr>
            <w:r>
              <w:rPr>
                <w:sz w:val="18"/>
              </w:rPr>
            </w:r>
            <w:r>
              <w:rPr>
                <w:sz w:val="18"/>
              </w:rPr>
              <w:t>Findings summary</w:t>
            </w:r>
          </w:p>
        </w:tc>
        <w:tc>
          <w:tcPr>
            <w:tcW w:type="dxa" w:w="1872"/>
          </w:tcPr>
          <w:p>
            <w:pPr>
              <w:spacing w:line="240" w:lineRule="auto"/>
            </w:pPr>
            <w:r>
              <w:rPr>
                <w:sz w:val="18"/>
              </w:rPr>
            </w:r>
            <w:r>
              <w:rPr>
                <w:sz w:val="18"/>
              </w:rPr>
              <w:t>—</w:t>
            </w:r>
          </w:p>
        </w:tc>
        <w:tc>
          <w:tcPr>
            <w:tcW w:type="dxa" w:w="1872"/>
          </w:tcPr>
          <w:p>
            <w:pPr>
              <w:spacing w:line="240" w:lineRule="auto"/>
            </w:pPr>
            <w:r>
              <w:rPr>
                <w:sz w:val="18"/>
              </w:rPr>
            </w:r>
            <w:r>
              <w:rPr>
                <w:sz w:val="18"/>
              </w:rPr>
              <w:t>CP1 report, Key Findings</w:t>
            </w:r>
          </w:p>
        </w:tc>
      </w:tr>
    </w:tbl>
    <w:p>
      <w:pPr>
        <w:spacing w:after="200" w:line="240" w:lineRule="auto"/>
        <w:jc w:val="center"/>
      </w:pPr>
      <w:r>
        <w:rPr>
          <w:i/>
          <w:color w:val="7B8994"/>
          <w:sz w:val="20"/>
        </w:rPr>
        <w:t>Table 2. Exhibit index — for Alber, editing</w:t>
      </w:r>
    </w:p>
    <w:p>
      <w:r>
        <w:t xml:space="preserve">Exhibits 12 and 13 are the ones most easily swapped: the </w:t>
      </w:r>
      <w:r>
        <w:rPr>
          <w:b/>
        </w:rPr>
        <w:t>regression</w:t>
      </w:r>
      <w:r>
        <w:t xml:space="preserve"> scatter is monthly orders against monthly revenue with a steep fitted line, and the </w:t>
      </w:r>
      <w:r>
        <w:rPr>
          <w:b/>
        </w:rPr>
        <w:t>no-correlation</w:t>
      </w:r>
      <w:r>
        <w:t xml:space="preserve"> scatter is quantity against amount with a flat one. The file names are the reverse of the report's figure order, so go by the file name.</w:t>
      </w:r>
    </w:p>
    <w:p>
      <w:r>
        <w:t>Assembly is simply Parts 1 to 5 in order. Normalise the audio levels across the three speakers first, and put a two-second title card at the head of each part carrying the part number, the topic and the speaker's name.</w:t>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[The annual trend chart — have this on screen.]</w:t>
      </w:r>
    </w:p>
    <w:p>
      <w:pPr>
        <w:jc w:val="center"/>
      </w:pPr>
      <w:r>
        <w:drawing>
          <wp:inline xmlns:a="http://schemas.openxmlformats.org/drawingml/2006/main" xmlns:pic="http://schemas.openxmlformats.org/drawingml/2006/picture">
            <wp:extent cx="5486400" cy="3612614"/>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612614"/>
                    </a:xfrm>
                    <a:prstGeom prst="rect"/>
                  </pic:spPr>
                </pic:pic>
              </a:graphicData>
            </a:graphic>
          </wp:inline>
        </w:drawing>
      </w:r>
    </w:p>
    <w:p>
      <w:pPr>
        <w:spacing w:after="200" w:line="240" w:lineRule="auto"/>
        <w:jc w:val="center"/>
      </w:pPr>
      <w:r>
        <w:rPr>
          <w:i/>
          <w:color w:val="7B8994"/>
          <w:sz w:val="20"/>
        </w:rPr>
        <w:t>Figure 1. Revenue per month by year. Growth to the 2022 peak, then two years of decline.</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2 — Julebeth</w:t>
      </w:r>
    </w:p>
    <w:p>
      <w:r>
        <w:rPr>
          <w:i/>
        </w:rPr>
        <w:t>[The raw file — have the CSV open, or show this extract.]</w:t>
      </w:r>
    </w:p>
    <w:tbl>
      <w:tblPr>
        <w:tblStyle w:val="LightGrid-Accent1"/>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r>
            <w:r>
              <w:rPr>
                <w:b/>
              </w:rPr>
              <w:t>Order ID</w:t>
            </w:r>
          </w:p>
        </w:tc>
        <w:tc>
          <w:tcPr>
            <w:tcW w:type="dxa" w:w="851"/>
          </w:tcPr>
          <w:p>
            <w:r>
              <w:rPr>
                <w:b/>
              </w:rPr>
            </w:r>
            <w:r>
              <w:rPr>
                <w:b/>
              </w:rPr>
              <w:t>Amount</w:t>
            </w:r>
          </w:p>
        </w:tc>
        <w:tc>
          <w:tcPr>
            <w:tcW w:type="dxa" w:w="851"/>
          </w:tcPr>
          <w:p>
            <w:r>
              <w:rPr>
                <w:b/>
              </w:rPr>
            </w:r>
            <w:r>
              <w:rPr>
                <w:b/>
              </w:rPr>
              <w:t>Profit</w:t>
            </w:r>
          </w:p>
        </w:tc>
        <w:tc>
          <w:tcPr>
            <w:tcW w:type="dxa" w:w="851"/>
          </w:tcPr>
          <w:p>
            <w:r>
              <w:rPr>
                <w:b/>
              </w:rPr>
            </w:r>
            <w:r>
              <w:rPr>
                <w:b/>
              </w:rPr>
              <w:t>Qty</w:t>
            </w:r>
          </w:p>
        </w:tc>
        <w:tc>
          <w:tcPr>
            <w:tcW w:type="dxa" w:w="851"/>
          </w:tcPr>
          <w:p>
            <w:r>
              <w:rPr>
                <w:b/>
              </w:rPr>
            </w:r>
            <w:r>
              <w:rPr>
                <w:b/>
              </w:rPr>
              <w:t>Category</w:t>
            </w:r>
          </w:p>
        </w:tc>
        <w:tc>
          <w:tcPr>
            <w:tcW w:type="dxa" w:w="851"/>
          </w:tcPr>
          <w:p>
            <w:r>
              <w:rPr>
                <w:b/>
              </w:rPr>
            </w:r>
            <w:r>
              <w:rPr>
                <w:b/>
              </w:rPr>
              <w:t>Sub-Category</w:t>
            </w:r>
          </w:p>
        </w:tc>
        <w:tc>
          <w:tcPr>
            <w:tcW w:type="dxa" w:w="851"/>
          </w:tcPr>
          <w:p>
            <w:r>
              <w:rPr>
                <w:b/>
              </w:rPr>
            </w:r>
            <w:r>
              <w:rPr>
                <w:b/>
              </w:rPr>
              <w:t>Payment</w:t>
            </w:r>
          </w:p>
        </w:tc>
        <w:tc>
          <w:tcPr>
            <w:tcW w:type="dxa" w:w="851"/>
          </w:tcPr>
          <w:p>
            <w:r>
              <w:rPr>
                <w:b/>
              </w:rPr>
            </w:r>
            <w:r>
              <w:rPr>
                <w:b/>
              </w:rPr>
              <w:t>Order Date</w:t>
            </w:r>
          </w:p>
        </w:tc>
        <w:tc>
          <w:tcPr>
            <w:tcW w:type="dxa" w:w="851"/>
          </w:tcPr>
          <w:p>
            <w:r>
              <w:rPr>
                <w:b/>
              </w:rPr>
            </w:r>
            <w:r>
              <w:rPr>
                <w:b/>
              </w:rPr>
              <w:t>Customer</w:t>
            </w:r>
          </w:p>
        </w:tc>
        <w:tc>
          <w:tcPr>
            <w:tcW w:type="dxa" w:w="851"/>
          </w:tcPr>
          <w:p>
            <w:r>
              <w:rPr>
                <w:b/>
              </w:rPr>
            </w:r>
            <w:r>
              <w:rPr>
                <w:b/>
              </w:rPr>
              <w:t>State</w:t>
            </w:r>
          </w:p>
        </w:tc>
        <w:tc>
          <w:tcPr>
            <w:tcW w:type="dxa" w:w="851"/>
          </w:tcPr>
          <w:p>
            <w:r>
              <w:rPr>
                <w:b/>
              </w:rPr>
            </w:r>
            <w:r>
              <w:rPr>
                <w:b/>
              </w:rPr>
              <w:t>City</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2023-06-27</w:t>
            </w:r>
          </w:p>
        </w:tc>
        <w:tc>
          <w:tcPr>
            <w:tcW w:type="dxa" w:w="851"/>
          </w:tcPr>
          <w:p>
            <w:pPr>
              <w:spacing w:line="240" w:lineRule="auto"/>
            </w:pPr>
            <w:r>
              <w:rPr>
                <w:sz w:val="18"/>
              </w:rPr>
            </w:r>
            <w:r>
              <w:rPr>
                <w:sz w:val="18"/>
              </w:rPr>
              <w:t>David Padilla</w:t>
            </w:r>
          </w:p>
        </w:tc>
        <w:tc>
          <w:tcPr>
            <w:tcW w:type="dxa" w:w="851"/>
          </w:tcPr>
          <w:p>
            <w:pPr>
              <w:spacing w:line="240" w:lineRule="auto"/>
            </w:pPr>
            <w:r>
              <w:rPr>
                <w:sz w:val="18"/>
              </w:rPr>
            </w:r>
            <w:r>
              <w:rPr>
                <w:sz w:val="18"/>
              </w:rPr>
              <w:t>Florida</w:t>
            </w:r>
          </w:p>
        </w:tc>
        <w:tc>
          <w:tcPr>
            <w:tcW w:type="dxa" w:w="851"/>
          </w:tcPr>
          <w:p>
            <w:pPr>
              <w:spacing w:line="240" w:lineRule="auto"/>
            </w:pPr>
            <w:r>
              <w:rPr>
                <w:sz w:val="18"/>
              </w:rPr>
            </w:r>
            <w:r>
              <w:rPr>
                <w:sz w:val="18"/>
              </w:rPr>
              <w:t>Miami</w:t>
            </w:r>
          </w:p>
        </w:tc>
      </w:tr>
      <w:tr>
        <w:tc>
          <w:tcPr>
            <w:tcW w:type="dxa" w:w="851"/>
          </w:tcPr>
          <w:p>
            <w:pPr>
              <w:spacing w:line="240" w:lineRule="auto"/>
            </w:pPr>
            <w:r>
              <w:rPr>
                <w:sz w:val="18"/>
              </w:rPr>
            </w:r>
            <w:r>
              <w:rPr>
                <w:sz w:val="18"/>
              </w:rPr>
              <w:t>B-26776</w:t>
            </w:r>
          </w:p>
        </w:tc>
        <w:tc>
          <w:tcPr>
            <w:tcW w:type="dxa" w:w="851"/>
          </w:tcPr>
          <w:p>
            <w:pPr>
              <w:spacing w:line="240" w:lineRule="auto"/>
            </w:pPr>
            <w:r>
              <w:rPr>
                <w:sz w:val="18"/>
              </w:rPr>
            </w:r>
            <w:r>
              <w:rPr>
                <w:sz w:val="18"/>
              </w:rPr>
              <w:t>9,726</w:t>
            </w:r>
          </w:p>
        </w:tc>
        <w:tc>
          <w:tcPr>
            <w:tcW w:type="dxa" w:w="851"/>
          </w:tcPr>
          <w:p>
            <w:pPr>
              <w:spacing w:line="240" w:lineRule="auto"/>
            </w:pPr>
            <w:r>
              <w:rPr>
                <w:sz w:val="18"/>
              </w:rPr>
            </w:r>
            <w:r>
              <w:rPr>
                <w:sz w:val="18"/>
              </w:rPr>
              <w:t>1,275</w:t>
            </w:r>
          </w:p>
        </w:tc>
        <w:tc>
          <w:tcPr>
            <w:tcW w:type="dxa" w:w="851"/>
          </w:tcPr>
          <w:p>
            <w:pPr>
              <w:spacing w:line="240" w:lineRule="auto"/>
            </w:pPr>
            <w:r>
              <w:rPr>
                <w:sz w:val="18"/>
              </w:rPr>
            </w:r>
            <w:r>
              <w:rPr>
                <w:sz w:val="18"/>
              </w:rPr>
              <w:t>5</w:t>
            </w:r>
          </w:p>
        </w:tc>
        <w:tc>
          <w:tcPr>
            <w:tcW w:type="dxa" w:w="851"/>
          </w:tcPr>
          <w:p>
            <w:pPr>
              <w:spacing w:line="240" w:lineRule="auto"/>
            </w:pPr>
            <w:r>
              <w:rPr>
                <w:sz w:val="18"/>
              </w:rPr>
            </w:r>
            <w:r>
              <w:rPr>
                <w:sz w:val="18"/>
              </w:rPr>
              <w:t>Electronics</w:t>
            </w:r>
          </w:p>
        </w:tc>
        <w:tc>
          <w:tcPr>
            <w:tcW w:type="dxa" w:w="851"/>
          </w:tcPr>
          <w:p>
            <w:pPr>
              <w:spacing w:line="240" w:lineRule="auto"/>
            </w:pPr>
            <w:r>
              <w:rPr>
                <w:sz w:val="18"/>
              </w:rPr>
            </w:r>
            <w:r>
              <w:rPr>
                <w:sz w:val="18"/>
              </w:rPr>
              <w:t>Electronic Games</w:t>
            </w:r>
          </w:p>
        </w:tc>
        <w:tc>
          <w:tcPr>
            <w:tcW w:type="dxa" w:w="851"/>
          </w:tcPr>
          <w:p>
            <w:pPr>
              <w:spacing w:line="240" w:lineRule="auto"/>
            </w:pPr>
            <w:r>
              <w:rPr>
                <w:sz w:val="18"/>
              </w:rPr>
            </w:r>
            <w:r>
              <w:rPr>
                <w:sz w:val="18"/>
              </w:rPr>
              <w:t>UPI</w:t>
            </w:r>
          </w:p>
        </w:tc>
        <w:tc>
          <w:tcPr>
            <w:tcW w:type="dxa" w:w="851"/>
          </w:tcPr>
          <w:p>
            <w:pPr>
              <w:spacing w:line="240" w:lineRule="auto"/>
            </w:pPr>
            <w:r>
              <w:rPr>
                <w:sz w:val="18"/>
              </w:rPr>
            </w:r>
            <w:r>
              <w:rPr>
                <w:sz w:val="18"/>
              </w:rPr>
              <w:t>2024-12-27</w:t>
            </w:r>
          </w:p>
        </w:tc>
        <w:tc>
          <w:tcPr>
            <w:tcW w:type="dxa" w:w="851"/>
          </w:tcPr>
          <w:p>
            <w:pPr>
              <w:spacing w:line="240" w:lineRule="auto"/>
            </w:pPr>
            <w:r>
              <w:rPr>
                <w:sz w:val="18"/>
              </w:rPr>
            </w:r>
            <w:r>
              <w:rPr>
                <w:sz w:val="18"/>
              </w:rPr>
              <w:t>Connor Morgan</w:t>
            </w:r>
          </w:p>
        </w:tc>
        <w:tc>
          <w:tcPr>
            <w:tcW w:type="dxa" w:w="851"/>
          </w:tcPr>
          <w:p>
            <w:pPr>
              <w:spacing w:line="240" w:lineRule="auto"/>
            </w:pPr>
            <w:r>
              <w:rPr>
                <w:sz w:val="18"/>
              </w:rPr>
            </w:r>
            <w:r>
              <w:rPr>
                <w:sz w:val="18"/>
              </w:rPr>
              <w:t>Illinois</w:t>
            </w:r>
          </w:p>
        </w:tc>
        <w:tc>
          <w:tcPr>
            <w:tcW w:type="dxa" w:w="851"/>
          </w:tcPr>
          <w:p>
            <w:pPr>
              <w:spacing w:line="240" w:lineRule="auto"/>
            </w:pPr>
            <w:r>
              <w:rPr>
                <w:sz w:val="18"/>
              </w:rPr>
            </w:r>
            <w:r>
              <w:rPr>
                <w:sz w:val="18"/>
              </w:rPr>
              <w:t>Chicago</w:t>
            </w:r>
          </w:p>
        </w:tc>
      </w:tr>
    </w:tbl>
    <w:p>
      <w:pPr>
        <w:spacing w:after="200" w:line="240" w:lineRule="auto"/>
        <w:jc w:val="center"/>
      </w:pPr>
      <w:r>
        <w:rPr>
          <w:i/>
          <w:color w:val="7B8994"/>
          <w:sz w:val="20"/>
        </w:rPr>
        <w:t>Table 3. The raw export. The first two rows share one Order ID across different dates and customers.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t>That is the state of the raw data we started from. What we built out of it next was a proper database.</w:t>
      </w:r>
    </w:p>
    <w:p>
      <w:r>
        <w:br w:type="page"/>
      </w:r>
    </w:p>
    <w:p>
      <w:pPr>
        <w:pStyle w:val="Heading1"/>
      </w:pPr>
      <w:r>
        <w:t>Part 3 — Mardy</w:t>
      </w:r>
    </w:p>
    <w:p>
      <w:r>
        <w:rPr>
          <w:i/>
        </w:rPr>
        <w:t>[The ERD — have this on screen.]</w:t>
      </w:r>
    </w:p>
    <w:p>
      <w:pPr>
        <w:jc w:val="center"/>
      </w:pPr>
      <w:r>
        <w:drawing>
          <wp:inline xmlns:a="http://schemas.openxmlformats.org/drawingml/2006/main" xmlns:pic="http://schemas.openxmlformats.org/drawingml/2006/picture">
            <wp:extent cx="5486400" cy="2879194"/>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2. The star schema. One fact table, seven dimensions.</w:t>
      </w:r>
    </w:p>
    <w:p>
      <w:r>
        <w:t>I'm Mardy, and I'll take the database and the queries.</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[The loaded database — show your own SHOW TABLES output,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4. Row counts after loading. sales holds exactly the 1,194 rows of the raw file.</w:t>
      </w:r>
    </w:p>
    <w:p>
      <w:r>
        <w:t>The whole thing loads from one file — the database, all eight tables, all the data. And it ends with a verification block whose last row has to read 1,194 rows, 6,182,639 in revenue, 547 order IDs, 57 complete months, and zero orphaned rows.</w:t>
      </w:r>
    </w:p>
    <w:p>
      <w:r>
        <w:rPr>
          <w:i/>
        </w:rPr>
        <w:t>[Query 3 — show your own output, or this.]</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Revenue/month</w:t>
            </w:r>
          </w:p>
        </w:tc>
        <w:tc>
          <w:tcPr>
            <w:tcW w:type="dxa" w:w="1040"/>
          </w:tcPr>
          <w:p>
            <w:r>
              <w:rPr>
                <w:b/>
              </w:rPr>
            </w:r>
            <w:r>
              <w:rPr>
                <w:b/>
              </w:rPr>
              <w:t>Avg line</w:t>
            </w:r>
          </w:p>
        </w:tc>
        <w:tc>
          <w:tcPr>
            <w:tcW w:type="dxa" w:w="1040"/>
          </w:tcPr>
          <w:p>
            <w:r>
              <w:rPr>
                <w:b/>
              </w:rPr>
            </w:r>
            <w:r>
              <w:rPr>
                <w:b/>
              </w:rPr>
              <w:t>Margin %</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5. Q3 — annual sales trend, 2020–2024. 2020 has nine months, so read revenue per month.</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[Query 7 — show your own output, or this.]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Sub-category</w:t>
            </w:r>
          </w:p>
        </w:tc>
        <w:tc>
          <w:tcPr>
            <w:tcW w:type="dxa" w:w="1560"/>
          </w:tcPr>
          <w:p>
            <w:r>
              <w:rPr>
                <w:b/>
              </w:rPr>
            </w:r>
            <w:r>
              <w:rPr>
                <w:b/>
              </w:rPr>
              <w:t>2023</w:t>
            </w:r>
          </w:p>
        </w:tc>
        <w:tc>
          <w:tcPr>
            <w:tcW w:type="dxa" w:w="1560"/>
          </w:tcPr>
          <w:p>
            <w:r>
              <w:rPr>
                <w:b/>
              </w:rPr>
            </w:r>
            <w:r>
              <w:rPr>
                <w:b/>
              </w:rPr>
              <w:t>2024</w:t>
            </w:r>
          </w:p>
        </w:tc>
        <w:tc>
          <w:tcPr>
            <w:tcW w:type="dxa" w:w="1560"/>
          </w:tcPr>
          <w:p>
            <w:r>
              <w:rPr>
                <w:b/>
              </w:rPr>
            </w:r>
            <w:r>
              <w:rPr>
                <w:b/>
              </w:rPr>
              <w:t>Change</w:t>
            </w:r>
          </w:p>
        </w:tc>
        <w:tc>
          <w:tcPr>
            <w:tcW w:type="dxa" w:w="1560"/>
          </w:tcPr>
          <w:p>
            <w:r>
              <w:rPr>
                <w:b/>
              </w:rPr>
            </w:r>
            <w:r>
              <w:rPr>
                <w:b/>
              </w:rPr>
              <w: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6. Q7 — sub-category revenue change, 2023 against 2024.</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[Query 8 — show your own output, or this.]</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7. Q8 — each quarter's share of its own category's annual revenue.</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[The histogram and the statistics — have these on screen.]</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8. Descriptive statistics for the three numerical variables, n = 1,194.</w:t>
      </w:r>
    </w:p>
    <w:p>
      <w:pPr>
        <w:jc w:val="center"/>
      </w:pPr>
      <w:r>
        <w:drawing>
          <wp:inline xmlns:a="http://schemas.openxmlformats.org/drawingml/2006/main" xmlns:pic="http://schemas.openxmlformats.org/drawingml/2006/picture">
            <wp:extent cx="5486400" cy="3207838"/>
            <wp:docPr id="3" name="Picture 3"/>
            <wp:cNvGraphicFramePr>
              <a:graphicFrameLocks noChangeAspect="1"/>
            </wp:cNvGraphicFramePr>
            <a:graphic>
              <a:graphicData uri="http://schemas.openxmlformats.org/drawingml/2006/picture">
                <pic:pic>
                  <pic:nvPicPr>
                    <pic:cNvPr id="0" name="cp2_fig1_histogram.png"/>
                    <pic:cNvPicPr/>
                  </pic:nvPicPr>
                  <pic:blipFill>
                    <a:blip r:embed="rId11"/>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3. Frequency distribution of Amount. The flat shape is the finding.</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[The two scatter plots — have these on screen.]</w:t>
      </w:r>
    </w:p>
    <w:p>
      <w:pPr>
        <w:jc w:val="center"/>
      </w:pPr>
      <w:r>
        <w:drawing>
          <wp:inline xmlns:a="http://schemas.openxmlformats.org/drawingml/2006/main" xmlns:pic="http://schemas.openxmlformats.org/drawingml/2006/picture">
            <wp:extent cx="5486400" cy="3363469"/>
            <wp:docPr id="4" name="Picture 4"/>
            <wp:cNvGraphicFramePr>
              <a:graphicFrameLocks noChangeAspect="1"/>
            </wp:cNvGraphicFramePr>
            <a:graphic>
              <a:graphicData uri="http://schemas.openxmlformats.org/drawingml/2006/picture">
                <pic:pic>
                  <pic:nvPicPr>
                    <pic:cNvPr id="0" name="cp2_fig2_regression.png"/>
                    <pic:cNvPicPr/>
                  </pic:nvPicPr>
                  <pic:blipFill>
                    <a:blip r:embed="rId12"/>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4. Monthly orders against monthly revenue, with the fitted line.</w:t>
      </w:r>
    </w:p>
    <w:p>
      <w:pPr>
        <w:jc w:val="center"/>
      </w:pPr>
      <w:r>
        <w:drawing>
          <wp:inline xmlns:a="http://schemas.openxmlformats.org/drawingml/2006/main" xmlns:pic="http://schemas.openxmlformats.org/drawingml/2006/picture">
            <wp:extent cx="5486400" cy="3319503"/>
            <wp:docPr id="5" name="Picture 5"/>
            <wp:cNvGraphicFramePr>
              <a:graphicFrameLocks noChangeAspect="1"/>
            </wp:cNvGraphicFramePr>
            <a:graphic>
              <a:graphicData uri="http://schemas.openxmlformats.org/drawingml/2006/picture">
                <pic:pic>
                  <pic:nvPicPr>
                    <pic:cNvPr id="0" name="cp2_fig3_no_correlation.png"/>
                    <pic:cNvPicPr/>
                  </pic:nvPicPr>
                  <pic:blipFill>
                    <a:blip r:embed="rId13"/>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5. Quantity against Amount at line level. The near-flat trendline is the finding.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Measure</w:t>
            </w:r>
          </w:p>
        </w:tc>
        <w:tc>
          <w:tcPr>
            <w:tcW w:type="dxa" w:w="3120"/>
          </w:tcPr>
          <w:p>
            <w:r>
              <w:rPr>
                <w:b/>
              </w:rPr>
            </w:r>
            <w:r>
              <w:rPr>
                <w:b/>
              </w:rPr>
              <w:t>Orders vs revenue</w:t>
            </w:r>
          </w:p>
        </w:tc>
        <w:tc>
          <w:tcPr>
            <w:tcW w:type="dxa" w:w="3120"/>
          </w:tcPr>
          <w:p>
            <w:r>
              <w:rPr>
                <w:b/>
              </w:rPr>
            </w:r>
            <w:r>
              <w:rPr>
                <w:b/>
              </w:rPr>
              <w:t>Quantity vs amount</w:t>
            </w:r>
          </w:p>
        </w:tc>
      </w:tr>
      <w:tr>
        <w:tc>
          <w:tcPr>
            <w:tcW w:type="dxa" w:w="3120"/>
          </w:tcPr>
          <w:p>
            <w:pPr>
              <w:spacing w:line="240" w:lineRule="auto"/>
            </w:pPr>
            <w:r>
              <w:rPr>
                <w:sz w:val="18"/>
              </w:rPr>
            </w:r>
            <w:r>
              <w:rPr>
                <w:sz w:val="18"/>
              </w:rPr>
              <w:t>Pearson r</w:t>
            </w:r>
          </w:p>
        </w:tc>
        <w:tc>
          <w:tcPr>
            <w:tcW w:type="dxa" w:w="3120"/>
          </w:tcPr>
          <w:p>
            <w:pPr>
              <w:spacing w:line="240" w:lineRule="auto"/>
            </w:pPr>
            <w:r>
              <w:rPr>
                <w:sz w:val="18"/>
              </w:rPr>
            </w:r>
            <w:r>
              <w:rPr>
                <w:b/>
                <w:sz w:val="18"/>
              </w:rPr>
              <w:t>+0.9227</w:t>
            </w:r>
          </w:p>
        </w:tc>
        <w:tc>
          <w:tcPr>
            <w:tcW w:type="dxa" w:w="3120"/>
          </w:tcPr>
          <w:p>
            <w:pPr>
              <w:spacing w:line="240" w:lineRule="auto"/>
            </w:pPr>
            <w:r>
              <w:rPr>
                <w:sz w:val="18"/>
              </w:rPr>
            </w:r>
            <w:r>
              <w:rPr>
                <w:b/>
                <w:sz w:val="18"/>
              </w:rPr>
              <w:t>+0.0446</w:t>
            </w:r>
          </w:p>
        </w:tc>
      </w:tr>
      <w:tr>
        <w:tc>
          <w:tcPr>
            <w:tcW w:type="dxa" w:w="3120"/>
          </w:tcPr>
          <w:p>
            <w:pPr>
              <w:spacing w:line="240" w:lineRule="auto"/>
            </w:pPr>
            <w:r>
              <w:rPr>
                <w:sz w:val="18"/>
              </w:rPr>
            </w:r>
            <w:r>
              <w:rPr>
                <w:sz w:val="18"/>
              </w:rPr>
              <w:t>r²</w:t>
            </w:r>
          </w:p>
        </w:tc>
        <w:tc>
          <w:tcPr>
            <w:tcW w:type="dxa" w:w="3120"/>
          </w:tcPr>
          <w:p>
            <w:pPr>
              <w:spacing w:line="240" w:lineRule="auto"/>
            </w:pPr>
            <w:r>
              <w:rPr>
                <w:sz w:val="18"/>
              </w:rPr>
            </w:r>
            <w:r>
              <w:rPr>
                <w:sz w:val="18"/>
              </w:rPr>
              <w:t>0.8514</w:t>
            </w:r>
          </w:p>
        </w:tc>
        <w:tc>
          <w:tcPr>
            <w:tcW w:type="dxa" w:w="3120"/>
          </w:tcPr>
          <w:p>
            <w:pPr>
              <w:spacing w:line="240" w:lineRule="auto"/>
            </w:pPr>
            <w:r>
              <w:rPr>
                <w:sz w:val="18"/>
              </w:rPr>
            </w:r>
            <w:r>
              <w:rPr>
                <w:sz w:val="18"/>
              </w:rPr>
              <w:t>0.0020</w:t>
            </w:r>
          </w:p>
        </w:tc>
      </w:tr>
      <w:tr>
        <w:tc>
          <w:tcPr>
            <w:tcW w:type="dxa" w:w="3120"/>
          </w:tcPr>
          <w:p>
            <w:pPr>
              <w:spacing w:line="240" w:lineRule="auto"/>
            </w:pPr>
            <w:r>
              <w:rPr>
                <w:sz w:val="18"/>
              </w:rPr>
            </w:r>
            <w:r>
              <w:rPr>
                <w:sz w:val="18"/>
              </w:rPr>
              <w:t>p-value</w:t>
            </w:r>
          </w:p>
        </w:tc>
        <w:tc>
          <w:tcPr>
            <w:tcW w:type="dxa" w:w="3120"/>
          </w:tcPr>
          <w:p>
            <w:pPr>
              <w:spacing w:line="240" w:lineRule="auto"/>
            </w:pPr>
            <w:r>
              <w:rPr>
                <w:sz w:val="18"/>
              </w:rPr>
            </w:r>
            <w:r>
              <w:rPr>
                <w:sz w:val="18"/>
              </w:rPr>
              <w:t>1.98 × 10⁻²⁴</w:t>
            </w:r>
          </w:p>
        </w:tc>
        <w:tc>
          <w:tcPr>
            <w:tcW w:type="dxa" w:w="3120"/>
          </w:tcPr>
          <w:p>
            <w:pPr>
              <w:spacing w:line="240" w:lineRule="auto"/>
            </w:pPr>
            <w:r>
              <w:rPr>
                <w:sz w:val="18"/>
              </w:rPr>
            </w:r>
            <w:r>
              <w:rPr>
                <w:sz w:val="18"/>
              </w:rPr>
              <w:t>0.123</w:t>
            </w:r>
          </w:p>
        </w:tc>
      </w:tr>
      <w:tr>
        <w:tc>
          <w:tcPr>
            <w:tcW w:type="dxa" w:w="3120"/>
          </w:tcPr>
          <w:p>
            <w:pPr>
              <w:spacing w:line="240" w:lineRule="auto"/>
            </w:pPr>
            <w:r>
              <w:rPr>
                <w:sz w:val="18"/>
              </w:rPr>
            </w:r>
            <w:r>
              <w:rPr>
                <w:sz w:val="18"/>
              </w:rPr>
              <w:t>n</w:t>
            </w:r>
          </w:p>
        </w:tc>
        <w:tc>
          <w:tcPr>
            <w:tcW w:type="dxa" w:w="3120"/>
          </w:tcPr>
          <w:p>
            <w:pPr>
              <w:spacing w:line="240" w:lineRule="auto"/>
            </w:pPr>
            <w:r>
              <w:rPr>
                <w:sz w:val="18"/>
              </w:rPr>
            </w:r>
            <w:r>
              <w:rPr>
                <w:sz w:val="18"/>
              </w:rPr>
              <w:t>57 months</w:t>
            </w:r>
          </w:p>
        </w:tc>
        <w:tc>
          <w:tcPr>
            <w:tcW w:type="dxa" w:w="3120"/>
          </w:tcPr>
          <w:p>
            <w:pPr>
              <w:spacing w:line="240" w:lineRule="auto"/>
            </w:pPr>
            <w:r>
              <w:rPr>
                <w:sz w:val="18"/>
              </w:rPr>
            </w:r>
            <w:r>
              <w:rPr>
                <w:sz w:val="18"/>
              </w:rPr>
              <w:t>1,194 lines</w:t>
            </w:r>
          </w:p>
        </w:tc>
      </w:tr>
      <w:tr>
        <w:tc>
          <w:tcPr>
            <w:tcW w:type="dxa" w:w="3120"/>
          </w:tcPr>
          <w:p>
            <w:pPr>
              <w:spacing w:line="240" w:lineRule="auto"/>
            </w:pPr>
            <w:r>
              <w:rPr>
                <w:sz w:val="18"/>
              </w:rPr>
            </w:r>
            <w:r>
              <w:rPr>
                <w:sz w:val="18"/>
              </w:rPr>
              <w:t>Strength</w:t>
            </w:r>
          </w:p>
        </w:tc>
        <w:tc>
          <w:tcPr>
            <w:tcW w:type="dxa" w:w="3120"/>
          </w:tcPr>
          <w:p>
            <w:pPr>
              <w:spacing w:line="240" w:lineRule="auto"/>
            </w:pPr>
            <w:r>
              <w:rPr>
                <w:sz w:val="18"/>
              </w:rPr>
            </w:r>
            <w:r>
              <w:rPr>
                <w:b/>
                <w:sz w:val="18"/>
              </w:rPr>
              <w:t>Strong</w:t>
            </w:r>
          </w:p>
        </w:tc>
        <w:tc>
          <w:tcPr>
            <w:tcW w:type="dxa" w:w="312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9. The two correlation pairs side by side.</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[The regression output — show your own ToolPak run, or this.]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10. Simple linear regression of monthly revenue on monthly order count.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[The trend chart — have this on screen.]</w:t>
      </w:r>
    </w:p>
    <w:p>
      <w:pPr>
        <w:jc w:val="center"/>
      </w:pPr>
      <w:r>
        <w:drawing>
          <wp:inline xmlns:a="http://schemas.openxmlformats.org/drawingml/2006/main" xmlns:pic="http://schemas.openxmlformats.org/drawingml/2006/picture">
            <wp:extent cx="5486400" cy="2787343"/>
            <wp:docPr id="6" name="Picture 6"/>
            <wp:cNvGraphicFramePr>
              <a:graphicFrameLocks noChangeAspect="1"/>
            </wp:cNvGraphicFramePr>
            <a:graphic>
              <a:graphicData uri="http://schemas.openxmlformats.org/drawingml/2006/picture">
                <pic:pic>
                  <pic:nvPicPr>
                    <pic:cNvPr id="0" name="cp2_fig4_forecast.png"/>
                    <pic:cNvPicPr/>
                  </pic:nvPicPr>
                  <pic:blipFill>
                    <a:blip r:embed="rId14"/>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6. The trend in two regimes. Growth to the late-2022 peak, then a plateau; the forecast and the two holdout months are at the right.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Regime</w:t>
            </w:r>
          </w:p>
        </w:tc>
        <w:tc>
          <w:tcPr>
            <w:tcW w:type="dxa" w:w="2340"/>
          </w:tcPr>
          <w:p>
            <w:r>
              <w:rPr>
                <w:b/>
              </w:rPr>
            </w:r>
            <w:r>
              <w:rPr>
                <w:b/>
              </w:rPr>
              <w:t>Period</w:t>
            </w:r>
          </w:p>
        </w:tc>
        <w:tc>
          <w:tcPr>
            <w:tcW w:type="dxa" w:w="2340"/>
          </w:tcPr>
          <w:p>
            <w:r>
              <w:rPr>
                <w:b/>
              </w:rPr>
            </w:r>
            <w:r>
              <w:rPr>
                <w:b/>
              </w:rPr>
              <w:t>Revenue per month</w:t>
            </w:r>
          </w:p>
        </w:tc>
        <w:tc>
          <w:tcPr>
            <w:tcW w:type="dxa" w:w="2340"/>
          </w:tcPr>
          <w:p>
            <w:r>
              <w:rPr>
                <w:b/>
              </w:rPr>
            </w:r>
            <w:r>
              <w:rPr>
                <w:b/>
              </w:rPr>
              <w:t>Change</w:t>
            </w:r>
          </w:p>
        </w:tc>
      </w:tr>
      <w:tr>
        <w:tc>
          <w:tcPr>
            <w:tcW w:type="dxa" w:w="2340"/>
          </w:tcPr>
          <w:p>
            <w:pPr>
              <w:spacing w:line="240" w:lineRule="auto"/>
            </w:pPr>
            <w:r>
              <w:rPr>
                <w:sz w:val="18"/>
              </w:rPr>
            </w:r>
            <w:r>
              <w:rPr>
                <w:b/>
                <w:sz w:val="18"/>
              </w:rPr>
              <w:t>Growth</w:t>
            </w:r>
          </w:p>
        </w:tc>
        <w:tc>
          <w:tcPr>
            <w:tcW w:type="dxa" w:w="2340"/>
          </w:tcPr>
          <w:p>
            <w:pPr>
              <w:spacing w:line="240" w:lineRule="auto"/>
            </w:pPr>
            <w:r>
              <w:rPr>
                <w:sz w:val="18"/>
              </w:rPr>
            </w:r>
            <w:r>
              <w:rPr>
                <w:sz w:val="18"/>
              </w:rPr>
              <w:t>2020 → 2022</w:t>
            </w:r>
          </w:p>
        </w:tc>
        <w:tc>
          <w:tcPr>
            <w:tcW w:type="dxa" w:w="2340"/>
          </w:tcPr>
          <w:p>
            <w:pPr>
              <w:spacing w:line="240" w:lineRule="auto"/>
            </w:pPr>
            <w:r>
              <w:rPr>
                <w:sz w:val="18"/>
              </w:rPr>
            </w:r>
            <w:r>
              <w:rPr>
                <w:sz w:val="18"/>
              </w:rPr>
              <w:t>92,934.44 → 121,647.92</w:t>
            </w:r>
          </w:p>
        </w:tc>
        <w:tc>
          <w:tcPr>
            <w:tcW w:type="dxa" w:w="2340"/>
          </w:tcPr>
          <w:p>
            <w:pPr>
              <w:spacing w:line="240" w:lineRule="auto"/>
            </w:pPr>
            <w:r>
              <w:rPr>
                <w:sz w:val="18"/>
              </w:rPr>
            </w:r>
            <w:r>
              <w:rPr>
                <w:b/>
                <w:sz w:val="18"/>
              </w:rPr>
              <w:t>+30.9%</w:t>
            </w:r>
          </w:p>
        </w:tc>
      </w:tr>
      <w:tr>
        <w:tc>
          <w:tcPr>
            <w:tcW w:type="dxa" w:w="2340"/>
          </w:tcPr>
          <w:p>
            <w:pPr>
              <w:spacing w:line="240" w:lineRule="auto"/>
            </w:pPr>
            <w:r>
              <w:rPr>
                <w:sz w:val="18"/>
              </w:rPr>
            </w:r>
            <w:r>
              <w:rPr>
                <w:b/>
                <w:sz w:val="18"/>
              </w:rPr>
              <w:t>Plateau</w:t>
            </w:r>
          </w:p>
        </w:tc>
        <w:tc>
          <w:tcPr>
            <w:tcW w:type="dxa" w:w="2340"/>
          </w:tcPr>
          <w:p>
            <w:pPr>
              <w:spacing w:line="240" w:lineRule="auto"/>
            </w:pPr>
            <w:r>
              <w:rPr>
                <w:sz w:val="18"/>
              </w:rPr>
            </w:r>
            <w:r>
              <w:rPr>
                <w:sz w:val="18"/>
              </w:rPr>
              <w:t>2022 → 2024</w:t>
            </w:r>
          </w:p>
        </w:tc>
        <w:tc>
          <w:tcPr>
            <w:tcW w:type="dxa" w:w="2340"/>
          </w:tcPr>
          <w:p>
            <w:pPr>
              <w:spacing w:line="240" w:lineRule="auto"/>
            </w:pPr>
            <w:r>
              <w:rPr>
                <w:sz w:val="18"/>
              </w:rPr>
            </w:r>
            <w:r>
              <w:rPr>
                <w:sz w:val="18"/>
              </w:rPr>
              <w:t>121,647.92 → 100,206.50</w:t>
            </w:r>
          </w:p>
        </w:tc>
        <w:tc>
          <w:tcPr>
            <w:tcW w:type="dxa" w:w="2340"/>
          </w:tcPr>
          <w:p>
            <w:pPr>
              <w:spacing w:line="240" w:lineRule="auto"/>
            </w:pPr>
            <w:r>
              <w:rPr>
                <w:sz w:val="18"/>
              </w:rPr>
            </w:r>
            <w:r>
              <w:rPr>
                <w:b/>
                <w:sz w:val="18"/>
              </w:rPr>
              <w:t>−17.6%</w:t>
            </w:r>
            <w:r>
              <w:rPr>
                <w:sz w:val="18"/>
              </w:rPr>
              <w:t>, then flat</w:t>
            </w:r>
          </w:p>
        </w:tc>
      </w:tr>
    </w:tbl>
    <w:p>
      <w:pPr>
        <w:spacing w:after="200" w:line="240" w:lineRule="auto"/>
        <w:jc w:val="center"/>
      </w:pPr>
      <w:r>
        <w:rPr>
          <w:i/>
          <w:color w:val="7B8994"/>
          <w:sz w:val="20"/>
        </w:rPr>
        <w:t>Table 11. The two regimes, measured on revenue per month.</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[The seasonal indices and the forecast — have these on screen. The chart is the same one as above.]</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12. Seasonal index by calendar month, April 2020 to December 2024.</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13. Six-period forecast, with the two complete holdout months compared.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14. Forecast accuracy over the two complete holdout months.</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 have this on screen.]</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 69.9% → 30.9%</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 0.876 → 1.025</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15. Which Checkpoint 1 findings the correction affects.</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[The findings summary — have this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Finding</w:t>
            </w:r>
          </w:p>
        </w:tc>
        <w:tc>
          <w:tcPr>
            <w:tcW w:type="dxa" w:w="3120"/>
          </w:tcPr>
          <w:p>
            <w:r>
              <w:rPr>
                <w:b/>
              </w:rPr>
            </w:r>
            <w:r>
              <w:rPr>
                <w:b/>
              </w:rPr>
              <w:t>From</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Growth stopped in 2022, but margin and average order value never moved — fewer orders, not worse ones</w:t>
            </w:r>
          </w:p>
        </w:tc>
        <w:tc>
          <w:tcPr>
            <w:tcW w:type="dxa" w:w="3120"/>
          </w:tcPr>
          <w:p>
            <w:pPr>
              <w:spacing w:line="240" w:lineRule="auto"/>
            </w:pPr>
            <w:r>
              <w:rPr>
                <w:sz w:val="18"/>
              </w:rPr>
            </w:r>
            <w:r>
              <w:rPr>
                <w:sz w:val="18"/>
              </w:rPr>
              <w:t>Q3</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Printers lost 136,865, over half the entire gap; all Electronics fell, all Office Supplies grew</w:t>
            </w:r>
          </w:p>
        </w:tc>
        <w:tc>
          <w:tcPr>
            <w:tcW w:type="dxa" w:w="3120"/>
          </w:tcPr>
          <w:p>
            <w:pPr>
              <w:spacing w:line="240" w:lineRule="auto"/>
            </w:pPr>
            <w:r>
              <w:rPr>
                <w:sz w:val="18"/>
              </w:rPr>
            </w:r>
            <w:r>
              <w:rPr>
                <w:sz w:val="18"/>
              </w:rPr>
              <w:t>Q5, Q7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Seasonality is category-specific — Electronics peaks in Q2, the others in Q4</w:t>
            </w:r>
          </w:p>
        </w:tc>
        <w:tc>
          <w:tcPr>
            <w:tcW w:type="dxa" w:w="3120"/>
          </w:tcPr>
          <w:p>
            <w:pPr>
              <w:spacing w:line="240" w:lineRule="auto"/>
            </w:pPr>
            <w:r>
              <w:rPr>
                <w:sz w:val="18"/>
              </w:rPr>
            </w:r>
            <w:r>
              <w:rPr>
                <w:sz w:val="18"/>
              </w:rPr>
              <w:t>Q4, Q8</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Geography is not a factor — state revenue spans only 28%</w:t>
            </w:r>
          </w:p>
        </w:tc>
        <w:tc>
          <w:tcPr>
            <w:tcW w:type="dxa" w:w="3120"/>
          </w:tcPr>
          <w:p>
            <w:pPr>
              <w:spacing w:line="240" w:lineRule="auto"/>
            </w:pPr>
            <w:r>
              <w:rPr>
                <w:sz w:val="18"/>
              </w:rPr>
            </w:r>
            <w:r>
              <w:rPr>
                <w:sz w:val="18"/>
              </w:rPr>
              <w:t>Q6</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Order count drives revenue: r = 0.923, R² = 0.851, p &lt; 0.001</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6</w:t>
            </w:r>
          </w:p>
        </w:tc>
        <w:tc>
          <w:tcPr>
            <w:tcW w:type="dxa" w:w="3120"/>
          </w:tcPr>
          <w:p>
            <w:pPr>
              <w:spacing w:line="240" w:lineRule="auto"/>
            </w:pPr>
            <w:r>
              <w:rPr>
                <w:sz w:val="18"/>
              </w:rPr>
            </w:r>
            <w:r>
              <w:rPr>
                <w:sz w:val="18"/>
              </w:rPr>
              <w:t>Units sold predicts nothing: r = 0.045, p = 0.123</w:t>
            </w:r>
          </w:p>
        </w:tc>
        <w:tc>
          <w:tcPr>
            <w:tcW w:type="dxa" w:w="3120"/>
          </w:tcPr>
          <w:p>
            <w:pPr>
              <w:spacing w:line="240" w:lineRule="auto"/>
            </w:pPr>
            <w:r>
              <w:rPr>
                <w:sz w:val="18"/>
              </w:rPr>
            </w:r>
            <w:r>
              <w:rPr>
                <w:sz w:val="18"/>
              </w:rPr>
              <w:t>Correlation</w:t>
            </w:r>
          </w:p>
        </w:tc>
      </w:tr>
      <w:tr>
        <w:tc>
          <w:tcPr>
            <w:tcW w:type="dxa" w:w="3120"/>
          </w:tcPr>
          <w:p>
            <w:pPr>
              <w:spacing w:line="240" w:lineRule="auto"/>
            </w:pPr>
            <w:r>
              <w:rPr>
                <w:sz w:val="18"/>
              </w:rPr>
            </w:r>
            <w:r>
              <w:rPr>
                <w:sz w:val="18"/>
              </w:rPr>
              <w:t>7</w:t>
            </w:r>
          </w:p>
        </w:tc>
        <w:tc>
          <w:tcPr>
            <w:tcW w:type="dxa" w:w="3120"/>
          </w:tcPr>
          <w:p>
            <w:pPr>
              <w:spacing w:line="240" w:lineRule="auto"/>
            </w:pPr>
            <w:r>
              <w:rPr>
                <w:sz w:val="18"/>
              </w:rPr>
            </w:r>
            <w:r>
              <w:rPr>
                <w:sz w:val="18"/>
              </w:rPr>
              <w:t>Revenue is a poor proxy for profit — CV 82.9% against 54.2%</w:t>
            </w:r>
          </w:p>
        </w:tc>
        <w:tc>
          <w:tcPr>
            <w:tcW w:type="dxa" w:w="3120"/>
          </w:tcPr>
          <w:p>
            <w:pPr>
              <w:spacing w:line="240" w:lineRule="auto"/>
            </w:pPr>
            <w:r>
              <w:rPr>
                <w:sz w:val="18"/>
              </w:rPr>
            </w:r>
            <w:r>
              <w:rPr>
                <w:sz w:val="18"/>
              </w:rPr>
              <w:t>Descriptive stats</w:t>
            </w:r>
          </w:p>
        </w:tc>
      </w:tr>
      <w:tr>
        <w:tc>
          <w:tcPr>
            <w:tcW w:type="dxa" w:w="3120"/>
          </w:tcPr>
          <w:p>
            <w:pPr>
              <w:spacing w:line="240" w:lineRule="auto"/>
            </w:pPr>
            <w:r>
              <w:rPr>
                <w:sz w:val="18"/>
              </w:rPr>
            </w:r>
            <w:r>
              <w:rPr>
                <w:sz w:val="18"/>
              </w:rPr>
              <w:t>8</w:t>
            </w:r>
          </w:p>
        </w:tc>
        <w:tc>
          <w:tcPr>
            <w:tcW w:type="dxa" w:w="3120"/>
          </w:tcPr>
          <w:p>
            <w:pPr>
              <w:spacing w:line="240" w:lineRule="auto"/>
            </w:pPr>
            <w:r>
              <w:rPr>
                <w:sz w:val="18"/>
              </w:rPr>
            </w:r>
            <w:r>
              <w:rPr>
                <w:sz w:val="18"/>
              </w:rPr>
              <w:t>The trend runs in two regimes; one line across both explains under 1%</w:t>
            </w:r>
          </w:p>
        </w:tc>
        <w:tc>
          <w:tcPr>
            <w:tcW w:type="dxa" w:w="3120"/>
          </w:tcPr>
          <w:p>
            <w:pPr>
              <w:spacing w:line="240" w:lineRule="auto"/>
            </w:pPr>
            <w:r>
              <w:rPr>
                <w:sz w:val="18"/>
              </w:rPr>
            </w:r>
            <w:r>
              <w:rPr>
                <w:sz w:val="18"/>
              </w:rPr>
              <w:t>Trend test</w:t>
            </w:r>
          </w:p>
        </w:tc>
      </w:tr>
      <w:tr>
        <w:tc>
          <w:tcPr>
            <w:tcW w:type="dxa" w:w="3120"/>
          </w:tcPr>
          <w:p>
            <w:pPr>
              <w:spacing w:line="240" w:lineRule="auto"/>
            </w:pPr>
            <w:r>
              <w:rPr>
                <w:sz w:val="18"/>
              </w:rPr>
            </w:r>
            <w:r>
              <w:rPr>
                <w:sz w:val="18"/>
              </w:rPr>
              <w:t>9</w:t>
            </w:r>
          </w:p>
        </w:tc>
        <w:tc>
          <w:tcPr>
            <w:tcW w:type="dxa" w:w="3120"/>
          </w:tcPr>
          <w:p>
            <w:pPr>
              <w:spacing w:line="240" w:lineRule="auto"/>
            </w:pPr>
            <w:r>
              <w:rPr>
                <w:sz w:val="18"/>
              </w:rPr>
            </w:r>
            <w:r>
              <w:rPr>
                <w:sz w:val="18"/>
              </w:rPr>
              <w:t>The four-order gap is worth about 250,000 a year, corroborating Q7's 257,297</w:t>
            </w:r>
          </w:p>
        </w:tc>
        <w:tc>
          <w:tcPr>
            <w:tcW w:type="dxa" w:w="3120"/>
          </w:tcPr>
          <w:p>
            <w:pPr>
              <w:spacing w:line="240" w:lineRule="auto"/>
            </w:pPr>
            <w:r>
              <w:rPr>
                <w:sz w:val="18"/>
              </w:rPr>
            </w:r>
            <w:r>
              <w:rPr>
                <w:sz w:val="18"/>
              </w:rPr>
              <w:t>Regression</w:t>
            </w:r>
          </w:p>
        </w:tc>
      </w:tr>
      <w:tr>
        <w:tc>
          <w:tcPr>
            <w:tcW w:type="dxa" w:w="3120"/>
          </w:tcPr>
          <w:p>
            <w:pPr>
              <w:spacing w:line="240" w:lineRule="auto"/>
            </w:pPr>
            <w:r>
              <w:rPr>
                <w:sz w:val="18"/>
              </w:rPr>
            </w:r>
            <w:r>
              <w:rPr>
                <w:sz w:val="18"/>
              </w:rPr>
              <w:t>10</w:t>
            </w:r>
          </w:p>
        </w:tc>
        <w:tc>
          <w:tcPr>
            <w:tcW w:type="dxa" w:w="3120"/>
          </w:tcPr>
          <w:p>
            <w:pPr>
              <w:spacing w:line="240" w:lineRule="auto"/>
            </w:pPr>
            <w:r>
              <w:rPr>
                <w:sz w:val="18"/>
              </w:rPr>
            </w:r>
            <w:r>
              <w:rPr>
                <w:sz w:val="18"/>
              </w:rPr>
              <w:t>The seasonal forecast did not beat a flat average</w:t>
            </w:r>
          </w:p>
        </w:tc>
        <w:tc>
          <w:tcPr>
            <w:tcW w:type="dxa" w:w="3120"/>
          </w:tcPr>
          <w:p>
            <w:pPr>
              <w:spacing w:line="240" w:lineRule="auto"/>
            </w:pPr>
            <w:r>
              <w:rPr>
                <w:sz w:val="18"/>
              </w:rPr>
            </w:r>
            <w:r>
              <w:rPr>
                <w:sz w:val="18"/>
              </w:rPr>
              <w:t>Holdout</w:t>
            </w:r>
          </w:p>
        </w:tc>
      </w:tr>
    </w:tbl>
    <w:p>
      <w:pPr>
        <w:spacing w:after="200" w:line="240" w:lineRule="auto"/>
        <w:jc w:val="center"/>
      </w:pPr>
      <w:r>
        <w:rPr>
          <w:i/>
          <w:color w:val="7B8994"/>
          <w:sz w:val="20"/>
        </w:rPr>
        <w:t>Table 16. What the two checkpoints found.</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The trend chart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