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2"/>
      </w:pPr>
      <w:r>
        <w:t>Exhibit index — for Alber, editing</w:t>
      </w:r>
    </w:p>
    <w:p>
      <w:r>
        <w:t xml:space="preserve">Every exhibit is reproduced in this script at the point it is referred to, so you can work from here alone. This table says where each one comes from if you want the original — and note that the </w:t>
      </w:r>
      <w:r>
        <w:rPr>
          <w:b/>
        </w:rPr>
        <w:t>figure numbers in the reports do not match the file names</w:t>
      </w:r>
      <w:r>
        <w:t>: Checkpoint 1's Figure 1 is the ERD, not the trend chart.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w:t>
            </w:r>
          </w:p>
        </w:tc>
        <w:tc>
          <w:tcPr>
            <w:tcW w:type="dxa" w:w="1872"/>
          </w:tcPr>
          <w:p>
            <w:r>
              <w:rPr>
                <w:b/>
              </w:rPr>
            </w:r>
            <w:r>
              <w:rPr>
                <w:b/>
              </w:rPr>
              <w:t>Part</w:t>
            </w:r>
          </w:p>
        </w:tc>
        <w:tc>
          <w:tcPr>
            <w:tcW w:type="dxa" w:w="1872"/>
          </w:tcPr>
          <w:p>
            <w:r>
              <w:rPr>
                <w:b/>
              </w:rPr>
            </w:r>
            <w:r>
              <w:rPr>
                <w:b/>
              </w:rPr>
              <w:t>Exhibit</w:t>
            </w:r>
          </w:p>
        </w:tc>
        <w:tc>
          <w:tcPr>
            <w:tcW w:type="dxa" w:w="1872"/>
          </w:tcPr>
          <w:p>
            <w:r>
              <w:rPr>
                <w:b/>
              </w:rPr>
            </w:r>
            <w:r>
              <w:rPr>
                <w:b/>
              </w:rPr>
              <w:t>File</w:t>
            </w:r>
          </w:p>
        </w:tc>
        <w:tc>
          <w:tcPr>
            <w:tcW w:type="dxa" w:w="1872"/>
          </w:tcPr>
          <w:p>
            <w:r>
              <w:rPr>
                <w:b/>
              </w:rPr>
            </w:r>
            <w:r>
              <w:rPr>
                <w:b/>
              </w:rPr>
              <w:t>In the reports</w:t>
            </w:r>
          </w:p>
        </w:tc>
      </w:tr>
      <w:tr>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Annual trend chart</w:t>
            </w:r>
          </w:p>
        </w:tc>
        <w:tc>
          <w:tcPr>
            <w:tcW w:type="dxa" w:w="1872"/>
          </w:tcPr>
          <w:p>
            <w:pPr>
              <w:spacing w:line="240" w:lineRule="auto"/>
            </w:pPr>
            <w:r>
              <w:rPr>
                <w:sz w:val="18"/>
              </w:rPr>
            </w:r>
            <w:r>
              <w:rPr>
                <w:rFonts w:ascii="Consolas" w:hAnsi="Consolas"/>
                <w:color w:val="2F6F9F"/>
                <w:sz w:val="18"/>
              </w:rPr>
              <w:t>docs/figures/fig1_annual_trend.png</w:t>
            </w:r>
          </w:p>
        </w:tc>
        <w:tc>
          <w:tcPr>
            <w:tcW w:type="dxa" w:w="1872"/>
          </w:tcPr>
          <w:p>
            <w:pPr>
              <w:spacing w:line="240" w:lineRule="auto"/>
            </w:pPr>
            <w:r>
              <w:rPr>
                <w:sz w:val="18"/>
              </w:rPr>
            </w:r>
            <w:r>
              <w:rPr>
                <w:sz w:val="18"/>
              </w:rPr>
              <w:t xml:space="preserve">CP1 report, </w:t>
            </w:r>
            <w:r>
              <w:rPr>
                <w:b/>
                <w:sz w:val="18"/>
              </w:rPr>
              <w:t>Figure 2</w:t>
            </w:r>
          </w:p>
        </w:tc>
      </w:tr>
      <w:tr>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Raw file extract</w:t>
            </w:r>
          </w:p>
        </w:tc>
        <w:tc>
          <w:tcPr>
            <w:tcW w:type="dxa" w:w="1872"/>
          </w:tcPr>
          <w:p>
            <w:pPr>
              <w:spacing w:line="240" w:lineRule="auto"/>
            </w:pPr>
            <w:r>
              <w:rPr>
                <w:sz w:val="18"/>
              </w:rPr>
            </w:r>
            <w:r>
              <w:rPr>
                <w:rFonts w:ascii="Consolas" w:hAnsi="Consolas"/>
                <w:color w:val="2F6F9F"/>
                <w:sz w:val="18"/>
              </w:rPr>
              <w:t>data/raw/sales_dataset_raw.csv</w:t>
            </w:r>
          </w:p>
        </w:tc>
        <w:tc>
          <w:tcPr>
            <w:tcW w:type="dxa" w:w="1872"/>
          </w:tcPr>
          <w:p>
            <w:pPr>
              <w:spacing w:line="240" w:lineRule="auto"/>
            </w:pPr>
            <w:r>
              <w:rPr>
                <w:sz w:val="18"/>
              </w:rPr>
            </w:r>
            <w:r>
              <w:rPr>
                <w:sz w:val="18"/>
              </w:rPr>
              <w:t>CP1 report, Raw dataset preview</w:t>
            </w:r>
          </w:p>
        </w:tc>
      </w:tr>
      <w:tr>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ERD</w:t>
            </w:r>
          </w:p>
        </w:tc>
        <w:tc>
          <w:tcPr>
            <w:tcW w:type="dxa" w:w="1872"/>
          </w:tcPr>
          <w:p>
            <w:pPr>
              <w:spacing w:line="240" w:lineRule="auto"/>
            </w:pPr>
            <w:r>
              <w:rPr>
                <w:sz w:val="18"/>
              </w:rPr>
            </w:r>
            <w:r>
              <w:rPr>
                <w:rFonts w:ascii="Consolas" w:hAnsi="Consolas"/>
                <w:color w:val="2F6F9F"/>
                <w:sz w:val="18"/>
              </w:rPr>
              <w:t>docs/figures/erd.png</w:t>
            </w:r>
          </w:p>
        </w:tc>
        <w:tc>
          <w:tcPr>
            <w:tcW w:type="dxa" w:w="1872"/>
          </w:tcPr>
          <w:p>
            <w:pPr>
              <w:spacing w:line="240" w:lineRule="auto"/>
            </w:pPr>
            <w:r>
              <w:rPr>
                <w:sz w:val="18"/>
              </w:rPr>
            </w:r>
            <w:r>
              <w:rPr>
                <w:sz w:val="18"/>
              </w:rPr>
              <w:t xml:space="preserve">CP1 report, </w:t>
            </w:r>
            <w:r>
              <w:rPr>
                <w:b/>
                <w:sz w:val="18"/>
              </w:rPr>
              <w:t>Figure 1</w:t>
            </w:r>
          </w:p>
        </w:tc>
      </w:tr>
      <w:tr>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Loaded row counts</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Populated row counts</w:t>
            </w:r>
          </w:p>
        </w:tc>
      </w:tr>
      <w:tr>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Q3 annual trend</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Q3</w:t>
            </w:r>
          </w:p>
        </w:tc>
      </w:tr>
      <w:tr>
        <w:tc>
          <w:tcPr>
            <w:tcW w:type="dxa" w:w="1872"/>
          </w:tcPr>
          <w:p>
            <w:pPr>
              <w:spacing w:line="240" w:lineRule="auto"/>
            </w:pPr>
            <w:r>
              <w:rPr>
                <w:sz w:val="18"/>
              </w:rPr>
            </w:r>
            <w:r>
              <w:rPr>
                <w:sz w:val="18"/>
              </w:rPr>
              <w:t>6</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Q7 sub-category change</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Q7</w:t>
            </w:r>
          </w:p>
        </w:tc>
      </w:tr>
      <w:tr>
        <w:tc>
          <w:tcPr>
            <w:tcW w:type="dxa" w:w="1872"/>
          </w:tcPr>
          <w:p>
            <w:pPr>
              <w:spacing w:line="240" w:lineRule="auto"/>
            </w:pPr>
            <w:r>
              <w:rPr>
                <w:sz w:val="18"/>
              </w:rPr>
            </w:r>
            <w:r>
              <w:rPr>
                <w:sz w:val="18"/>
              </w:rPr>
              <w:t>7</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Q8 quarter shares</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Q8</w:t>
            </w:r>
          </w:p>
        </w:tc>
      </w:tr>
      <w:tr>
        <w:tc>
          <w:tcPr>
            <w:tcW w:type="dxa" w:w="1872"/>
          </w:tcPr>
          <w:p>
            <w:pPr>
              <w:spacing w:line="240" w:lineRule="auto"/>
            </w:pPr>
            <w:r>
              <w:rPr>
                <w:sz w:val="18"/>
              </w:rPr>
            </w:r>
            <w:r>
              <w:rPr>
                <w:sz w:val="18"/>
              </w:rPr>
              <w:t>8</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Workbook, Cleaned Data sheet</w:t>
            </w:r>
          </w:p>
        </w:tc>
        <w:tc>
          <w:tcPr>
            <w:tcW w:type="dxa" w:w="1872"/>
          </w:tcPr>
          <w:p>
            <w:pPr>
              <w:spacing w:line="240" w:lineRule="auto"/>
            </w:pPr>
            <w:r>
              <w:rPr>
                <w:sz w:val="18"/>
              </w:rPr>
            </w:r>
            <w:r>
              <w:rPr>
                <w:rFonts w:ascii="Consolas" w:hAnsi="Consolas"/>
                <w:color w:val="2F6F9F"/>
                <w:sz w:val="18"/>
              </w:rPr>
              <w:t>reports/Checkpoint_2_Workbook.xlsx</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9</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 PivotChart</w:t>
            </w:r>
          </w:p>
        </w:tc>
        <w:tc>
          <w:tcPr>
            <w:tcW w:type="dxa" w:w="1872"/>
          </w:tcPr>
          <w:p>
            <w:pPr>
              <w:spacing w:line="240" w:lineRule="auto"/>
            </w:pPr>
            <w:r>
              <w:rPr>
                <w:sz w:val="18"/>
              </w:rPr>
            </w:r>
            <w:r>
              <w:rPr>
                <w:rFonts w:ascii="Consolas" w:hAnsi="Consolas"/>
                <w:color w:val="2F6F9F"/>
                <w:sz w:val="18"/>
              </w:rPr>
              <w:t>Checkpoint_2_Workbook.xlsx</w:t>
            </w:r>
            <w:r>
              <w:rPr>
                <w:sz w:val="18"/>
              </w:rPr>
              <w:t>, sheets PivotTable 1–3</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10</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Descriptive statistics</w:t>
            </w:r>
          </w:p>
        </w:tc>
        <w:tc>
          <w:tcPr>
            <w:tcW w:type="dxa" w:w="1872"/>
          </w:tcPr>
          <w:p>
            <w:pPr>
              <w:spacing w:line="240" w:lineRule="auto"/>
            </w:pPr>
            <w:r>
              <w:rPr>
                <w:sz w:val="18"/>
              </w:rPr>
            </w:r>
            <w:r>
              <w:rPr>
                <w:sz w:val="18"/>
              </w:rPr>
              <w:t>Workbook, Descriptive Stats</w:t>
            </w:r>
          </w:p>
        </w:tc>
        <w:tc>
          <w:tcPr>
            <w:tcW w:type="dxa" w:w="1872"/>
          </w:tcPr>
          <w:p>
            <w:pPr>
              <w:spacing w:line="240" w:lineRule="auto"/>
            </w:pPr>
            <w:r>
              <w:rPr>
                <w:sz w:val="18"/>
              </w:rPr>
            </w:r>
            <w:r>
              <w:rPr>
                <w:sz w:val="18"/>
              </w:rPr>
              <w:t>CP2 report, Task 2.2</w:t>
            </w:r>
          </w:p>
        </w:tc>
      </w:tr>
      <w:tr>
        <w:tc>
          <w:tcPr>
            <w:tcW w:type="dxa" w:w="1872"/>
          </w:tcPr>
          <w:p>
            <w:pPr>
              <w:spacing w:line="240" w:lineRule="auto"/>
            </w:pPr>
            <w:r>
              <w:rPr>
                <w:sz w:val="18"/>
              </w:rPr>
            </w:r>
            <w:r>
              <w:rPr>
                <w:sz w:val="18"/>
              </w:rPr>
              <w:t>11</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Amount histogram</w:t>
            </w:r>
          </w:p>
        </w:tc>
        <w:tc>
          <w:tcPr>
            <w:tcW w:type="dxa" w:w="1872"/>
          </w:tcPr>
          <w:p>
            <w:pPr>
              <w:spacing w:line="240" w:lineRule="auto"/>
            </w:pPr>
            <w:r>
              <w:rPr>
                <w:sz w:val="18"/>
              </w:rPr>
            </w:r>
            <w:r>
              <w:rPr>
                <w:rFonts w:ascii="Consolas" w:hAnsi="Consolas"/>
                <w:color w:val="2F6F9F"/>
                <w:sz w:val="18"/>
              </w:rPr>
              <w:t>docs/figures/cp2_fig1_histogram.png</w:t>
            </w:r>
          </w:p>
        </w:tc>
        <w:tc>
          <w:tcPr>
            <w:tcW w:type="dxa" w:w="1872"/>
          </w:tcPr>
          <w:p>
            <w:pPr>
              <w:spacing w:line="240" w:lineRule="auto"/>
            </w:pPr>
            <w:r>
              <w:rPr>
                <w:sz w:val="18"/>
              </w:rPr>
            </w:r>
            <w:r>
              <w:rPr>
                <w:sz w:val="18"/>
              </w:rPr>
              <w:t xml:space="preserve">CP2 report, </w:t>
            </w:r>
            <w:r>
              <w:rPr>
                <w:b/>
                <w:sz w:val="18"/>
              </w:rPr>
              <w:t>Figure 1</w:t>
            </w:r>
          </w:p>
        </w:tc>
      </w:tr>
      <w:tr>
        <w:tc>
          <w:tcPr>
            <w:tcW w:type="dxa" w:w="1872"/>
          </w:tcPr>
          <w:p>
            <w:pPr>
              <w:spacing w:line="240" w:lineRule="auto"/>
            </w:pPr>
            <w:r>
              <w:rPr>
                <w:sz w:val="18"/>
              </w:rPr>
            </w:r>
            <w:r>
              <w:rPr>
                <w:sz w:val="18"/>
              </w:rPr>
              <w:t>12</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Orders vs revenue scatter</w:t>
            </w:r>
          </w:p>
        </w:tc>
        <w:tc>
          <w:tcPr>
            <w:tcW w:type="dxa" w:w="1872"/>
          </w:tcPr>
          <w:p>
            <w:pPr>
              <w:spacing w:line="240" w:lineRule="auto"/>
            </w:pPr>
            <w:r>
              <w:rPr>
                <w:sz w:val="18"/>
              </w:rPr>
            </w:r>
            <w:r>
              <w:rPr>
                <w:rFonts w:ascii="Consolas" w:hAnsi="Consolas"/>
                <w:color w:val="2F6F9F"/>
                <w:sz w:val="18"/>
              </w:rPr>
              <w:t>docs/figures/cp2_fig2_regression.png</w:t>
            </w:r>
          </w:p>
        </w:tc>
        <w:tc>
          <w:tcPr>
            <w:tcW w:type="dxa" w:w="1872"/>
          </w:tcPr>
          <w:p>
            <w:pPr>
              <w:spacing w:line="240" w:lineRule="auto"/>
            </w:pPr>
            <w:r>
              <w:rPr>
                <w:sz w:val="18"/>
              </w:rPr>
            </w:r>
            <w:r>
              <w:rPr>
                <w:sz w:val="18"/>
              </w:rPr>
              <w:t xml:space="preserve">CP2 report, </w:t>
            </w:r>
            <w:r>
              <w:rPr>
                <w:b/>
                <w:sz w:val="18"/>
              </w:rPr>
              <w:t>Figure 3</w:t>
            </w:r>
          </w:p>
        </w:tc>
      </w:tr>
      <w:tr>
        <w:tc>
          <w:tcPr>
            <w:tcW w:type="dxa" w:w="1872"/>
          </w:tcPr>
          <w:p>
            <w:pPr>
              <w:spacing w:line="240" w:lineRule="auto"/>
            </w:pPr>
            <w:r>
              <w:rPr>
                <w:sz w:val="18"/>
              </w:rPr>
            </w:r>
            <w:r>
              <w:rPr>
                <w:sz w:val="18"/>
              </w:rPr>
              <w:t>13</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Quantity vs amount scatter</w:t>
            </w:r>
          </w:p>
        </w:tc>
        <w:tc>
          <w:tcPr>
            <w:tcW w:type="dxa" w:w="1872"/>
          </w:tcPr>
          <w:p>
            <w:pPr>
              <w:spacing w:line="240" w:lineRule="auto"/>
            </w:pPr>
            <w:r>
              <w:rPr>
                <w:sz w:val="18"/>
              </w:rPr>
            </w:r>
            <w:r>
              <w:rPr>
                <w:rFonts w:ascii="Consolas" w:hAnsi="Consolas"/>
                <w:color w:val="2F6F9F"/>
                <w:sz w:val="18"/>
              </w:rPr>
              <w:t>docs/figures/cp2_fig3_no_correlation.png</w:t>
            </w:r>
          </w:p>
        </w:tc>
        <w:tc>
          <w:tcPr>
            <w:tcW w:type="dxa" w:w="1872"/>
          </w:tcPr>
          <w:p>
            <w:pPr>
              <w:spacing w:line="240" w:lineRule="auto"/>
            </w:pPr>
            <w:r>
              <w:rPr>
                <w:sz w:val="18"/>
              </w:rPr>
            </w:r>
            <w:r>
              <w:rPr>
                <w:sz w:val="18"/>
              </w:rPr>
              <w:t xml:space="preserve">CP2 report, </w:t>
            </w:r>
            <w:r>
              <w:rPr>
                <w:b/>
                <w:sz w:val="18"/>
              </w:rPr>
              <w:t>Figure 2</w:t>
            </w:r>
          </w:p>
        </w:tc>
      </w:tr>
      <w:tr>
        <w:tc>
          <w:tcPr>
            <w:tcW w:type="dxa" w:w="1872"/>
          </w:tcPr>
          <w:p>
            <w:pPr>
              <w:spacing w:line="240" w:lineRule="auto"/>
            </w:pPr>
            <w:r>
              <w:rPr>
                <w:sz w:val="18"/>
              </w:rPr>
            </w:r>
            <w:r>
              <w:rPr>
                <w:sz w:val="18"/>
              </w:rPr>
              <w:t>14</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Regression output</w:t>
            </w:r>
          </w:p>
        </w:tc>
        <w:tc>
          <w:tcPr>
            <w:tcW w:type="dxa" w:w="1872"/>
          </w:tcPr>
          <w:p>
            <w:pPr>
              <w:spacing w:line="240" w:lineRule="auto"/>
            </w:pPr>
            <w:r>
              <w:rPr>
                <w:sz w:val="18"/>
              </w:rPr>
            </w:r>
            <w:r>
              <w:rPr>
                <w:sz w:val="18"/>
              </w:rPr>
              <w:t>Workbook, Regression</w:t>
            </w:r>
          </w:p>
        </w:tc>
        <w:tc>
          <w:tcPr>
            <w:tcW w:type="dxa" w:w="1872"/>
          </w:tcPr>
          <w:p>
            <w:pPr>
              <w:spacing w:line="240" w:lineRule="auto"/>
            </w:pPr>
            <w:r>
              <w:rPr>
                <w:sz w:val="18"/>
              </w:rPr>
            </w:r>
            <w:r>
              <w:rPr>
                <w:sz w:val="18"/>
              </w:rPr>
              <w:t>CP2 report, Task 2.4</w:t>
            </w:r>
          </w:p>
        </w:tc>
      </w:tr>
      <w:tr>
        <w:tc>
          <w:tcPr>
            <w:tcW w:type="dxa" w:w="1872"/>
          </w:tcPr>
          <w:p>
            <w:pPr>
              <w:spacing w:line="240" w:lineRule="auto"/>
            </w:pPr>
            <w:r>
              <w:rPr>
                <w:sz w:val="18"/>
              </w:rPr>
            </w:r>
            <w:r>
              <w:rPr>
                <w:sz w:val="18"/>
              </w:rPr>
              <w:t>15</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Trend and forecast chart</w:t>
            </w:r>
          </w:p>
        </w:tc>
        <w:tc>
          <w:tcPr>
            <w:tcW w:type="dxa" w:w="1872"/>
          </w:tcPr>
          <w:p>
            <w:pPr>
              <w:spacing w:line="240" w:lineRule="auto"/>
            </w:pPr>
            <w:r>
              <w:rPr>
                <w:sz w:val="18"/>
              </w:rPr>
            </w:r>
            <w:r>
              <w:rPr>
                <w:rFonts w:ascii="Consolas" w:hAnsi="Consolas"/>
                <w:color w:val="2F6F9F"/>
                <w:sz w:val="18"/>
              </w:rPr>
              <w:t>docs/figures/cp2_fig4_forecast.png</w:t>
            </w:r>
          </w:p>
        </w:tc>
        <w:tc>
          <w:tcPr>
            <w:tcW w:type="dxa" w:w="1872"/>
          </w:tcPr>
          <w:p>
            <w:pPr>
              <w:spacing w:line="240" w:lineRule="auto"/>
            </w:pPr>
            <w:r>
              <w:rPr>
                <w:sz w:val="18"/>
              </w:rPr>
            </w:r>
            <w:r>
              <w:rPr>
                <w:sz w:val="18"/>
              </w:rPr>
              <w:t xml:space="preserve">CP2 report, </w:t>
            </w:r>
            <w:r>
              <w:rPr>
                <w:b/>
                <w:sz w:val="18"/>
              </w:rPr>
              <w:t>Figure 4</w:t>
            </w:r>
          </w:p>
        </w:tc>
      </w:tr>
      <w:tr>
        <w:tc>
          <w:tcPr>
            <w:tcW w:type="dxa" w:w="1872"/>
          </w:tcPr>
          <w:p>
            <w:pPr>
              <w:spacing w:line="240" w:lineRule="auto"/>
            </w:pPr>
            <w:r>
              <w:rPr>
                <w:sz w:val="18"/>
              </w:rPr>
            </w:r>
            <w:r>
              <w:rPr>
                <w:sz w:val="18"/>
              </w:rPr>
              <w:t>16</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Seasonal indices, forecast, accuracy</w:t>
            </w:r>
          </w:p>
        </w:tc>
        <w:tc>
          <w:tcPr>
            <w:tcW w:type="dxa" w:w="1872"/>
          </w:tcPr>
          <w:p>
            <w:pPr>
              <w:spacing w:line="240" w:lineRule="auto"/>
            </w:pPr>
            <w:r>
              <w:rPr>
                <w:sz w:val="18"/>
              </w:rPr>
            </w:r>
            <w:r>
              <w:rPr>
                <w:sz w:val="18"/>
              </w:rPr>
              <w:t>Workbook, Forecast</w:t>
            </w:r>
          </w:p>
        </w:tc>
        <w:tc>
          <w:tcPr>
            <w:tcW w:type="dxa" w:w="1872"/>
          </w:tcPr>
          <w:p>
            <w:pPr>
              <w:spacing w:line="240" w:lineRule="auto"/>
            </w:pPr>
            <w:r>
              <w:rPr>
                <w:sz w:val="18"/>
              </w:rPr>
            </w:r>
            <w:r>
              <w:rPr>
                <w:sz w:val="18"/>
              </w:rPr>
              <w:t>CP2 report, Task 2.5</w:t>
            </w:r>
          </w:p>
        </w:tc>
      </w:tr>
      <w:tr>
        <w:tc>
          <w:tcPr>
            <w:tcW w:type="dxa" w:w="1872"/>
          </w:tcPr>
          <w:p>
            <w:pPr>
              <w:spacing w:line="240" w:lineRule="auto"/>
            </w:pPr>
            <w:r>
              <w:rPr>
                <w:sz w:val="18"/>
              </w:rPr>
            </w:r>
            <w:r>
              <w:rPr>
                <w:sz w:val="18"/>
              </w:rPr>
              <w:t>17</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The correction</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CP2 report, section 2</w:t>
            </w:r>
          </w:p>
        </w:tc>
      </w:tr>
      <w:tr>
        <w:tc>
          <w:tcPr>
            <w:tcW w:type="dxa" w:w="1872"/>
          </w:tcPr>
          <w:p>
            <w:pPr>
              <w:spacing w:line="240" w:lineRule="auto"/>
            </w:pPr>
            <w:r>
              <w:rPr>
                <w:sz w:val="18"/>
              </w:rPr>
            </w:r>
            <w:r>
              <w:rPr>
                <w:sz w:val="18"/>
              </w:rPr>
              <w:t>18</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Findings summary</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Key Findings</w:t>
            </w:r>
          </w:p>
        </w:tc>
      </w:tr>
    </w:tbl>
    <w:p>
      <w:pPr>
        <w:spacing w:after="200" w:line="240" w:lineRule="auto"/>
        <w:jc w:val="center"/>
      </w:pPr>
      <w:r>
        <w:rPr>
          <w:i/>
          <w:color w:val="7B8994"/>
          <w:sz w:val="20"/>
        </w:rPr>
        <w:t>Table 2. Exhibit index — for Alber, editing</w:t>
      </w:r>
    </w:p>
    <w:p>
      <w:r>
        <w:t xml:space="preserve">Exhibits 12 and 13 are the ones most easily swapped: the </w:t>
      </w:r>
      <w:r>
        <w:rPr>
          <w:b/>
        </w:rPr>
        <w:t>regression</w:t>
      </w:r>
      <w:r>
        <w:t xml:space="preserve"> scatter is monthly orders against monthly revenue with a steep fitted line, and the </w:t>
      </w:r>
      <w:r>
        <w:rPr>
          <w:b/>
        </w:rPr>
        <w:t>no-correlation</w:t>
      </w:r>
      <w:r>
        <w:t xml:space="preserve"> scatter is quantity against amount with a flat one. The file names are the reverse of the report's figure order, so go by the file name.</w:t>
      </w:r>
    </w:p>
    <w:p>
      <w:r>
        <w:t>Assembly is simply Parts 1 to 5 in order. Normalise the audio levels across the three speakers first, and put a two-second title card at the head of each part carrying the part number, the topic and the speaker's name.</w:t>
      </w:r>
    </w:p>
    <w:p>
      <w:pPr>
        <w:pStyle w:val="Heading1"/>
      </w:pPr>
      <w:r>
        <w:t>Part 2 — Julebeth</w:t>
      </w:r>
    </w:p>
    <w:p>
      <w:r>
        <w:rPr>
          <w:i/>
        </w:rPr>
        <w:t>[The raw file — have the CSV open, or show this extract.]</w:t>
      </w:r>
    </w:p>
    <w:tbl>
      <w:tblPr>
        <w:tblStyle w:val="LightGrid-Accent1"/>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r>
            <w:r>
              <w:rPr>
                <w:b/>
              </w:rPr>
              <w:t>Order ID</w:t>
            </w:r>
          </w:p>
        </w:tc>
        <w:tc>
          <w:tcPr>
            <w:tcW w:type="dxa" w:w="851"/>
          </w:tcPr>
          <w:p>
            <w:r>
              <w:rPr>
                <w:b/>
              </w:rPr>
            </w:r>
            <w:r>
              <w:rPr>
                <w:b/>
              </w:rPr>
              <w:t>Amount</w:t>
            </w:r>
          </w:p>
        </w:tc>
        <w:tc>
          <w:tcPr>
            <w:tcW w:type="dxa" w:w="851"/>
          </w:tcPr>
          <w:p>
            <w:r>
              <w:rPr>
                <w:b/>
              </w:rPr>
            </w:r>
            <w:r>
              <w:rPr>
                <w:b/>
              </w:rPr>
              <w:t>Profit</w:t>
            </w:r>
          </w:p>
        </w:tc>
        <w:tc>
          <w:tcPr>
            <w:tcW w:type="dxa" w:w="851"/>
          </w:tcPr>
          <w:p>
            <w:r>
              <w:rPr>
                <w:b/>
              </w:rPr>
            </w:r>
            <w:r>
              <w:rPr>
                <w:b/>
              </w:rPr>
              <w:t>Qty</w:t>
            </w:r>
          </w:p>
        </w:tc>
        <w:tc>
          <w:tcPr>
            <w:tcW w:type="dxa" w:w="851"/>
          </w:tcPr>
          <w:p>
            <w:r>
              <w:rPr>
                <w:b/>
              </w:rPr>
            </w:r>
            <w:r>
              <w:rPr>
                <w:b/>
              </w:rPr>
              <w:t>Category</w:t>
            </w:r>
          </w:p>
        </w:tc>
        <w:tc>
          <w:tcPr>
            <w:tcW w:type="dxa" w:w="851"/>
          </w:tcPr>
          <w:p>
            <w:r>
              <w:rPr>
                <w:b/>
              </w:rPr>
            </w:r>
            <w:r>
              <w:rPr>
                <w:b/>
              </w:rPr>
              <w:t>Sub-Category</w:t>
            </w:r>
          </w:p>
        </w:tc>
        <w:tc>
          <w:tcPr>
            <w:tcW w:type="dxa" w:w="851"/>
          </w:tcPr>
          <w:p>
            <w:r>
              <w:rPr>
                <w:b/>
              </w:rPr>
            </w:r>
            <w:r>
              <w:rPr>
                <w:b/>
              </w:rPr>
              <w:t>Payment</w:t>
            </w:r>
          </w:p>
        </w:tc>
        <w:tc>
          <w:tcPr>
            <w:tcW w:type="dxa" w:w="851"/>
          </w:tcPr>
          <w:p>
            <w:r>
              <w:rPr>
                <w:b/>
              </w:rPr>
            </w:r>
            <w:r>
              <w:rPr>
                <w:b/>
              </w:rPr>
              <w:t>Order Date</w:t>
            </w:r>
          </w:p>
        </w:tc>
        <w:tc>
          <w:tcPr>
            <w:tcW w:type="dxa" w:w="851"/>
          </w:tcPr>
          <w:p>
            <w:r>
              <w:rPr>
                <w:b/>
              </w:rPr>
            </w:r>
            <w:r>
              <w:rPr>
                <w:b/>
              </w:rPr>
              <w:t>Customer</w:t>
            </w:r>
          </w:p>
        </w:tc>
        <w:tc>
          <w:tcPr>
            <w:tcW w:type="dxa" w:w="851"/>
          </w:tcPr>
          <w:p>
            <w:r>
              <w:rPr>
                <w:b/>
              </w:rPr>
            </w:r>
            <w:r>
              <w:rPr>
                <w:b/>
              </w:rPr>
              <w:t>State</w:t>
            </w:r>
          </w:p>
        </w:tc>
        <w:tc>
          <w:tcPr>
            <w:tcW w:type="dxa" w:w="851"/>
          </w:tcPr>
          <w:p>
            <w:r>
              <w:rPr>
                <w:b/>
              </w:rPr>
            </w:r>
            <w:r>
              <w:rPr>
                <w:b/>
              </w:rPr>
              <w:t>City</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2023-06-27</w:t>
            </w:r>
          </w:p>
        </w:tc>
        <w:tc>
          <w:tcPr>
            <w:tcW w:type="dxa" w:w="851"/>
          </w:tcPr>
          <w:p>
            <w:pPr>
              <w:spacing w:line="240" w:lineRule="auto"/>
            </w:pPr>
            <w:r>
              <w:rPr>
                <w:sz w:val="18"/>
              </w:rPr>
            </w:r>
            <w:r>
              <w:rPr>
                <w:sz w:val="18"/>
              </w:rPr>
              <w:t>David Padilla</w:t>
            </w:r>
          </w:p>
        </w:tc>
        <w:tc>
          <w:tcPr>
            <w:tcW w:type="dxa" w:w="851"/>
          </w:tcPr>
          <w:p>
            <w:pPr>
              <w:spacing w:line="240" w:lineRule="auto"/>
            </w:pPr>
            <w:r>
              <w:rPr>
                <w:sz w:val="18"/>
              </w:rPr>
            </w:r>
            <w:r>
              <w:rPr>
                <w:sz w:val="18"/>
              </w:rPr>
              <w:t>Florida</w:t>
            </w:r>
          </w:p>
        </w:tc>
        <w:tc>
          <w:tcPr>
            <w:tcW w:type="dxa" w:w="851"/>
          </w:tcPr>
          <w:p>
            <w:pPr>
              <w:spacing w:line="240" w:lineRule="auto"/>
            </w:pPr>
            <w:r>
              <w:rPr>
                <w:sz w:val="18"/>
              </w:rPr>
            </w:r>
            <w:r>
              <w:rPr>
                <w:sz w:val="18"/>
              </w:rPr>
              <w:t>Miami</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2024-12-27</w:t>
            </w:r>
          </w:p>
        </w:tc>
        <w:tc>
          <w:tcPr>
            <w:tcW w:type="dxa" w:w="851"/>
          </w:tcPr>
          <w:p>
            <w:pPr>
              <w:spacing w:line="240" w:lineRule="auto"/>
            </w:pPr>
            <w:r>
              <w:rPr>
                <w:sz w:val="18"/>
              </w:rPr>
            </w:r>
            <w:r>
              <w:rPr>
                <w:sz w:val="18"/>
              </w:rPr>
              <w:t>Connor Morgan</w:t>
            </w:r>
          </w:p>
        </w:tc>
        <w:tc>
          <w:tcPr>
            <w:tcW w:type="dxa" w:w="851"/>
          </w:tcPr>
          <w:p>
            <w:pPr>
              <w:spacing w:line="240" w:lineRule="auto"/>
            </w:pPr>
            <w:r>
              <w:rPr>
                <w:sz w:val="18"/>
              </w:rPr>
            </w:r>
            <w:r>
              <w:rPr>
                <w:sz w:val="18"/>
              </w:rPr>
              <w:t>Illinois</w:t>
            </w:r>
          </w:p>
        </w:tc>
        <w:tc>
          <w:tcPr>
            <w:tcW w:type="dxa" w:w="851"/>
          </w:tcPr>
          <w:p>
            <w:pPr>
              <w:spacing w:line="240" w:lineRule="auto"/>
            </w:pPr>
            <w:r>
              <w:rPr>
                <w:sz w:val="18"/>
              </w:rPr>
            </w:r>
            <w:r>
              <w:rPr>
                <w:sz w:val="18"/>
              </w:rPr>
              <w:t>Chicago</w:t>
            </w:r>
          </w:p>
        </w:tc>
      </w:tr>
    </w:tbl>
    <w:p>
      <w:pPr>
        <w:spacing w:after="200" w:line="240" w:lineRule="auto"/>
        <w:jc w:val="center"/>
      </w:pPr>
      <w:r>
        <w:rPr>
          <w:i/>
          <w:color w:val="7B8994"/>
          <w:sz w:val="20"/>
        </w:rPr>
        <w:t>Table 3. The raw export. The first two rows share one Order ID across different dates and customers.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