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Mardy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and the tables and charts under them are the exhibits to have on screen at that moment. Do not read any of it aloud — the spoken lines are the plain paragraphs.</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2"/>
      </w:pPr>
      <w:r>
        <w:t>Exhibit index — for Alber, editing</w:t>
      </w:r>
    </w:p>
    <w:p>
      <w:r>
        <w:t xml:space="preserve">Every exhibit is reproduced in this script at the point it is referred to, so you can work from here alone. This table says where each one comes from if you want the original — and note that the </w:t>
      </w:r>
      <w:r>
        <w:rPr>
          <w:b/>
        </w:rPr>
        <w:t>figure numbers in the reports do not match the file names</w:t>
      </w:r>
      <w:r>
        <w:t>: Checkpoint 1's Figure 1 is the ERD, not the trend chart.</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w:t>
            </w:r>
          </w:p>
        </w:tc>
        <w:tc>
          <w:tcPr>
            <w:tcW w:type="dxa" w:w="1872"/>
          </w:tcPr>
          <w:p>
            <w:r>
              <w:rPr>
                <w:b/>
              </w:rPr>
            </w:r>
            <w:r>
              <w:rPr>
                <w:b/>
              </w:rPr>
              <w:t>Part</w:t>
            </w:r>
          </w:p>
        </w:tc>
        <w:tc>
          <w:tcPr>
            <w:tcW w:type="dxa" w:w="1872"/>
          </w:tcPr>
          <w:p>
            <w:r>
              <w:rPr>
                <w:b/>
              </w:rPr>
            </w:r>
            <w:r>
              <w:rPr>
                <w:b/>
              </w:rPr>
              <w:t>Exhibit</w:t>
            </w:r>
          </w:p>
        </w:tc>
        <w:tc>
          <w:tcPr>
            <w:tcW w:type="dxa" w:w="1872"/>
          </w:tcPr>
          <w:p>
            <w:r>
              <w:rPr>
                <w:b/>
              </w:rPr>
            </w:r>
            <w:r>
              <w:rPr>
                <w:b/>
              </w:rPr>
              <w:t>File</w:t>
            </w:r>
          </w:p>
        </w:tc>
        <w:tc>
          <w:tcPr>
            <w:tcW w:type="dxa" w:w="1872"/>
          </w:tcPr>
          <w:p>
            <w:r>
              <w:rPr>
                <w:b/>
              </w:rPr>
            </w:r>
            <w:r>
              <w:rPr>
                <w:b/>
              </w:rPr>
              <w:t>In the reports</w:t>
            </w:r>
          </w:p>
        </w:tc>
      </w:tr>
      <w:tr>
        <w:tc>
          <w:tcPr>
            <w:tcW w:type="dxa" w:w="1872"/>
          </w:tcPr>
          <w:p>
            <w:pPr>
              <w:spacing w:line="240" w:lineRule="auto"/>
            </w:pPr>
            <w:r>
              <w:rPr>
                <w:sz w:val="18"/>
              </w:rPr>
            </w:r>
            <w:r>
              <w:rPr>
                <w:sz w:val="18"/>
              </w:rPr>
              <w:t>1</w:t>
            </w:r>
          </w:p>
        </w:tc>
        <w:tc>
          <w:tcPr>
            <w:tcW w:type="dxa" w:w="1872"/>
          </w:tcPr>
          <w:p>
            <w:pPr>
              <w:spacing w:line="240" w:lineRule="auto"/>
            </w:pPr>
            <w:r>
              <w:rPr>
                <w:sz w:val="18"/>
              </w:rPr>
            </w:r>
            <w:r>
              <w:rPr>
                <w:sz w:val="18"/>
              </w:rPr>
              <w:t>1</w:t>
            </w:r>
          </w:p>
        </w:tc>
        <w:tc>
          <w:tcPr>
            <w:tcW w:type="dxa" w:w="1872"/>
          </w:tcPr>
          <w:p>
            <w:pPr>
              <w:spacing w:line="240" w:lineRule="auto"/>
            </w:pPr>
            <w:r>
              <w:rPr>
                <w:sz w:val="18"/>
              </w:rPr>
            </w:r>
            <w:r>
              <w:rPr>
                <w:sz w:val="18"/>
              </w:rPr>
              <w:t>Annual trend chart</w:t>
            </w:r>
          </w:p>
        </w:tc>
        <w:tc>
          <w:tcPr>
            <w:tcW w:type="dxa" w:w="1872"/>
          </w:tcPr>
          <w:p>
            <w:pPr>
              <w:spacing w:line="240" w:lineRule="auto"/>
            </w:pPr>
            <w:r>
              <w:rPr>
                <w:sz w:val="18"/>
              </w:rPr>
            </w:r>
            <w:r>
              <w:rPr>
                <w:rFonts w:ascii="Consolas" w:hAnsi="Consolas"/>
                <w:color w:val="2F6F9F"/>
                <w:sz w:val="18"/>
              </w:rPr>
              <w:t>docs/figures/fig1_annual_trend.png</w:t>
            </w:r>
          </w:p>
        </w:tc>
        <w:tc>
          <w:tcPr>
            <w:tcW w:type="dxa" w:w="1872"/>
          </w:tcPr>
          <w:p>
            <w:pPr>
              <w:spacing w:line="240" w:lineRule="auto"/>
            </w:pPr>
            <w:r>
              <w:rPr>
                <w:sz w:val="18"/>
              </w:rPr>
            </w:r>
            <w:r>
              <w:rPr>
                <w:sz w:val="18"/>
              </w:rPr>
              <w:t xml:space="preserve">CP1 report, </w:t>
            </w:r>
            <w:r>
              <w:rPr>
                <w:b/>
                <w:sz w:val="18"/>
              </w:rPr>
              <w:t>Figure 2</w:t>
            </w:r>
          </w:p>
        </w:tc>
      </w:tr>
      <w:tr>
        <w:tc>
          <w:tcPr>
            <w:tcW w:type="dxa" w:w="1872"/>
          </w:tcPr>
          <w:p>
            <w:pPr>
              <w:spacing w:line="240" w:lineRule="auto"/>
            </w:pPr>
            <w:r>
              <w:rPr>
                <w:sz w:val="18"/>
              </w:rPr>
            </w:r>
            <w:r>
              <w:rPr>
                <w:sz w:val="18"/>
              </w:rPr>
              <w:t>2</w:t>
            </w:r>
          </w:p>
        </w:tc>
        <w:tc>
          <w:tcPr>
            <w:tcW w:type="dxa" w:w="1872"/>
          </w:tcPr>
          <w:p>
            <w:pPr>
              <w:spacing w:line="240" w:lineRule="auto"/>
            </w:pPr>
            <w:r>
              <w:rPr>
                <w:sz w:val="18"/>
              </w:rPr>
            </w:r>
            <w:r>
              <w:rPr>
                <w:sz w:val="18"/>
              </w:rPr>
              <w:t>2</w:t>
            </w:r>
          </w:p>
        </w:tc>
        <w:tc>
          <w:tcPr>
            <w:tcW w:type="dxa" w:w="1872"/>
          </w:tcPr>
          <w:p>
            <w:pPr>
              <w:spacing w:line="240" w:lineRule="auto"/>
            </w:pPr>
            <w:r>
              <w:rPr>
                <w:sz w:val="18"/>
              </w:rPr>
            </w:r>
            <w:r>
              <w:rPr>
                <w:sz w:val="18"/>
              </w:rPr>
              <w:t>Raw file extract</w:t>
            </w:r>
          </w:p>
        </w:tc>
        <w:tc>
          <w:tcPr>
            <w:tcW w:type="dxa" w:w="1872"/>
          </w:tcPr>
          <w:p>
            <w:pPr>
              <w:spacing w:line="240" w:lineRule="auto"/>
            </w:pPr>
            <w:r>
              <w:rPr>
                <w:sz w:val="18"/>
              </w:rPr>
            </w:r>
            <w:r>
              <w:rPr>
                <w:rFonts w:ascii="Consolas" w:hAnsi="Consolas"/>
                <w:color w:val="2F6F9F"/>
                <w:sz w:val="18"/>
              </w:rPr>
              <w:t>data/raw/sales_dataset_raw.csv</w:t>
            </w:r>
          </w:p>
        </w:tc>
        <w:tc>
          <w:tcPr>
            <w:tcW w:type="dxa" w:w="1872"/>
          </w:tcPr>
          <w:p>
            <w:pPr>
              <w:spacing w:line="240" w:lineRule="auto"/>
            </w:pPr>
            <w:r>
              <w:rPr>
                <w:sz w:val="18"/>
              </w:rPr>
            </w:r>
            <w:r>
              <w:rPr>
                <w:sz w:val="18"/>
              </w:rPr>
              <w:t>CP1 report, Raw dataset preview</w:t>
            </w:r>
          </w:p>
        </w:tc>
      </w:tr>
      <w:tr>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ERD</w:t>
            </w:r>
          </w:p>
        </w:tc>
        <w:tc>
          <w:tcPr>
            <w:tcW w:type="dxa" w:w="1872"/>
          </w:tcPr>
          <w:p>
            <w:pPr>
              <w:spacing w:line="240" w:lineRule="auto"/>
            </w:pPr>
            <w:r>
              <w:rPr>
                <w:sz w:val="18"/>
              </w:rPr>
            </w:r>
            <w:r>
              <w:rPr>
                <w:rFonts w:ascii="Consolas" w:hAnsi="Consolas"/>
                <w:color w:val="2F6F9F"/>
                <w:sz w:val="18"/>
              </w:rPr>
              <w:t>docs/figures/erd.png</w:t>
            </w:r>
          </w:p>
        </w:tc>
        <w:tc>
          <w:tcPr>
            <w:tcW w:type="dxa" w:w="1872"/>
          </w:tcPr>
          <w:p>
            <w:pPr>
              <w:spacing w:line="240" w:lineRule="auto"/>
            </w:pPr>
            <w:r>
              <w:rPr>
                <w:sz w:val="18"/>
              </w:rPr>
            </w:r>
            <w:r>
              <w:rPr>
                <w:sz w:val="18"/>
              </w:rPr>
              <w:t xml:space="preserve">CP1 report, </w:t>
            </w:r>
            <w:r>
              <w:rPr>
                <w:b/>
                <w:sz w:val="18"/>
              </w:rPr>
              <w:t>Figure 1</w:t>
            </w:r>
          </w:p>
        </w:tc>
      </w:tr>
      <w:tr>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Loaded row counts</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CP1 report, Populated row counts</w:t>
            </w:r>
          </w:p>
        </w:tc>
      </w:tr>
      <w:tr>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Q3 annual trend</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Q3</w:t>
            </w:r>
          </w:p>
        </w:tc>
      </w:tr>
      <w:tr>
        <w:tc>
          <w:tcPr>
            <w:tcW w:type="dxa" w:w="1872"/>
          </w:tcPr>
          <w:p>
            <w:pPr>
              <w:spacing w:line="240" w:lineRule="auto"/>
            </w:pPr>
            <w:r>
              <w:rPr>
                <w:sz w:val="18"/>
              </w:rPr>
            </w:r>
            <w:r>
              <w:rPr>
                <w:sz w:val="18"/>
              </w:rPr>
              <w:t>6</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Q7 sub-category change</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Q7</w:t>
            </w:r>
          </w:p>
        </w:tc>
      </w:tr>
      <w:tr>
        <w:tc>
          <w:tcPr>
            <w:tcW w:type="dxa" w:w="1872"/>
          </w:tcPr>
          <w:p>
            <w:pPr>
              <w:spacing w:line="240" w:lineRule="auto"/>
            </w:pPr>
            <w:r>
              <w:rPr>
                <w:sz w:val="18"/>
              </w:rPr>
            </w:r>
            <w:r>
              <w:rPr>
                <w:sz w:val="18"/>
              </w:rPr>
              <w:t>7</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Q8 quarter shares</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Q8</w:t>
            </w:r>
          </w:p>
        </w:tc>
      </w:tr>
      <w:tr>
        <w:tc>
          <w:tcPr>
            <w:tcW w:type="dxa" w:w="1872"/>
          </w:tcPr>
          <w:p>
            <w:pPr>
              <w:spacing w:line="240" w:lineRule="auto"/>
            </w:pPr>
            <w:r>
              <w:rPr>
                <w:sz w:val="18"/>
              </w:rPr>
            </w:r>
            <w:r>
              <w:rPr>
                <w:sz w:val="18"/>
              </w:rPr>
              <w:t>8</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Workbook, Cleaned Data sheet</w:t>
            </w:r>
          </w:p>
        </w:tc>
        <w:tc>
          <w:tcPr>
            <w:tcW w:type="dxa" w:w="1872"/>
          </w:tcPr>
          <w:p>
            <w:pPr>
              <w:spacing w:line="240" w:lineRule="auto"/>
            </w:pPr>
            <w:r>
              <w:rPr>
                <w:sz w:val="18"/>
              </w:rPr>
            </w:r>
            <w:r>
              <w:rPr>
                <w:rFonts w:ascii="Consolas" w:hAnsi="Consolas"/>
                <w:color w:val="2F6F9F"/>
                <w:sz w:val="18"/>
              </w:rPr>
              <w:t>reports/Checkpoint_2_Workbook.xlsx</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9</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A PivotChart</w:t>
            </w:r>
          </w:p>
        </w:tc>
        <w:tc>
          <w:tcPr>
            <w:tcW w:type="dxa" w:w="1872"/>
          </w:tcPr>
          <w:p>
            <w:pPr>
              <w:spacing w:line="240" w:lineRule="auto"/>
            </w:pPr>
            <w:r>
              <w:rPr>
                <w:sz w:val="18"/>
              </w:rPr>
            </w:r>
            <w:r>
              <w:rPr>
                <w:rFonts w:ascii="Consolas" w:hAnsi="Consolas"/>
                <w:color w:val="2F6F9F"/>
                <w:sz w:val="18"/>
              </w:rPr>
              <w:t>Checkpoint_2_Workbook.xlsx</w:t>
            </w:r>
            <w:r>
              <w:rPr>
                <w:sz w:val="18"/>
              </w:rPr>
              <w:t>, sheets PivotTable 1–3</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10</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Descriptive statistics</w:t>
            </w:r>
          </w:p>
        </w:tc>
        <w:tc>
          <w:tcPr>
            <w:tcW w:type="dxa" w:w="1872"/>
          </w:tcPr>
          <w:p>
            <w:pPr>
              <w:spacing w:line="240" w:lineRule="auto"/>
            </w:pPr>
            <w:r>
              <w:rPr>
                <w:sz w:val="18"/>
              </w:rPr>
            </w:r>
            <w:r>
              <w:rPr>
                <w:sz w:val="18"/>
              </w:rPr>
              <w:t>Workbook, Descriptive Stats</w:t>
            </w:r>
          </w:p>
        </w:tc>
        <w:tc>
          <w:tcPr>
            <w:tcW w:type="dxa" w:w="1872"/>
          </w:tcPr>
          <w:p>
            <w:pPr>
              <w:spacing w:line="240" w:lineRule="auto"/>
            </w:pPr>
            <w:r>
              <w:rPr>
                <w:sz w:val="18"/>
              </w:rPr>
            </w:r>
            <w:r>
              <w:rPr>
                <w:sz w:val="18"/>
              </w:rPr>
              <w:t>CP2 report, Task 2.2</w:t>
            </w:r>
          </w:p>
        </w:tc>
      </w:tr>
      <w:tr>
        <w:tc>
          <w:tcPr>
            <w:tcW w:type="dxa" w:w="1872"/>
          </w:tcPr>
          <w:p>
            <w:pPr>
              <w:spacing w:line="240" w:lineRule="auto"/>
            </w:pPr>
            <w:r>
              <w:rPr>
                <w:sz w:val="18"/>
              </w:rPr>
            </w:r>
            <w:r>
              <w:rPr>
                <w:sz w:val="18"/>
              </w:rPr>
              <w:t>11</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Amount histogram</w:t>
            </w:r>
          </w:p>
        </w:tc>
        <w:tc>
          <w:tcPr>
            <w:tcW w:type="dxa" w:w="1872"/>
          </w:tcPr>
          <w:p>
            <w:pPr>
              <w:spacing w:line="240" w:lineRule="auto"/>
            </w:pPr>
            <w:r>
              <w:rPr>
                <w:sz w:val="18"/>
              </w:rPr>
            </w:r>
            <w:r>
              <w:rPr>
                <w:rFonts w:ascii="Consolas" w:hAnsi="Consolas"/>
                <w:color w:val="2F6F9F"/>
                <w:sz w:val="18"/>
              </w:rPr>
              <w:t>docs/figures/cp2_fig1_histogram.png</w:t>
            </w:r>
          </w:p>
        </w:tc>
        <w:tc>
          <w:tcPr>
            <w:tcW w:type="dxa" w:w="1872"/>
          </w:tcPr>
          <w:p>
            <w:pPr>
              <w:spacing w:line="240" w:lineRule="auto"/>
            </w:pPr>
            <w:r>
              <w:rPr>
                <w:sz w:val="18"/>
              </w:rPr>
            </w:r>
            <w:r>
              <w:rPr>
                <w:sz w:val="18"/>
              </w:rPr>
              <w:t xml:space="preserve">CP2 report, </w:t>
            </w:r>
            <w:r>
              <w:rPr>
                <w:b/>
                <w:sz w:val="18"/>
              </w:rPr>
              <w:t>Figure 1</w:t>
            </w:r>
          </w:p>
        </w:tc>
      </w:tr>
      <w:tr>
        <w:tc>
          <w:tcPr>
            <w:tcW w:type="dxa" w:w="1872"/>
          </w:tcPr>
          <w:p>
            <w:pPr>
              <w:spacing w:line="240" w:lineRule="auto"/>
            </w:pPr>
            <w:r>
              <w:rPr>
                <w:sz w:val="18"/>
              </w:rPr>
            </w:r>
            <w:r>
              <w:rPr>
                <w:sz w:val="18"/>
              </w:rPr>
              <w:t>12</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Orders vs revenue scatter</w:t>
            </w:r>
          </w:p>
        </w:tc>
        <w:tc>
          <w:tcPr>
            <w:tcW w:type="dxa" w:w="1872"/>
          </w:tcPr>
          <w:p>
            <w:pPr>
              <w:spacing w:line="240" w:lineRule="auto"/>
            </w:pPr>
            <w:r>
              <w:rPr>
                <w:sz w:val="18"/>
              </w:rPr>
            </w:r>
            <w:r>
              <w:rPr>
                <w:rFonts w:ascii="Consolas" w:hAnsi="Consolas"/>
                <w:color w:val="2F6F9F"/>
                <w:sz w:val="18"/>
              </w:rPr>
              <w:t>docs/figures/cp2_fig2_regression.png</w:t>
            </w:r>
          </w:p>
        </w:tc>
        <w:tc>
          <w:tcPr>
            <w:tcW w:type="dxa" w:w="1872"/>
          </w:tcPr>
          <w:p>
            <w:pPr>
              <w:spacing w:line="240" w:lineRule="auto"/>
            </w:pPr>
            <w:r>
              <w:rPr>
                <w:sz w:val="18"/>
              </w:rPr>
            </w:r>
            <w:r>
              <w:rPr>
                <w:sz w:val="18"/>
              </w:rPr>
              <w:t xml:space="preserve">CP2 report, </w:t>
            </w:r>
            <w:r>
              <w:rPr>
                <w:b/>
                <w:sz w:val="18"/>
              </w:rPr>
              <w:t>Figure 3</w:t>
            </w:r>
          </w:p>
        </w:tc>
      </w:tr>
      <w:tr>
        <w:tc>
          <w:tcPr>
            <w:tcW w:type="dxa" w:w="1872"/>
          </w:tcPr>
          <w:p>
            <w:pPr>
              <w:spacing w:line="240" w:lineRule="auto"/>
            </w:pPr>
            <w:r>
              <w:rPr>
                <w:sz w:val="18"/>
              </w:rPr>
            </w:r>
            <w:r>
              <w:rPr>
                <w:sz w:val="18"/>
              </w:rPr>
              <w:t>13</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Quantity vs amount scatter</w:t>
            </w:r>
          </w:p>
        </w:tc>
        <w:tc>
          <w:tcPr>
            <w:tcW w:type="dxa" w:w="1872"/>
          </w:tcPr>
          <w:p>
            <w:pPr>
              <w:spacing w:line="240" w:lineRule="auto"/>
            </w:pPr>
            <w:r>
              <w:rPr>
                <w:sz w:val="18"/>
              </w:rPr>
            </w:r>
            <w:r>
              <w:rPr>
                <w:rFonts w:ascii="Consolas" w:hAnsi="Consolas"/>
                <w:color w:val="2F6F9F"/>
                <w:sz w:val="18"/>
              </w:rPr>
              <w:t>docs/figures/cp2_fig3_no_correlation.png</w:t>
            </w:r>
          </w:p>
        </w:tc>
        <w:tc>
          <w:tcPr>
            <w:tcW w:type="dxa" w:w="1872"/>
          </w:tcPr>
          <w:p>
            <w:pPr>
              <w:spacing w:line="240" w:lineRule="auto"/>
            </w:pPr>
            <w:r>
              <w:rPr>
                <w:sz w:val="18"/>
              </w:rPr>
            </w:r>
            <w:r>
              <w:rPr>
                <w:sz w:val="18"/>
              </w:rPr>
              <w:t xml:space="preserve">CP2 report, </w:t>
            </w:r>
            <w:r>
              <w:rPr>
                <w:b/>
                <w:sz w:val="18"/>
              </w:rPr>
              <w:t>Figure 2</w:t>
            </w:r>
          </w:p>
        </w:tc>
      </w:tr>
      <w:tr>
        <w:tc>
          <w:tcPr>
            <w:tcW w:type="dxa" w:w="1872"/>
          </w:tcPr>
          <w:p>
            <w:pPr>
              <w:spacing w:line="240" w:lineRule="auto"/>
            </w:pPr>
            <w:r>
              <w:rPr>
                <w:sz w:val="18"/>
              </w:rPr>
            </w:r>
            <w:r>
              <w:rPr>
                <w:sz w:val="18"/>
              </w:rPr>
              <w:t>14</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Regression output</w:t>
            </w:r>
          </w:p>
        </w:tc>
        <w:tc>
          <w:tcPr>
            <w:tcW w:type="dxa" w:w="1872"/>
          </w:tcPr>
          <w:p>
            <w:pPr>
              <w:spacing w:line="240" w:lineRule="auto"/>
            </w:pPr>
            <w:r>
              <w:rPr>
                <w:sz w:val="18"/>
              </w:rPr>
            </w:r>
            <w:r>
              <w:rPr>
                <w:sz w:val="18"/>
              </w:rPr>
              <w:t>Workbook, Regression</w:t>
            </w:r>
          </w:p>
        </w:tc>
        <w:tc>
          <w:tcPr>
            <w:tcW w:type="dxa" w:w="1872"/>
          </w:tcPr>
          <w:p>
            <w:pPr>
              <w:spacing w:line="240" w:lineRule="auto"/>
            </w:pPr>
            <w:r>
              <w:rPr>
                <w:sz w:val="18"/>
              </w:rPr>
            </w:r>
            <w:r>
              <w:rPr>
                <w:sz w:val="18"/>
              </w:rPr>
              <w:t>CP2 report, Task 2.4</w:t>
            </w:r>
          </w:p>
        </w:tc>
      </w:tr>
      <w:tr>
        <w:tc>
          <w:tcPr>
            <w:tcW w:type="dxa" w:w="1872"/>
          </w:tcPr>
          <w:p>
            <w:pPr>
              <w:spacing w:line="240" w:lineRule="auto"/>
            </w:pPr>
            <w:r>
              <w:rPr>
                <w:sz w:val="18"/>
              </w:rPr>
            </w:r>
            <w:r>
              <w:rPr>
                <w:sz w:val="18"/>
              </w:rPr>
              <w:t>15</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Trend and forecast chart</w:t>
            </w:r>
          </w:p>
        </w:tc>
        <w:tc>
          <w:tcPr>
            <w:tcW w:type="dxa" w:w="1872"/>
          </w:tcPr>
          <w:p>
            <w:pPr>
              <w:spacing w:line="240" w:lineRule="auto"/>
            </w:pPr>
            <w:r>
              <w:rPr>
                <w:sz w:val="18"/>
              </w:rPr>
            </w:r>
            <w:r>
              <w:rPr>
                <w:rFonts w:ascii="Consolas" w:hAnsi="Consolas"/>
                <w:color w:val="2F6F9F"/>
                <w:sz w:val="18"/>
              </w:rPr>
              <w:t>docs/figures/cp2_fig4_forecast.png</w:t>
            </w:r>
          </w:p>
        </w:tc>
        <w:tc>
          <w:tcPr>
            <w:tcW w:type="dxa" w:w="1872"/>
          </w:tcPr>
          <w:p>
            <w:pPr>
              <w:spacing w:line="240" w:lineRule="auto"/>
            </w:pPr>
            <w:r>
              <w:rPr>
                <w:sz w:val="18"/>
              </w:rPr>
            </w:r>
            <w:r>
              <w:rPr>
                <w:sz w:val="18"/>
              </w:rPr>
              <w:t xml:space="preserve">CP2 report, </w:t>
            </w:r>
            <w:r>
              <w:rPr>
                <w:b/>
                <w:sz w:val="18"/>
              </w:rPr>
              <w:t>Figure 4</w:t>
            </w:r>
          </w:p>
        </w:tc>
      </w:tr>
      <w:tr>
        <w:tc>
          <w:tcPr>
            <w:tcW w:type="dxa" w:w="1872"/>
          </w:tcPr>
          <w:p>
            <w:pPr>
              <w:spacing w:line="240" w:lineRule="auto"/>
            </w:pPr>
            <w:r>
              <w:rPr>
                <w:sz w:val="18"/>
              </w:rPr>
            </w:r>
            <w:r>
              <w:rPr>
                <w:sz w:val="18"/>
              </w:rPr>
              <w:t>16</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Seasonal indices, forecast, accuracy</w:t>
            </w:r>
          </w:p>
        </w:tc>
        <w:tc>
          <w:tcPr>
            <w:tcW w:type="dxa" w:w="1872"/>
          </w:tcPr>
          <w:p>
            <w:pPr>
              <w:spacing w:line="240" w:lineRule="auto"/>
            </w:pPr>
            <w:r>
              <w:rPr>
                <w:sz w:val="18"/>
              </w:rPr>
            </w:r>
            <w:r>
              <w:rPr>
                <w:sz w:val="18"/>
              </w:rPr>
              <w:t>Workbook, Forecast</w:t>
            </w:r>
          </w:p>
        </w:tc>
        <w:tc>
          <w:tcPr>
            <w:tcW w:type="dxa" w:w="1872"/>
          </w:tcPr>
          <w:p>
            <w:pPr>
              <w:spacing w:line="240" w:lineRule="auto"/>
            </w:pPr>
            <w:r>
              <w:rPr>
                <w:sz w:val="18"/>
              </w:rPr>
            </w:r>
            <w:r>
              <w:rPr>
                <w:sz w:val="18"/>
              </w:rPr>
              <w:t>CP2 report, Task 2.5</w:t>
            </w:r>
          </w:p>
        </w:tc>
      </w:tr>
      <w:tr>
        <w:tc>
          <w:tcPr>
            <w:tcW w:type="dxa" w:w="1872"/>
          </w:tcPr>
          <w:p>
            <w:pPr>
              <w:spacing w:line="240" w:lineRule="auto"/>
            </w:pPr>
            <w:r>
              <w:rPr>
                <w:sz w:val="18"/>
              </w:rPr>
            </w:r>
            <w:r>
              <w:rPr>
                <w:sz w:val="18"/>
              </w:rPr>
              <w:t>17</w:t>
            </w:r>
          </w:p>
        </w:tc>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The correction</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CP2 report, section 2</w:t>
            </w:r>
          </w:p>
        </w:tc>
      </w:tr>
      <w:tr>
        <w:tc>
          <w:tcPr>
            <w:tcW w:type="dxa" w:w="1872"/>
          </w:tcPr>
          <w:p>
            <w:pPr>
              <w:spacing w:line="240" w:lineRule="auto"/>
            </w:pPr>
            <w:r>
              <w:rPr>
                <w:sz w:val="18"/>
              </w:rPr>
            </w:r>
            <w:r>
              <w:rPr>
                <w:sz w:val="18"/>
              </w:rPr>
              <w:t>18</w:t>
            </w:r>
          </w:p>
        </w:tc>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Findings summary</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CP1 report, Key Findings</w:t>
            </w:r>
          </w:p>
        </w:tc>
      </w:tr>
    </w:tbl>
    <w:p>
      <w:pPr>
        <w:spacing w:after="200" w:line="240" w:lineRule="auto"/>
        <w:jc w:val="center"/>
      </w:pPr>
      <w:r>
        <w:rPr>
          <w:i/>
          <w:color w:val="7B8994"/>
          <w:sz w:val="20"/>
        </w:rPr>
        <w:t>Table 2. Exhibit index — for Alber, editing</w:t>
      </w:r>
    </w:p>
    <w:p>
      <w:r>
        <w:t xml:space="preserve">Exhibits 12 and 13 are the ones most easily swapped: the </w:t>
      </w:r>
      <w:r>
        <w:rPr>
          <w:b/>
        </w:rPr>
        <w:t>regression</w:t>
      </w:r>
      <w:r>
        <w:t xml:space="preserve"> scatter is monthly orders against monthly revenue with a steep fitted line, and the </w:t>
      </w:r>
      <w:r>
        <w:rPr>
          <w:b/>
        </w:rPr>
        <w:t>no-correlation</w:t>
      </w:r>
      <w:r>
        <w:t xml:space="preserve"> scatter is quantity against amount with a flat one. The file names are the reverse of the report's figure order, so go by the file name.</w:t>
      </w:r>
    </w:p>
    <w:p>
      <w:r>
        <w:t>Assembly is simply Parts 1 to 5 in order. Normalise the audio levels across the three speakers first, and put a two-second title card at the head of each part carrying the part number, the topic and the speaker's name.</w:t>
      </w:r>
    </w:p>
    <w:p>
      <w:pPr>
        <w:pStyle w:val="Heading1"/>
      </w:pPr>
      <w:r>
        <w:t>Part 3 — Mardy</w:t>
      </w:r>
    </w:p>
    <w:p>
      <w:r>
        <w:rPr>
          <w:i/>
        </w:rPr>
        <w:t>[The ERD — have this on screen.]</w:t>
      </w:r>
    </w:p>
    <w:p>
      <w:pPr>
        <w:jc w:val="center"/>
      </w:pPr>
      <w:r>
        <w:drawing>
          <wp:inline xmlns:a="http://schemas.openxmlformats.org/drawingml/2006/main" xmlns:pic="http://schemas.openxmlformats.org/drawingml/2006/picture">
            <wp:extent cx="5486400" cy="2879194"/>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2879194"/>
                    </a:xfrm>
                    <a:prstGeom prst="rect"/>
                  </pic:spPr>
                </pic:pic>
              </a:graphicData>
            </a:graphic>
          </wp:inline>
        </w:drawing>
      </w:r>
    </w:p>
    <w:p>
      <w:pPr>
        <w:spacing w:after="200" w:line="240" w:lineRule="auto"/>
        <w:jc w:val="center"/>
      </w:pPr>
      <w:r>
        <w:rPr>
          <w:i/>
          <w:color w:val="7B8994"/>
          <w:sz w:val="20"/>
        </w:rPr>
        <w:t>Figure 1. The star schema. One fact table, seven dimensions.</w:t>
      </w:r>
    </w:p>
    <w:p>
      <w:r>
        <w:t>I'm Mardy, and I'll take the database and the queries.</w:t>
      </w:r>
    </w:p>
    <w:p>
      <w:r>
        <w:t>So we normalised that flat file into a star schema. One fact table, seven dimension tables around it — eight in total. The fact table is sales, one row per transaction line, and around it we have customers, cities, states, categories, sub_categories, payment_modes and dates.</w:t>
      </w:r>
    </w:p>
    <w:p>
      <w:r>
        <w:t>Why a star, instead of the one table we started with? Three reasons.</w:t>
      </w:r>
    </w:p>
    <w:p>
      <w:r>
        <w:t>Consistency — in the flat file a category name is repeated on every row that uses it, so one typo creates a category that doesn't exist. In the star that name lives in one place and the fact table just carries an integer key. A typo goes from unlikely to impossible.</w:t>
      </w:r>
    </w:p>
    <w:p>
      <w:r>
        <w:t>The brief — Task 1.3 wants at least two related tables with proper primary and foreign keys. What we built has eight tables, eight primary keys, seven foreign keys, six unique constraints and four check constraints. And we tested that those constraints actually reject bad rows; we didn't just assume it.</w:t>
      </w:r>
    </w:p>
    <w:p>
      <w:r>
        <w:t>And the queries — the category trend question needs category and date sitting on the same row as the amount, and a star gives you that in one join.</w:t>
      </w:r>
    </w:p>
    <w:p>
      <w:r>
        <w:t>The dates table looks like overkill until you try to write the queries. It's there for two reasons. We never call YEAR or strftime anywhere, so the same query file runs unchanged on MySQL and on SQLite — we verified that. And it carries two flags the raw dates can't: is_complete_month and is_complete_year. Those are the fix for problem four, and they're what stops anyone from comparing a nine-month 2020 against a full 2021.</w:t>
      </w:r>
    </w:p>
    <w:p>
      <w:r>
        <w:t>One thing that cost us real time — year_month is a reserved word in MySQL. Our CREATE TABLE statement failed outright with a syntax error until we put backticks around it. And we only found that because we installed an actual MySQL server and ran the import, instead of assuming the file was fine.</w:t>
      </w:r>
    </w:p>
    <w:p>
      <w:r>
        <w:rPr>
          <w:i/>
        </w:rPr>
        <w:t>[The loaded database — show your own SHOW TABLES output, or this.]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states</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cities</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categories</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sub_categories</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payment_modes</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customers</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dates</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3. Row counts after loading. sales holds exactly the 1,194 rows of the raw file.</w:t>
      </w:r>
    </w:p>
    <w:p>
      <w:r>
        <w:t>The whole thing loads from one file — the database, all eight tables, all the data. And it ends with a verification block whose last row has to read 1,194 rows, 6,182,639 in revenue, 547 order IDs, 57 complete months, and zero orphaned rows.</w:t>
      </w:r>
    </w:p>
    <w:p>
      <w:r>
        <w:rPr>
          <w:i/>
        </w:rPr>
        <w:t>[Query 3 — show your own output, or this.]</w:t>
      </w:r>
    </w:p>
    <w:tbl>
      <w:tblPr>
        <w:tblStyle w:val="LightGrid-Accent1"/>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r>
            <w:r>
              <w:rPr>
                <w:b/>
              </w:rPr>
              <w:t>Year</w:t>
            </w:r>
          </w:p>
        </w:tc>
        <w:tc>
          <w:tcPr>
            <w:tcW w:type="dxa" w:w="1040"/>
          </w:tcPr>
          <w:p>
            <w:r>
              <w:rPr>
                <w:b/>
              </w:rPr>
            </w:r>
            <w:r>
              <w:rPr>
                <w:b/>
              </w:rPr>
              <w:t>Months</w:t>
            </w:r>
          </w:p>
        </w:tc>
        <w:tc>
          <w:tcPr>
            <w:tcW w:type="dxa" w:w="1040"/>
          </w:tcPr>
          <w:p>
            <w:r>
              <w:rPr>
                <w:b/>
              </w:rPr>
            </w:r>
            <w:r>
              <w:rPr>
                <w:b/>
              </w:rPr>
              <w:t>Lines</w:t>
            </w:r>
          </w:p>
        </w:tc>
        <w:tc>
          <w:tcPr>
            <w:tcW w:type="dxa" w:w="1040"/>
          </w:tcPr>
          <w:p>
            <w:r>
              <w:rPr>
                <w:b/>
              </w:rPr>
            </w:r>
            <w:r>
              <w:rPr>
                <w:b/>
              </w:rPr>
              <w:t>Units</w:t>
            </w:r>
          </w:p>
        </w:tc>
        <w:tc>
          <w:tcPr>
            <w:tcW w:type="dxa" w:w="1040"/>
          </w:tcPr>
          <w:p>
            <w:r>
              <w:rPr>
                <w:b/>
              </w:rPr>
            </w:r>
            <w:r>
              <w:rPr>
                <w:b/>
              </w:rPr>
              <w:t>Revenue</w:t>
            </w:r>
          </w:p>
        </w:tc>
        <w:tc>
          <w:tcPr>
            <w:tcW w:type="dxa" w:w="1040"/>
          </w:tcPr>
          <w:p>
            <w:r>
              <w:rPr>
                <w:b/>
              </w:rPr>
            </w:r>
            <w:r>
              <w:rPr>
                <w:b/>
              </w:rPr>
              <w:t>Profit</w:t>
            </w:r>
          </w:p>
        </w:tc>
        <w:tc>
          <w:tcPr>
            <w:tcW w:type="dxa" w:w="1040"/>
          </w:tcPr>
          <w:p>
            <w:r>
              <w:rPr>
                <w:b/>
              </w:rPr>
            </w:r>
            <w:r>
              <w:rPr>
                <w:b/>
              </w:rPr>
              <w:t>Revenue/month</w:t>
            </w:r>
          </w:p>
        </w:tc>
        <w:tc>
          <w:tcPr>
            <w:tcW w:type="dxa" w:w="1040"/>
          </w:tcPr>
          <w:p>
            <w:r>
              <w:rPr>
                <w:b/>
              </w:rPr>
            </w:r>
            <w:r>
              <w:rPr>
                <w:b/>
              </w:rPr>
              <w:t>Avg line</w:t>
            </w:r>
          </w:p>
        </w:tc>
        <w:tc>
          <w:tcPr>
            <w:tcW w:type="dxa" w:w="1040"/>
          </w:tcPr>
          <w:p>
            <w:r>
              <w:rPr>
                <w:b/>
              </w:rPr>
            </w:r>
            <w:r>
              <w:rPr>
                <w:b/>
              </w:rPr>
              <w:t>Margin %</w:t>
            </w:r>
          </w:p>
        </w:tc>
      </w:tr>
      <w:tr>
        <w:tc>
          <w:tcPr>
            <w:tcW w:type="dxa" w:w="1040"/>
          </w:tcPr>
          <w:p>
            <w:pPr>
              <w:spacing w:line="240" w:lineRule="auto"/>
            </w:pPr>
            <w:r>
              <w:rPr>
                <w:sz w:val="18"/>
              </w:rPr>
            </w:r>
            <w:r>
              <w:rPr>
                <w:sz w:val="18"/>
              </w:rPr>
              <w:t>2020</w:t>
            </w:r>
          </w:p>
        </w:tc>
        <w:tc>
          <w:tcPr>
            <w:tcW w:type="dxa" w:w="1040"/>
          </w:tcPr>
          <w:p>
            <w:pPr>
              <w:spacing w:line="240" w:lineRule="auto"/>
            </w:pPr>
            <w:r>
              <w:rPr>
                <w:sz w:val="18"/>
              </w:rPr>
            </w:r>
            <w:r>
              <w:rPr>
                <w:sz w:val="18"/>
              </w:rPr>
              <w:t>9</w:t>
            </w:r>
          </w:p>
        </w:tc>
        <w:tc>
          <w:tcPr>
            <w:tcW w:type="dxa" w:w="1040"/>
          </w:tcPr>
          <w:p>
            <w:pPr>
              <w:spacing w:line="240" w:lineRule="auto"/>
            </w:pPr>
            <w:r>
              <w:rPr>
                <w:sz w:val="18"/>
              </w:rPr>
            </w:r>
            <w:r>
              <w:rPr>
                <w:sz w:val="18"/>
              </w:rPr>
              <w:t>167</w:t>
            </w:r>
          </w:p>
        </w:tc>
        <w:tc>
          <w:tcPr>
            <w:tcW w:type="dxa" w:w="1040"/>
          </w:tcPr>
          <w:p>
            <w:pPr>
              <w:spacing w:line="240" w:lineRule="auto"/>
            </w:pPr>
            <w:r>
              <w:rPr>
                <w:sz w:val="18"/>
              </w:rPr>
            </w:r>
            <w:r>
              <w:rPr>
                <w:sz w:val="18"/>
              </w:rPr>
              <w:t>1,651</w:t>
            </w:r>
          </w:p>
        </w:tc>
        <w:tc>
          <w:tcPr>
            <w:tcW w:type="dxa" w:w="1040"/>
          </w:tcPr>
          <w:p>
            <w:pPr>
              <w:spacing w:line="240" w:lineRule="auto"/>
            </w:pPr>
            <w:r>
              <w:rPr>
                <w:sz w:val="18"/>
              </w:rPr>
            </w:r>
            <w:r>
              <w:rPr>
                <w:sz w:val="18"/>
              </w:rPr>
              <w:t>836,410</w:t>
            </w:r>
          </w:p>
        </w:tc>
        <w:tc>
          <w:tcPr>
            <w:tcW w:type="dxa" w:w="1040"/>
          </w:tcPr>
          <w:p>
            <w:pPr>
              <w:spacing w:line="240" w:lineRule="auto"/>
            </w:pPr>
            <w:r>
              <w:rPr>
                <w:sz w:val="18"/>
              </w:rPr>
            </w:r>
            <w:r>
              <w:rPr>
                <w:sz w:val="18"/>
              </w:rPr>
              <w:t>217,911</w:t>
            </w:r>
          </w:p>
        </w:tc>
        <w:tc>
          <w:tcPr>
            <w:tcW w:type="dxa" w:w="1040"/>
          </w:tcPr>
          <w:p>
            <w:pPr>
              <w:spacing w:line="240" w:lineRule="auto"/>
            </w:pPr>
            <w:r>
              <w:rPr>
                <w:sz w:val="18"/>
              </w:rPr>
            </w:r>
            <w:r>
              <w:rPr>
                <w:sz w:val="18"/>
              </w:rPr>
              <w:t>92,934.44</w:t>
            </w:r>
          </w:p>
        </w:tc>
        <w:tc>
          <w:tcPr>
            <w:tcW w:type="dxa" w:w="1040"/>
          </w:tcPr>
          <w:p>
            <w:pPr>
              <w:spacing w:line="240" w:lineRule="auto"/>
            </w:pPr>
            <w:r>
              <w:rPr>
                <w:sz w:val="18"/>
              </w:rPr>
            </w:r>
            <w:r>
              <w:rPr>
                <w:sz w:val="18"/>
              </w:rPr>
              <w:t>5,008.44</w:t>
            </w:r>
          </w:p>
        </w:tc>
        <w:tc>
          <w:tcPr>
            <w:tcW w:type="dxa" w:w="1040"/>
          </w:tcPr>
          <w:p>
            <w:pPr>
              <w:spacing w:line="240" w:lineRule="auto"/>
            </w:pPr>
            <w:r>
              <w:rPr>
                <w:sz w:val="18"/>
              </w:rPr>
            </w:r>
            <w:r>
              <w:rPr>
                <w:sz w:val="18"/>
              </w:rPr>
              <w:t>26.05</w:t>
            </w:r>
          </w:p>
        </w:tc>
      </w:tr>
      <w:tr>
        <w:tc>
          <w:tcPr>
            <w:tcW w:type="dxa" w:w="1040"/>
          </w:tcPr>
          <w:p>
            <w:pPr>
              <w:spacing w:line="240" w:lineRule="auto"/>
            </w:pPr>
            <w:r>
              <w:rPr>
                <w:sz w:val="18"/>
              </w:rPr>
            </w:r>
            <w:r>
              <w:rPr>
                <w:sz w:val="18"/>
              </w:rPr>
              <w:t>2021</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217</w:t>
            </w:r>
          </w:p>
        </w:tc>
        <w:tc>
          <w:tcPr>
            <w:tcW w:type="dxa" w:w="1040"/>
          </w:tcPr>
          <w:p>
            <w:pPr>
              <w:spacing w:line="240" w:lineRule="auto"/>
            </w:pPr>
            <w:r>
              <w:rPr>
                <w:sz w:val="18"/>
              </w:rPr>
            </w:r>
            <w:r>
              <w:rPr>
                <w:sz w:val="18"/>
              </w:rPr>
              <w:t>2,358</w:t>
            </w:r>
          </w:p>
        </w:tc>
        <w:tc>
          <w:tcPr>
            <w:tcW w:type="dxa" w:w="1040"/>
          </w:tcPr>
          <w:p>
            <w:pPr>
              <w:spacing w:line="240" w:lineRule="auto"/>
            </w:pPr>
            <w:r>
              <w:rPr>
                <w:sz w:val="18"/>
              </w:rPr>
            </w:r>
            <w:r>
              <w:rPr>
                <w:sz w:val="18"/>
              </w:rPr>
              <w:t>1,181,446</w:t>
            </w:r>
          </w:p>
        </w:tc>
        <w:tc>
          <w:tcPr>
            <w:tcW w:type="dxa" w:w="1040"/>
          </w:tcPr>
          <w:p>
            <w:pPr>
              <w:spacing w:line="240" w:lineRule="auto"/>
            </w:pPr>
            <w:r>
              <w:rPr>
                <w:sz w:val="18"/>
              </w:rPr>
            </w:r>
            <w:r>
              <w:rPr>
                <w:sz w:val="18"/>
              </w:rPr>
              <w:t>283,231</w:t>
            </w:r>
          </w:p>
        </w:tc>
        <w:tc>
          <w:tcPr>
            <w:tcW w:type="dxa" w:w="1040"/>
          </w:tcPr>
          <w:p>
            <w:pPr>
              <w:spacing w:line="240" w:lineRule="auto"/>
            </w:pPr>
            <w:r>
              <w:rPr>
                <w:sz w:val="18"/>
              </w:rPr>
            </w:r>
            <w:r>
              <w:rPr>
                <w:sz w:val="18"/>
              </w:rPr>
              <w:t>98,453.83</w:t>
            </w:r>
          </w:p>
        </w:tc>
        <w:tc>
          <w:tcPr>
            <w:tcW w:type="dxa" w:w="1040"/>
          </w:tcPr>
          <w:p>
            <w:pPr>
              <w:spacing w:line="240" w:lineRule="auto"/>
            </w:pPr>
            <w:r>
              <w:rPr>
                <w:sz w:val="18"/>
              </w:rPr>
            </w:r>
            <w:r>
              <w:rPr>
                <w:sz w:val="18"/>
              </w:rPr>
              <w:t>5,444.45</w:t>
            </w:r>
          </w:p>
        </w:tc>
        <w:tc>
          <w:tcPr>
            <w:tcW w:type="dxa" w:w="1040"/>
          </w:tcPr>
          <w:p>
            <w:pPr>
              <w:spacing w:line="240" w:lineRule="auto"/>
            </w:pPr>
            <w:r>
              <w:rPr>
                <w:sz w:val="18"/>
              </w:rPr>
            </w:r>
            <w:r>
              <w:rPr>
                <w:sz w:val="18"/>
              </w:rPr>
              <w:t>23.97</w:t>
            </w:r>
          </w:p>
        </w:tc>
      </w:tr>
      <w:tr>
        <w:tc>
          <w:tcPr>
            <w:tcW w:type="dxa" w:w="1040"/>
          </w:tcPr>
          <w:p>
            <w:pPr>
              <w:spacing w:line="240" w:lineRule="auto"/>
            </w:pPr>
            <w:r>
              <w:rPr>
                <w:sz w:val="18"/>
              </w:rPr>
            </w:r>
            <w:r>
              <w:rPr>
                <w:sz w:val="18"/>
              </w:rPr>
              <w:t>2022</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288</w:t>
            </w:r>
          </w:p>
        </w:tc>
        <w:tc>
          <w:tcPr>
            <w:tcW w:type="dxa" w:w="1040"/>
          </w:tcPr>
          <w:p>
            <w:pPr>
              <w:spacing w:line="240" w:lineRule="auto"/>
            </w:pPr>
            <w:r>
              <w:rPr>
                <w:sz w:val="18"/>
              </w:rPr>
            </w:r>
            <w:r>
              <w:rPr>
                <w:sz w:val="18"/>
              </w:rPr>
              <w:t>3,234</w:t>
            </w:r>
          </w:p>
        </w:tc>
        <w:tc>
          <w:tcPr>
            <w:tcW w:type="dxa" w:w="1040"/>
          </w:tcPr>
          <w:p>
            <w:pPr>
              <w:spacing w:line="240" w:lineRule="auto"/>
            </w:pPr>
            <w:r>
              <w:rPr>
                <w:sz w:val="18"/>
              </w:rPr>
            </w:r>
            <w:r>
              <w:rPr>
                <w:sz w:val="18"/>
              </w:rPr>
              <w:t>1,459,775</w:t>
            </w:r>
          </w:p>
        </w:tc>
        <w:tc>
          <w:tcPr>
            <w:tcW w:type="dxa" w:w="1040"/>
          </w:tcPr>
          <w:p>
            <w:pPr>
              <w:spacing w:line="240" w:lineRule="auto"/>
            </w:pPr>
            <w:r>
              <w:rPr>
                <w:sz w:val="18"/>
              </w:rPr>
            </w:r>
            <w:r>
              <w:rPr>
                <w:sz w:val="18"/>
              </w:rPr>
              <w:t>393,113</w:t>
            </w:r>
          </w:p>
        </w:tc>
        <w:tc>
          <w:tcPr>
            <w:tcW w:type="dxa" w:w="1040"/>
          </w:tcPr>
          <w:p>
            <w:pPr>
              <w:spacing w:line="240" w:lineRule="auto"/>
            </w:pPr>
            <w:r>
              <w:rPr>
                <w:sz w:val="18"/>
              </w:rPr>
            </w:r>
            <w:r>
              <w:rPr>
                <w:sz w:val="18"/>
              </w:rPr>
              <w:t>121,647.92</w:t>
            </w:r>
          </w:p>
        </w:tc>
        <w:tc>
          <w:tcPr>
            <w:tcW w:type="dxa" w:w="1040"/>
          </w:tcPr>
          <w:p>
            <w:pPr>
              <w:spacing w:line="240" w:lineRule="auto"/>
            </w:pPr>
            <w:r>
              <w:rPr>
                <w:sz w:val="18"/>
              </w:rPr>
            </w:r>
            <w:r>
              <w:rPr>
                <w:sz w:val="18"/>
              </w:rPr>
              <w:t>5,068.66</w:t>
            </w:r>
          </w:p>
        </w:tc>
        <w:tc>
          <w:tcPr>
            <w:tcW w:type="dxa" w:w="1040"/>
          </w:tcPr>
          <w:p>
            <w:pPr>
              <w:spacing w:line="240" w:lineRule="auto"/>
            </w:pPr>
            <w:r>
              <w:rPr>
                <w:sz w:val="18"/>
              </w:rPr>
            </w:r>
            <w:r>
              <w:rPr>
                <w:sz w:val="18"/>
              </w:rPr>
              <w:t>26.93</w:t>
            </w:r>
          </w:p>
        </w:tc>
      </w:tr>
      <w:tr>
        <w:tc>
          <w:tcPr>
            <w:tcW w:type="dxa" w:w="1040"/>
          </w:tcPr>
          <w:p>
            <w:pPr>
              <w:spacing w:line="240" w:lineRule="auto"/>
            </w:pPr>
            <w:r>
              <w:rPr>
                <w:sz w:val="18"/>
              </w:rPr>
            </w:r>
            <w:r>
              <w:rPr>
                <w:sz w:val="18"/>
              </w:rPr>
              <w:t>2023</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234</w:t>
            </w:r>
          </w:p>
        </w:tc>
        <w:tc>
          <w:tcPr>
            <w:tcW w:type="dxa" w:w="1040"/>
          </w:tcPr>
          <w:p>
            <w:pPr>
              <w:spacing w:line="240" w:lineRule="auto"/>
            </w:pPr>
            <w:r>
              <w:rPr>
                <w:sz w:val="18"/>
              </w:rPr>
            </w:r>
            <w:r>
              <w:rPr>
                <w:sz w:val="18"/>
              </w:rPr>
              <w:t>2,497</w:t>
            </w:r>
          </w:p>
        </w:tc>
        <w:tc>
          <w:tcPr>
            <w:tcW w:type="dxa" w:w="1040"/>
          </w:tcPr>
          <w:p>
            <w:pPr>
              <w:spacing w:line="240" w:lineRule="auto"/>
            </w:pPr>
            <w:r>
              <w:rPr>
                <w:sz w:val="18"/>
              </w:rPr>
            </w:r>
            <w:r>
              <w:rPr>
                <w:sz w:val="18"/>
              </w:rPr>
              <w:t>1,229,723</w:t>
            </w:r>
          </w:p>
        </w:tc>
        <w:tc>
          <w:tcPr>
            <w:tcW w:type="dxa" w:w="1040"/>
          </w:tcPr>
          <w:p>
            <w:pPr>
              <w:spacing w:line="240" w:lineRule="auto"/>
            </w:pPr>
            <w:r>
              <w:rPr>
                <w:sz w:val="18"/>
              </w:rPr>
            </w:r>
            <w:r>
              <w:rPr>
                <w:sz w:val="18"/>
              </w:rPr>
              <w:t>321,671</w:t>
            </w:r>
          </w:p>
        </w:tc>
        <w:tc>
          <w:tcPr>
            <w:tcW w:type="dxa" w:w="1040"/>
          </w:tcPr>
          <w:p>
            <w:pPr>
              <w:spacing w:line="240" w:lineRule="auto"/>
            </w:pPr>
            <w:r>
              <w:rPr>
                <w:sz w:val="18"/>
              </w:rPr>
            </w:r>
            <w:r>
              <w:rPr>
                <w:sz w:val="18"/>
              </w:rPr>
              <w:t>102,476.92</w:t>
            </w:r>
          </w:p>
        </w:tc>
        <w:tc>
          <w:tcPr>
            <w:tcW w:type="dxa" w:w="1040"/>
          </w:tcPr>
          <w:p>
            <w:pPr>
              <w:spacing w:line="240" w:lineRule="auto"/>
            </w:pPr>
            <w:r>
              <w:rPr>
                <w:sz w:val="18"/>
              </w:rPr>
            </w:r>
            <w:r>
              <w:rPr>
                <w:sz w:val="18"/>
              </w:rPr>
              <w:t>5,255.23</w:t>
            </w:r>
          </w:p>
        </w:tc>
        <w:tc>
          <w:tcPr>
            <w:tcW w:type="dxa" w:w="1040"/>
          </w:tcPr>
          <w:p>
            <w:pPr>
              <w:spacing w:line="240" w:lineRule="auto"/>
            </w:pPr>
            <w:r>
              <w:rPr>
                <w:sz w:val="18"/>
              </w:rPr>
            </w:r>
            <w:r>
              <w:rPr>
                <w:sz w:val="18"/>
              </w:rPr>
              <w:t>26.16</w:t>
            </w:r>
          </w:p>
        </w:tc>
      </w:tr>
      <w:tr>
        <w:tc>
          <w:tcPr>
            <w:tcW w:type="dxa" w:w="1040"/>
          </w:tcPr>
          <w:p>
            <w:pPr>
              <w:spacing w:line="240" w:lineRule="auto"/>
            </w:pPr>
            <w:r>
              <w:rPr>
                <w:sz w:val="18"/>
              </w:rPr>
            </w:r>
            <w:r>
              <w:rPr>
                <w:sz w:val="18"/>
              </w:rPr>
              <w:t>2024</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240</w:t>
            </w:r>
          </w:p>
        </w:tc>
        <w:tc>
          <w:tcPr>
            <w:tcW w:type="dxa" w:w="1040"/>
          </w:tcPr>
          <w:p>
            <w:pPr>
              <w:spacing w:line="240" w:lineRule="auto"/>
            </w:pPr>
            <w:r>
              <w:rPr>
                <w:sz w:val="18"/>
              </w:rPr>
            </w:r>
            <w:r>
              <w:rPr>
                <w:sz w:val="18"/>
              </w:rPr>
              <w:t>2,523</w:t>
            </w:r>
          </w:p>
        </w:tc>
        <w:tc>
          <w:tcPr>
            <w:tcW w:type="dxa" w:w="1040"/>
          </w:tcPr>
          <w:p>
            <w:pPr>
              <w:spacing w:line="240" w:lineRule="auto"/>
            </w:pPr>
            <w:r>
              <w:rPr>
                <w:sz w:val="18"/>
              </w:rPr>
            </w:r>
            <w:r>
              <w:rPr>
                <w:sz w:val="18"/>
              </w:rPr>
              <w:t>1,202,478</w:t>
            </w:r>
          </w:p>
        </w:tc>
        <w:tc>
          <w:tcPr>
            <w:tcW w:type="dxa" w:w="1040"/>
          </w:tcPr>
          <w:p>
            <w:pPr>
              <w:spacing w:line="240" w:lineRule="auto"/>
            </w:pPr>
            <w:r>
              <w:rPr>
                <w:sz w:val="18"/>
              </w:rPr>
            </w:r>
            <w:r>
              <w:rPr>
                <w:sz w:val="18"/>
              </w:rPr>
              <w:t>308,336</w:t>
            </w:r>
          </w:p>
        </w:tc>
        <w:tc>
          <w:tcPr>
            <w:tcW w:type="dxa" w:w="1040"/>
          </w:tcPr>
          <w:p>
            <w:pPr>
              <w:spacing w:line="240" w:lineRule="auto"/>
            </w:pPr>
            <w:r>
              <w:rPr>
                <w:sz w:val="18"/>
              </w:rPr>
            </w:r>
            <w:r>
              <w:rPr>
                <w:sz w:val="18"/>
              </w:rPr>
              <w:t>100,206.50</w:t>
            </w:r>
          </w:p>
        </w:tc>
        <w:tc>
          <w:tcPr>
            <w:tcW w:type="dxa" w:w="1040"/>
          </w:tcPr>
          <w:p>
            <w:pPr>
              <w:spacing w:line="240" w:lineRule="auto"/>
            </w:pPr>
            <w:r>
              <w:rPr>
                <w:sz w:val="18"/>
              </w:rPr>
            </w:r>
            <w:r>
              <w:rPr>
                <w:sz w:val="18"/>
              </w:rPr>
              <w:t>5,010.33</w:t>
            </w:r>
          </w:p>
        </w:tc>
        <w:tc>
          <w:tcPr>
            <w:tcW w:type="dxa" w:w="1040"/>
          </w:tcPr>
          <w:p>
            <w:pPr>
              <w:spacing w:line="240" w:lineRule="auto"/>
            </w:pPr>
            <w:r>
              <w:rPr>
                <w:sz w:val="18"/>
              </w:rPr>
            </w:r>
            <w:r>
              <w:rPr>
                <w:sz w:val="18"/>
              </w:rPr>
              <w:t>25.64</w:t>
            </w:r>
          </w:p>
        </w:tc>
      </w:tr>
    </w:tbl>
    <w:p>
      <w:pPr>
        <w:spacing w:after="200" w:line="240" w:lineRule="auto"/>
        <w:jc w:val="center"/>
      </w:pPr>
      <w:r>
        <w:rPr>
          <w:i/>
          <w:color w:val="7B8994"/>
          <w:sz w:val="20"/>
        </w:rPr>
        <w:t>Table 4. Q3 — annual sales trend, 2020–2024. 2020 has nine months, so read revenue per month.</w:t>
      </w:r>
    </w:p>
    <w:p>
      <w:r>
        <w:t>So with the database built, we could ask the questions. There are eight queries in four groups: two basic retrievals using WHERE and ORDER BY, two aggregates using GROUP BY, two multi-table joins — ours each join four tables — and two business-insight queries. Here's what they found.</w:t>
      </w:r>
    </w:p>
    <w:p>
      <w:r>
        <w:rPr>
          <w:b/>
        </w:rPr>
        <w:t>First, growth stopped in 2022, and it stopped in a specific way.</w:t>
      </w:r>
      <w:r>
        <w:t xml:space="preserve"> Query 3 aggregates by year, but on a per-month basis, so the partial years can't distort it. Revenue per month went from 92,934 in 2020, up to 121,648 at the 2022 peak, then down to 100,207 in 2024. But margin never left that 24-to-27 percent band, and average order value never left 5,008 to 5,444. Put those together and you have the diagnosis — fewer orders, not cheaper ones and not less profitable ones. Which points at demand generation, not at pricing.</w:t>
      </w:r>
    </w:p>
    <w:p>
      <w:r>
        <w:rPr>
          <w:i/>
        </w:rPr>
        <w:t>[Query 7 — show your own output, or this.]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Sub-category</w:t>
            </w:r>
          </w:p>
        </w:tc>
        <w:tc>
          <w:tcPr>
            <w:tcW w:type="dxa" w:w="1560"/>
          </w:tcPr>
          <w:p>
            <w:r>
              <w:rPr>
                <w:b/>
              </w:rPr>
            </w:r>
            <w:r>
              <w:rPr>
                <w:b/>
              </w:rPr>
              <w:t>2023</w:t>
            </w:r>
          </w:p>
        </w:tc>
        <w:tc>
          <w:tcPr>
            <w:tcW w:type="dxa" w:w="1560"/>
          </w:tcPr>
          <w:p>
            <w:r>
              <w:rPr>
                <w:b/>
              </w:rPr>
            </w:r>
            <w:r>
              <w:rPr>
                <w:b/>
              </w:rPr>
              <w:t>2024</w:t>
            </w:r>
          </w:p>
        </w:tc>
        <w:tc>
          <w:tcPr>
            <w:tcW w:type="dxa" w:w="1560"/>
          </w:tcPr>
          <w:p>
            <w:r>
              <w:rPr>
                <w:b/>
              </w:rPr>
            </w:r>
            <w:r>
              <w:rPr>
                <w:b/>
              </w:rPr>
              <w:t>Change</w:t>
            </w:r>
          </w:p>
        </w:tc>
        <w:tc>
          <w:tcPr>
            <w:tcW w:type="dxa" w:w="1560"/>
          </w:tcPr>
          <w:p>
            <w:r>
              <w:rPr>
                <w:b/>
              </w:rPr>
            </w:r>
            <w:r>
              <w:rPr>
                <w:b/>
              </w:rPr>
              <w: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5. Q7 — sub-category revenue change, 2023 against 2024.</w:t>
      </w:r>
    </w:p>
    <w:p>
      <w:r>
        <w:rPr>
          <w:b/>
        </w:rPr>
        <w:t>Second, one sub-category explains most of the gap.</w:t>
      </w:r>
      <w:r>
        <w:t xml:space="preserve"> Printers lost 136,865 between 2023 and 2024 — a 71 percent collapse, and on its own that's more than half the entire gap between the 2022 peak and 2024. Every Electronics sub-category fell, and the category as a whole is down 40.8 percent. But every Office Supplies sub-category grew — Paper is up 85,689, which is 149.4 percent.</w:t>
      </w:r>
    </w:p>
    <w:p>
      <w:r>
        <w:t>And that's the point: this is not a general slowdown. Two opposite trends are running at the same time, and the company-wide figure is just their average, which describes neither of them. That's the most useful thing Checkpoint 1 produced.</w:t>
      </w:r>
    </w:p>
    <w:p>
      <w:r>
        <w:rPr>
          <w:i/>
        </w:rPr>
        <w:t>[Query 8 — show your own output, or this.]</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20.28%</w:t>
            </w:r>
          </w:p>
        </w:tc>
        <w:tc>
          <w:tcPr>
            <w:tcW w:type="dxa" w:w="1872"/>
          </w:tcPr>
          <w:p>
            <w:pPr>
              <w:spacing w:line="240" w:lineRule="auto"/>
            </w:pPr>
            <w:r>
              <w:rPr>
                <w:sz w:val="18"/>
              </w:rPr>
            </w:r>
            <w:r>
              <w:rPr>
                <w:b/>
                <w:sz w:val="18"/>
              </w:rPr>
              <w:t>30.79%</w:t>
            </w:r>
          </w:p>
        </w:tc>
        <w:tc>
          <w:tcPr>
            <w:tcW w:type="dxa" w:w="1872"/>
          </w:tcPr>
          <w:p>
            <w:pPr>
              <w:spacing w:line="240" w:lineRule="auto"/>
            </w:pPr>
            <w:r>
              <w:rPr>
                <w:sz w:val="18"/>
              </w:rPr>
            </w:r>
            <w:r>
              <w:rPr>
                <w:sz w:val="18"/>
              </w:rPr>
              <w:t>23.69%</w:t>
            </w:r>
          </w:p>
        </w:tc>
        <w:tc>
          <w:tcPr>
            <w:tcW w:type="dxa" w:w="1872"/>
          </w:tcPr>
          <w:p>
            <w:pPr>
              <w:spacing w:line="240" w:lineRule="auto"/>
            </w:pPr>
            <w:r>
              <w:rPr>
                <w:sz w:val="18"/>
              </w:rPr>
            </w:r>
            <w:r>
              <w:rPr>
                <w:sz w:val="18"/>
              </w:rPr>
              <w:t>25.24%</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17.01%</w:t>
            </w:r>
          </w:p>
        </w:tc>
        <w:tc>
          <w:tcPr>
            <w:tcW w:type="dxa" w:w="1872"/>
          </w:tcPr>
          <w:p>
            <w:pPr>
              <w:spacing w:line="240" w:lineRule="auto"/>
            </w:pPr>
            <w:r>
              <w:rPr>
                <w:sz w:val="18"/>
              </w:rPr>
            </w:r>
            <w:r>
              <w:rPr>
                <w:sz w:val="18"/>
              </w:rPr>
              <w:t>25.00%</w:t>
            </w:r>
          </w:p>
        </w:tc>
        <w:tc>
          <w:tcPr>
            <w:tcW w:type="dxa" w:w="1872"/>
          </w:tcPr>
          <w:p>
            <w:pPr>
              <w:spacing w:line="240" w:lineRule="auto"/>
            </w:pPr>
            <w:r>
              <w:rPr>
                <w:sz w:val="18"/>
              </w:rPr>
            </w:r>
            <w:r>
              <w:rPr>
                <w:sz w:val="18"/>
              </w:rPr>
              <w:t>25.83%</w:t>
            </w:r>
          </w:p>
        </w:tc>
        <w:tc>
          <w:tcPr>
            <w:tcW w:type="dxa" w:w="1872"/>
          </w:tcPr>
          <w:p>
            <w:pPr>
              <w:spacing w:line="240" w:lineRule="auto"/>
            </w:pPr>
            <w:r>
              <w:rPr>
                <w:sz w:val="18"/>
              </w:rPr>
            </w:r>
            <w:r>
              <w:rPr>
                <w:b/>
                <w:sz w:val="18"/>
              </w:rPr>
              <w:t>32.16%</w:t>
            </w:r>
          </w:p>
        </w:tc>
      </w:tr>
    </w:tbl>
    <w:p>
      <w:pPr>
        <w:spacing w:after="200" w:line="240" w:lineRule="auto"/>
        <w:jc w:val="center"/>
      </w:pPr>
      <w:r>
        <w:rPr>
          <w:i/>
          <w:color w:val="7B8994"/>
          <w:sz w:val="20"/>
        </w:rPr>
        <w:t>Table 6. Q8 — each quarter's share of its own category's annual revenue.</w:t>
      </w:r>
    </w:p>
    <w:p>
      <w:r>
        <w:rPr>
          <w:b/>
        </w:rPr>
        <w:t>Third, seasonality is category-specific.</w:t>
      </w:r>
      <w:r>
        <w:t xml:space="preserve"> The blended figure tells you Q4 is the peak quarter. But split it out, and Electronics actually peaks in Q2, at 30.79 percent of its annual revenue. Furniture peaks in Q4 at 30.84, and Office Supplies in Q4 at 32.16. So one blended planning curve is wrong for all three — it over-stocks Electronics in Q4 and under-stocks it in Q2.</w:t>
      </w:r>
    </w:p>
    <w:p>
      <w:r>
        <w:rPr>
          <w:b/>
        </w:rPr>
        <w:t>And fourth, geography isn't a factor.</w:t>
      </w:r>
      <w:r>
        <w:t xml:space="preserve"> State revenue spans only 28 percent across five years, and no state trends against the others. Not every finding has to be a discovery — this one tells the business where not to spend its effort.</w:t>
      </w:r>
    </w:p>
    <w:p>
      <w:r>
        <w:t>So that was Checkpoint 1 — what happened. Checkpoint 2 takes the same data into Excel and asks how strong the evidence actually is, and what we can predict.</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